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80" w:line="240" w:lineRule="auto"/>
        <w:ind w:left="0" w:right="0" w:firstLine="0"/>
        <w:jc w:val="center"/>
        <w:rPr>
          <w:sz w:val="54"/>
          <w:szCs w:val="54"/>
        </w:rPr>
      </w:pPr>
      <w:r>
        <w:rPr>
          <w:rFonts w:ascii="Arial" w:eastAsia="Arial" w:hAnsi="Arial" w:cs="Arial"/>
          <w:b/>
          <w:bCs/>
          <w:color w:val="134B7C"/>
          <w:spacing w:val="0"/>
          <w:w w:val="100"/>
          <w:position w:val="0"/>
          <w:sz w:val="54"/>
          <w:szCs w:val="54"/>
        </w:rPr>
        <w:t>T.Y.M.</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广东天亿马信息产业股份有限公司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2022-032</w:t>
      </w:r>
    </w:p>
    <w:p>
      <w:pPr>
        <w:pStyle w:val="Style2"/>
        <w:keepNext w:val="0"/>
        <w:keepLines w:val="0"/>
        <w:widowControl w:val="0"/>
        <w:shd w:val="clear" w:color="auto" w:fill="auto"/>
        <w:bidi w:val="0"/>
        <w:spacing w:before="0" w:after="420" w:line="240" w:lineRule="auto"/>
        <w:ind w:left="0" w:right="0" w:firstLine="0"/>
        <w:jc w:val="center"/>
        <w:rPr>
          <w:sz w:val="32"/>
          <w:szCs w:val="32"/>
        </w:rPr>
        <w:sectPr>
          <w:footnotePr>
            <w:pos w:val="pageBottom"/>
            <w:numFmt w:val="decimal"/>
            <w:numRestart w:val="continuous"/>
          </w:footnotePr>
          <w:pgSz w:w="11900" w:h="16840"/>
          <w:pgMar w:top="2713" w:right="1107" w:bottom="2713" w:left="1107"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9"/>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1"/>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1"/>
        <w:keepNext w:val="0"/>
        <w:keepLines w:val="0"/>
        <w:widowControl w:val="0"/>
        <w:shd w:val="clear" w:color="auto" w:fill="auto"/>
        <w:bidi w:val="0"/>
        <w:spacing w:before="0" w:after="360" w:line="629" w:lineRule="exact"/>
        <w:ind w:left="0" w:right="0"/>
        <w:jc w:val="both"/>
      </w:pPr>
      <w:r>
        <w:rPr>
          <w:color w:val="000000"/>
          <w:spacing w:val="0"/>
          <w:w w:val="100"/>
          <w:position w:val="0"/>
        </w:rPr>
        <w:t>公司负责人林明玲、主管会计工作负责人李华青及会计机构负责人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赖宏伟声明：保证本年度报告中财务报告的真实、准确、完整。</w:t>
      </w:r>
    </w:p>
    <w:p>
      <w:pPr>
        <w:pStyle w:val="Style14"/>
        <w:keepNext w:val="0"/>
        <w:keepLines w:val="0"/>
        <w:widowControl w:val="0"/>
        <w:shd w:val="clear" w:color="auto" w:fill="auto"/>
        <w:bidi w:val="0"/>
        <w:spacing w:before="0" w:after="0" w:line="240" w:lineRule="auto"/>
        <w:ind w:left="562" w:right="0" w:firstLine="0"/>
        <w:jc w:val="left"/>
        <w:rPr>
          <w:sz w:val="28"/>
          <w:szCs w:val="28"/>
        </w:rPr>
      </w:pPr>
      <w:r>
        <w:rPr>
          <w:b/>
          <w:bCs/>
          <w:color w:val="000000"/>
          <w:spacing w:val="0"/>
          <w:w w:val="100"/>
          <w:position w:val="0"/>
          <w:sz w:val="28"/>
          <w:szCs w:val="28"/>
        </w:rPr>
        <w:t>除下列董事外，其他董事亲自出席了审议本次年报的董事会会议</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未亲自出席董事姓名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未亲自出席董事职务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未亲自出席会议原因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被委托人姓名</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李洁芝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工作原因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蔡浩</w:t>
            </w:r>
          </w:p>
        </w:tc>
      </w:tr>
    </w:tbl>
    <w:p>
      <w:pPr>
        <w:pStyle w:val="Style11"/>
        <w:keepNext w:val="0"/>
        <w:keepLines w:val="0"/>
        <w:widowControl w:val="0"/>
        <w:shd w:val="clear" w:color="auto" w:fill="auto"/>
        <w:bidi w:val="0"/>
        <w:spacing w:before="0" w:line="624" w:lineRule="exact"/>
        <w:ind w:left="0" w:right="0"/>
        <w:jc w:val="both"/>
      </w:pPr>
      <w:r>
        <w:rPr>
          <w:color w:val="000000"/>
          <w:spacing w:val="0"/>
          <w:w w:val="100"/>
          <w:position w:val="0"/>
        </w:rPr>
        <w:t>公司年度报告涉及的未来计划等前瞻性陈述，不构成公司对投资者的实质 承诺，投资者及相关人士均应当对此保持足够的风险认识，并请理解计划、预 测与承诺之间的差异。本公司在本报告第三节</w:t>
      </w:r>
      <w:r>
        <w:rPr>
          <w:rFonts w:ascii="Times New Roman" w:eastAsia="Times New Roman" w:hAnsi="Times New Roman" w:cs="Times New Roman"/>
          <w:color w:val="000000"/>
          <w:spacing w:val="0"/>
          <w:w w:val="100"/>
          <w:position w:val="0"/>
        </w:rPr>
        <w:t>“</w:t>
      </w:r>
      <w:r>
        <w:rPr>
          <w:color w:val="000000"/>
          <w:spacing w:val="0"/>
          <w:w w:val="100"/>
          <w:position w:val="0"/>
        </w:rPr>
        <w:t>管理层讨论与分析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十一、公 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描述了公司未来经营中可能存在的风险和应对措施，敬请广 大投资者予以关注，注意投资风险。</w:t>
      </w:r>
    </w:p>
    <w:p>
      <w:pPr>
        <w:pStyle w:val="Style11"/>
        <w:keepNext w:val="0"/>
        <w:keepLines w:val="0"/>
        <w:widowControl w:val="0"/>
        <w:shd w:val="clear" w:color="auto" w:fill="auto"/>
        <w:bidi w:val="0"/>
        <w:spacing w:before="0" w:after="220"/>
        <w:ind w:left="0" w:right="0"/>
        <w:jc w:val="both"/>
        <w:sectPr>
          <w:footnotePr>
            <w:pos w:val="pageBottom"/>
            <w:numFmt w:val="decimal"/>
            <w:numRestart w:val="continuous"/>
          </w:footnotePr>
          <w:pgSz w:w="11900" w:h="16840"/>
          <w:pgMar w:top="1978" w:right="1107" w:bottom="1978" w:left="1107"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47,112,000</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4.00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w:t>
      </w:r>
      <w:r>
        <w:rPr>
          <w:color w:val="000000"/>
          <w:spacing w:val="0"/>
          <w:w w:val="100"/>
          <w:position w:val="0"/>
        </w:rPr>
        <w:t>股。</w:t>
      </w:r>
    </w:p>
    <w:p>
      <w:pPr>
        <w:pStyle w:val="Style2"/>
        <w:keepNext w:val="0"/>
        <w:keepLines w:val="0"/>
        <w:widowControl w:val="0"/>
        <w:shd w:val="clear" w:color="auto" w:fill="auto"/>
        <w:bidi w:val="0"/>
        <w:spacing w:before="0" w:after="1560" w:line="240" w:lineRule="auto"/>
        <w:ind w:left="0" w:right="0" w:firstLine="0"/>
        <w:jc w:val="center"/>
        <w:rPr>
          <w:sz w:val="36"/>
          <w:szCs w:val="36"/>
        </w:rPr>
      </w:pPr>
      <w:r>
        <w:rPr>
          <w:b/>
          <w:bCs/>
          <w:color w:val="000000"/>
          <w:spacing w:val="0"/>
          <w:w w:val="100"/>
          <w:position w:val="0"/>
          <w:sz w:val="36"/>
          <w:szCs w:val="36"/>
        </w:rPr>
        <w:t>目录</w:t>
      </w:r>
    </w:p>
    <w:p>
      <w:pPr>
        <w:pStyle w:val="Style18"/>
        <w:keepNext w:val="0"/>
        <w:keepLines w:val="0"/>
        <w:widowControl w:val="0"/>
        <w:shd w:val="clear" w:color="auto" w:fill="auto"/>
        <w:tabs>
          <w:tab w:leader="dot" w:pos="9616" w:val="right"/>
        </w:tabs>
        <w:bidi w:val="0"/>
        <w:spacing w:before="0" w:line="240" w:lineRule="auto"/>
        <w:ind w:left="0" w:right="0" w:firstLine="0"/>
        <w:jc w:val="left"/>
        <w:rPr>
          <w:sz w:val="18"/>
          <w:szCs w:val="18"/>
        </w:rPr>
      </w:pPr>
      <w:r>
        <w:fldChar w:fldCharType="begin"/>
        <w:instrText xml:space="preserve"> TOC \o "1-5" \h \z </w:instrText>
        <w:fldChar w:fldCharType="separate"/>
      </w:r>
      <w:hyperlink w:anchor="bookmark1" w:tooltip="Current Document">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2</w:t>
        </w:r>
      </w:hyperlink>
    </w:p>
    <w:p>
      <w:pPr>
        <w:pStyle w:val="Style18"/>
        <w:keepNext w:val="0"/>
        <w:keepLines w:val="0"/>
        <w:widowControl w:val="0"/>
        <w:shd w:val="clear" w:color="auto" w:fill="auto"/>
        <w:tabs>
          <w:tab w:leader="dot" w:pos="9616" w:val="right"/>
        </w:tabs>
        <w:bidi w:val="0"/>
        <w:spacing w:before="0" w:line="240" w:lineRule="auto"/>
        <w:ind w:left="0" w:right="0" w:firstLine="0"/>
        <w:jc w:val="left"/>
        <w:rPr>
          <w:sz w:val="18"/>
          <w:szCs w:val="18"/>
        </w:rPr>
      </w:pPr>
      <w:hyperlink w:anchor="bookmark10" w:tooltip="Current Document">
        <w:r>
          <w:rPr>
            <w:color w:val="000000"/>
            <w:spacing w:val="0"/>
            <w:w w:val="100"/>
            <w:position w:val="0"/>
            <w:sz w:val="17"/>
            <w:szCs w:val="17"/>
          </w:rPr>
          <w:t>第二节公司简介和主要财务指标</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7</w:t>
        </w:r>
      </w:hyperlink>
    </w:p>
    <w:p>
      <w:pPr>
        <w:pStyle w:val="Style18"/>
        <w:keepNext w:val="0"/>
        <w:keepLines w:val="0"/>
        <w:widowControl w:val="0"/>
        <w:shd w:val="clear" w:color="auto" w:fill="auto"/>
        <w:tabs>
          <w:tab w:leader="dot" w:pos="9616" w:val="right"/>
        </w:tabs>
        <w:bidi w:val="0"/>
        <w:spacing w:before="0" w:line="240" w:lineRule="auto"/>
        <w:ind w:left="0" w:right="0" w:firstLine="0"/>
        <w:jc w:val="left"/>
        <w:rPr>
          <w:sz w:val="18"/>
          <w:szCs w:val="18"/>
        </w:rPr>
      </w:pPr>
      <w:hyperlink w:anchor="bookmark53" w:tooltip="Current Document">
        <w:r>
          <w:rPr>
            <w:color w:val="000000"/>
            <w:spacing w:val="0"/>
            <w:w w:val="100"/>
            <w:position w:val="0"/>
            <w:sz w:val="17"/>
            <w:szCs w:val="17"/>
          </w:rPr>
          <w:t>第三节管理层讨论与分析</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11</w:t>
        </w:r>
      </w:hyperlink>
    </w:p>
    <w:p>
      <w:pPr>
        <w:pStyle w:val="Style18"/>
        <w:keepNext w:val="0"/>
        <w:keepLines w:val="0"/>
        <w:widowControl w:val="0"/>
        <w:shd w:val="clear" w:color="auto" w:fill="auto"/>
        <w:tabs>
          <w:tab w:pos="723" w:val="left"/>
          <w:tab w:leader="dot" w:pos="9616" w:val="right"/>
        </w:tabs>
        <w:bidi w:val="0"/>
        <w:spacing w:before="0" w:line="240" w:lineRule="auto"/>
        <w:ind w:left="0" w:right="0" w:firstLine="0"/>
        <w:jc w:val="left"/>
        <w:rPr>
          <w:sz w:val="18"/>
          <w:szCs w:val="18"/>
        </w:rPr>
      </w:pPr>
      <w:hyperlink w:anchor="bookmark259" w:tooltip="Current Document">
        <w:r>
          <w:rPr>
            <w:color w:val="000000"/>
            <w:spacing w:val="0"/>
            <w:w w:val="100"/>
            <w:position w:val="0"/>
            <w:sz w:val="17"/>
            <w:szCs w:val="17"/>
          </w:rPr>
          <w:t>第四节</w:t>
          <w:tab/>
          <w:t>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49</w:t>
        </w:r>
      </w:hyperlink>
    </w:p>
    <w:p>
      <w:pPr>
        <w:pStyle w:val="Style18"/>
        <w:keepNext w:val="0"/>
        <w:keepLines w:val="0"/>
        <w:widowControl w:val="0"/>
        <w:shd w:val="clear" w:color="auto" w:fill="auto"/>
        <w:tabs>
          <w:tab w:leader="dot" w:pos="9616" w:val="right"/>
        </w:tabs>
        <w:bidi w:val="0"/>
        <w:spacing w:before="0" w:line="240" w:lineRule="auto"/>
        <w:ind w:left="0" w:right="0" w:firstLine="0"/>
        <w:jc w:val="left"/>
        <w:rPr>
          <w:sz w:val="18"/>
          <w:szCs w:val="18"/>
        </w:rPr>
      </w:pPr>
      <w:hyperlink w:anchor="bookmark420" w:tooltip="Current Document">
        <w:r>
          <w:rPr>
            <w:color w:val="000000"/>
            <w:spacing w:val="0"/>
            <w:w w:val="100"/>
            <w:position w:val="0"/>
            <w:sz w:val="17"/>
            <w:szCs w:val="17"/>
          </w:rPr>
          <w:t>第五节环境和社会责任</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67</w:t>
        </w:r>
      </w:hyperlink>
    </w:p>
    <w:p>
      <w:pPr>
        <w:pStyle w:val="Style18"/>
        <w:keepNext w:val="0"/>
        <w:keepLines w:val="0"/>
        <w:widowControl w:val="0"/>
        <w:shd w:val="clear" w:color="auto" w:fill="auto"/>
        <w:tabs>
          <w:tab w:leader="dot" w:pos="9616" w:val="right"/>
        </w:tabs>
        <w:bidi w:val="0"/>
        <w:spacing w:before="0" w:line="240" w:lineRule="auto"/>
        <w:ind w:left="0" w:right="0" w:firstLine="0"/>
        <w:jc w:val="left"/>
        <w:rPr>
          <w:sz w:val="18"/>
          <w:szCs w:val="18"/>
        </w:rPr>
      </w:pPr>
      <w:hyperlink w:anchor="bookmark441" w:tooltip="Current Document">
        <w:r>
          <w:rPr>
            <w:color w:val="000000"/>
            <w:spacing w:val="0"/>
            <w:w w:val="100"/>
            <w:position w:val="0"/>
            <w:sz w:val="17"/>
            <w:szCs w:val="17"/>
          </w:rPr>
          <w:t>第六节重要事项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69</w:t>
        </w:r>
      </w:hyperlink>
    </w:p>
    <w:p>
      <w:pPr>
        <w:pStyle w:val="Style18"/>
        <w:keepNext w:val="0"/>
        <w:keepLines w:val="0"/>
        <w:widowControl w:val="0"/>
        <w:shd w:val="clear" w:color="auto" w:fill="auto"/>
        <w:tabs>
          <w:tab w:leader="dot" w:pos="9616" w:val="right"/>
        </w:tabs>
        <w:bidi w:val="0"/>
        <w:spacing w:before="0" w:line="240" w:lineRule="auto"/>
        <w:ind w:left="0" w:right="0" w:firstLine="0"/>
        <w:jc w:val="left"/>
        <w:rPr>
          <w:sz w:val="18"/>
          <w:szCs w:val="18"/>
        </w:rPr>
      </w:pPr>
      <w:hyperlink w:anchor="bookmark590" w:tooltip="Current Document">
        <w:r>
          <w:rPr>
            <w:color w:val="000000"/>
            <w:spacing w:val="0"/>
            <w:w w:val="100"/>
            <w:position w:val="0"/>
            <w:sz w:val="17"/>
            <w:szCs w:val="17"/>
          </w:rPr>
          <w:t>第七节股份变动及股东情况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92</w:t>
        </w:r>
      </w:hyperlink>
    </w:p>
    <w:p>
      <w:pPr>
        <w:pStyle w:val="Style18"/>
        <w:keepNext w:val="0"/>
        <w:keepLines w:val="0"/>
        <w:widowControl w:val="0"/>
        <w:shd w:val="clear" w:color="auto" w:fill="auto"/>
        <w:tabs>
          <w:tab w:leader="dot" w:pos="9616" w:val="right"/>
        </w:tabs>
        <w:bidi w:val="0"/>
        <w:spacing w:before="0" w:line="240" w:lineRule="auto"/>
        <w:ind w:left="0" w:right="0" w:firstLine="0"/>
        <w:jc w:val="left"/>
        <w:rPr>
          <w:sz w:val="18"/>
          <w:szCs w:val="18"/>
        </w:rPr>
      </w:pPr>
      <w:hyperlink w:anchor="bookmark660" w:tooltip="Current Document">
        <w:r>
          <w:rPr>
            <w:color w:val="000000"/>
            <w:spacing w:val="0"/>
            <w:w w:val="100"/>
            <w:position w:val="0"/>
            <w:sz w:val="17"/>
            <w:szCs w:val="17"/>
          </w:rPr>
          <w:t>第八节优先股相关情况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100</w:t>
        </w:r>
      </w:hyperlink>
    </w:p>
    <w:p>
      <w:pPr>
        <w:pStyle w:val="Style18"/>
        <w:keepNext w:val="0"/>
        <w:keepLines w:val="0"/>
        <w:widowControl w:val="0"/>
        <w:shd w:val="clear" w:color="auto" w:fill="auto"/>
        <w:tabs>
          <w:tab w:leader="dot" w:pos="9616" w:val="right"/>
        </w:tabs>
        <w:bidi w:val="0"/>
        <w:spacing w:before="0" w:line="240" w:lineRule="auto"/>
        <w:ind w:left="0" w:right="0" w:firstLine="0"/>
        <w:jc w:val="left"/>
        <w:rPr>
          <w:sz w:val="18"/>
          <w:szCs w:val="18"/>
        </w:rPr>
      </w:pPr>
      <w:hyperlink w:anchor="bookmark664" w:tooltip="Current Document">
        <w:r>
          <w:rPr>
            <w:color w:val="000000"/>
            <w:spacing w:val="0"/>
            <w:w w:val="100"/>
            <w:position w:val="0"/>
            <w:sz w:val="17"/>
            <w:szCs w:val="17"/>
          </w:rPr>
          <w:t>第九节债券相关情况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101</w:t>
        </w:r>
      </w:hyperlink>
    </w:p>
    <w:p>
      <w:pPr>
        <w:pStyle w:val="Style18"/>
        <w:keepNext w:val="0"/>
        <w:keepLines w:val="0"/>
        <w:widowControl w:val="0"/>
        <w:shd w:val="clear" w:color="auto" w:fill="auto"/>
        <w:tabs>
          <w:tab w:leader="dot" w:pos="9616" w:val="right"/>
        </w:tabs>
        <w:bidi w:val="0"/>
        <w:spacing w:before="0" w:line="240" w:lineRule="auto"/>
        <w:ind w:left="0" w:right="0" w:firstLine="0"/>
        <w:jc w:val="left"/>
        <w:rPr>
          <w:sz w:val="18"/>
          <w:szCs w:val="18"/>
        </w:rPr>
        <w:sectPr>
          <w:footnotePr>
            <w:pos w:val="pageBottom"/>
            <w:numFmt w:val="decimal"/>
            <w:numRestart w:val="continuous"/>
          </w:footnotePr>
          <w:pgSz w:w="11900" w:h="16840"/>
          <w:pgMar w:top="2857" w:right="1107" w:bottom="2857" w:left="1112" w:header="0" w:footer="3" w:gutter="0"/>
          <w:cols w:space="720"/>
          <w:noEndnote/>
          <w:rtlGutter w:val="0"/>
          <w:docGrid w:linePitch="360"/>
        </w:sectPr>
      </w:pPr>
      <w:hyperlink w:anchor="bookmark668" w:tooltip="Current Document">
        <w:r>
          <w:rPr>
            <w:color w:val="000000"/>
            <w:spacing w:val="0"/>
            <w:w w:val="100"/>
            <w:position w:val="0"/>
            <w:sz w:val="17"/>
            <w:szCs w:val="17"/>
          </w:rPr>
          <w:t>第十节财务报告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sz w:val="18"/>
            <w:szCs w:val="18"/>
          </w:rPr>
          <w:t>102</w:t>
        </w:r>
      </w:hyperlink>
      <w:r>
        <w:fldChar w:fldCharType="end"/>
      </w:r>
    </w:p>
    <w:p>
      <w:pPr>
        <w:pStyle w:val="Style2"/>
        <w:keepNext w:val="0"/>
        <w:keepLines w:val="0"/>
        <w:widowControl w:val="0"/>
        <w:shd w:val="clear" w:color="auto" w:fill="auto"/>
        <w:bidi w:val="0"/>
        <w:spacing w:before="640" w:after="880" w:line="240" w:lineRule="auto"/>
        <w:ind w:left="0" w:right="0" w:firstLine="0"/>
        <w:jc w:val="center"/>
        <w:rPr>
          <w:sz w:val="32"/>
          <w:szCs w:val="32"/>
        </w:rPr>
      </w:pPr>
      <w:r>
        <w:rPr>
          <w:b/>
          <w:bCs/>
          <w:color w:val="000000"/>
          <w:spacing w:val="0"/>
          <w:w w:val="100"/>
          <w:position w:val="0"/>
          <w:sz w:val="32"/>
          <w:szCs w:val="32"/>
        </w:rPr>
        <w:t>备查文件目录</w:t>
      </w:r>
    </w:p>
    <w:p>
      <w:pPr>
        <w:pStyle w:val="Style21"/>
        <w:keepNext w:val="0"/>
        <w:keepLines w:val="0"/>
        <w:widowControl w:val="0"/>
        <w:shd w:val="clear" w:color="auto" w:fill="auto"/>
        <w:tabs>
          <w:tab w:pos="531" w:val="left"/>
        </w:tabs>
        <w:bidi w:val="0"/>
        <w:spacing w:before="0" w:line="240" w:lineRule="auto"/>
        <w:ind w:left="0" w:right="0" w:firstLine="0"/>
        <w:jc w:val="left"/>
      </w:pPr>
      <w:bookmarkStart w:id="4" w:name="bookmark4"/>
      <w:r>
        <w:rPr>
          <w:color w:val="000000"/>
          <w:spacing w:val="0"/>
          <w:w w:val="100"/>
          <w:position w:val="0"/>
        </w:rPr>
        <w:t>（</w:t>
      </w:r>
      <w:bookmarkEnd w:id="4"/>
      <w:r>
        <w:rPr>
          <w:color w:val="000000"/>
          <w:spacing w:val="0"/>
          <w:w w:val="100"/>
          <w:position w:val="0"/>
        </w:rPr>
        <w:t>一）</w:t>
        <w:tab/>
        <w:t>载有公司法定代表人、主管会计工作负责人、会计机构负责人签名并盖章的财务报表。</w:t>
      </w:r>
    </w:p>
    <w:p>
      <w:pPr>
        <w:pStyle w:val="Style21"/>
        <w:keepNext w:val="0"/>
        <w:keepLines w:val="0"/>
        <w:widowControl w:val="0"/>
        <w:shd w:val="clear" w:color="auto" w:fill="auto"/>
        <w:tabs>
          <w:tab w:pos="531" w:val="left"/>
        </w:tabs>
        <w:bidi w:val="0"/>
        <w:spacing w:before="0" w:line="240" w:lineRule="auto"/>
        <w:ind w:left="0" w:right="0" w:firstLine="0"/>
        <w:jc w:val="left"/>
      </w:pPr>
      <w:bookmarkStart w:id="5" w:name="bookmark5"/>
      <w:r>
        <w:rPr>
          <w:color w:val="000000"/>
          <w:spacing w:val="0"/>
          <w:w w:val="100"/>
          <w:position w:val="0"/>
        </w:rPr>
        <w:t>（</w:t>
      </w:r>
      <w:bookmarkEnd w:id="5"/>
      <w:r>
        <w:rPr>
          <w:color w:val="000000"/>
          <w:spacing w:val="0"/>
          <w:w w:val="100"/>
          <w:position w:val="0"/>
        </w:rPr>
        <w:t>二）</w:t>
        <w:tab/>
        <w:t>载有会计师事务所盖章、注册会计师签名并盖章的审计报告原件。</w:t>
      </w:r>
    </w:p>
    <w:p>
      <w:pPr>
        <w:pStyle w:val="Style21"/>
        <w:keepNext w:val="0"/>
        <w:keepLines w:val="0"/>
        <w:widowControl w:val="0"/>
        <w:shd w:val="clear" w:color="auto" w:fill="auto"/>
        <w:tabs>
          <w:tab w:pos="531" w:val="left"/>
        </w:tabs>
        <w:bidi w:val="0"/>
        <w:spacing w:before="0" w:line="240" w:lineRule="auto"/>
        <w:ind w:left="0" w:right="0" w:firstLine="0"/>
        <w:jc w:val="left"/>
      </w:pPr>
      <w:bookmarkStart w:id="6" w:name="bookmark6"/>
      <w:r>
        <w:rPr>
          <w:color w:val="000000"/>
          <w:spacing w:val="0"/>
          <w:w w:val="100"/>
          <w:position w:val="0"/>
        </w:rPr>
        <w:t>（</w:t>
      </w:r>
      <w:bookmarkEnd w:id="6"/>
      <w:r>
        <w:rPr>
          <w:color w:val="000000"/>
          <w:spacing w:val="0"/>
          <w:w w:val="100"/>
          <w:position w:val="0"/>
        </w:rPr>
        <w:t>三）</w:t>
        <w:tab/>
        <w:t>报告期内在中国证监会指定媒体上公开披露过的所有公司文件的正本及公告的原稿。</w:t>
      </w:r>
    </w:p>
    <w:p>
      <w:pPr>
        <w:pStyle w:val="Style21"/>
        <w:keepNext w:val="0"/>
        <w:keepLines w:val="0"/>
        <w:widowControl w:val="0"/>
        <w:shd w:val="clear" w:color="auto" w:fill="auto"/>
        <w:tabs>
          <w:tab w:pos="531" w:val="left"/>
        </w:tabs>
        <w:bidi w:val="0"/>
        <w:spacing w:before="0" w:line="240" w:lineRule="auto"/>
        <w:ind w:left="0" w:right="0" w:firstLine="0"/>
        <w:jc w:val="left"/>
      </w:pPr>
      <w:bookmarkStart w:id="7" w:name="bookmark7"/>
      <w:r>
        <w:rPr>
          <w:color w:val="000000"/>
          <w:spacing w:val="0"/>
          <w:w w:val="100"/>
          <w:position w:val="0"/>
        </w:rPr>
        <w:t>（</w:t>
      </w:r>
      <w:bookmarkEnd w:id="7"/>
      <w:r>
        <w:rPr>
          <w:color w:val="000000"/>
          <w:spacing w:val="0"/>
          <w:w w:val="100"/>
          <w:position w:val="0"/>
        </w:rPr>
        <w:t>四）</w:t>
        <w:tab/>
        <w:t>经公司法定代表人签字的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年年度报告全文原件。</w:t>
      </w:r>
    </w:p>
    <w:p>
      <w:pPr>
        <w:pStyle w:val="Style21"/>
        <w:keepNext w:val="0"/>
        <w:keepLines w:val="0"/>
        <w:widowControl w:val="0"/>
        <w:shd w:val="clear" w:color="auto" w:fill="auto"/>
        <w:tabs>
          <w:tab w:pos="531" w:val="left"/>
        </w:tabs>
        <w:bidi w:val="0"/>
        <w:spacing w:before="0" w:line="240" w:lineRule="auto"/>
        <w:ind w:left="0" w:right="0" w:firstLine="0"/>
        <w:jc w:val="left"/>
      </w:pPr>
      <w:bookmarkStart w:id="8" w:name="bookmark8"/>
      <w:r>
        <w:rPr>
          <w:color w:val="000000"/>
          <w:spacing w:val="0"/>
          <w:w w:val="100"/>
          <w:position w:val="0"/>
        </w:rPr>
        <w:t>（</w:t>
      </w:r>
      <w:bookmarkEnd w:id="8"/>
      <w:r>
        <w:rPr>
          <w:color w:val="000000"/>
          <w:spacing w:val="0"/>
          <w:w w:val="100"/>
          <w:position w:val="0"/>
        </w:rPr>
        <w:t>五）</w:t>
        <w:tab/>
        <w:t>其他备查文件。</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4027"/>
        <w:gridCol w:w="715"/>
        <w:gridCol w:w="496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公司、本公司、本集团、天亿马、天亿马股份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广东天亿马信息产业股份有限公司及合并范围内子公司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广东天亿马信息产业股份有限公司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互联精英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深圳市互联精英信息技术有限公司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香港天亿马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天亿马（香港）信息产业有限公司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重庆天亿马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重庆天亿马信息技术有限公司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天亿马技术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天亿马信息技术有限公司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天亿马科技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广东天亿马信息科技有限公司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广东天亿马信息产业股份有限公司股东大会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广东天亿马信息产业股份有限公司董事会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广东天亿马信息产业股份有限公司监事会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股份公司股东大会、董事会、监事会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公司总经理、副总经理、董事会秘书、财务总监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三会议事规则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股份公司《股东大会议事规则》、《董事会议事规则》、《监事会 议事规则》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最近一次经公司股东大会批准的现行有效的章程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全国股份转让系统、股转系统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全国中小企业股份转让系统</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五矿证券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五矿证券有限公司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期初、报告期初、本报告期初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期末、报告期末、本报告期末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运用物联网、云计算、大数据、空间地理信息集成等新一代信 息技术，促进城市规划、建设、管理和服务智慧化的新理念和 新模式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智慧政务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运用云计算、大数据、物联网、人工智能等技术，通过监测、</w:t>
            </w:r>
          </w:p>
        </w:tc>
      </w:tr>
    </w:tbl>
    <w:p>
      <w:pPr>
        <w:spacing w:lineRule="exact" w:line="1"/>
        <w:rPr>
          <w:sz w:val="2"/>
          <w:szCs w:val="2"/>
        </w:rPr>
      </w:pPr>
      <w:r>
        <w:br w:type="page"/>
      </w:r>
    </w:p>
    <w:tbl>
      <w:tblPr>
        <w:tblOverlap w:val="never"/>
        <w:jc w:val="center"/>
        <w:tblLayout w:type="fixed"/>
      </w:tblPr>
      <w:tblGrid>
        <w:gridCol w:w="4027"/>
        <w:gridCol w:w="715"/>
        <w:gridCol w:w="496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67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整合、分析、智能响应，实现各职能部门的各种资源的高度整 合，提高政府的业务办理和管理效率</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智慧教育</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即教育信息化，是指在教育管理、教育教学和教育科研等教育 领域全面深入地运用现代信息技术来促进教育改革与发展的过 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通过大数据、物联网、云计算等技术，建立健康档案医疗信息 平台，达到患者与医务人员、医疗机构、医疗设备之间的互动， 实现数据化、标准化和智能化管理目的，从而提高医疗品质、 效率与效益的新型医疗模式</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解决方案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涵盖</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基础设施建设、系统集成、软件开发及系统运行维护等 系列服务，使整套系统能够实现特定的业务功能，满足客户业 务需求的服务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信息系统集成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根据客户的具体业务需求，将硬件平台、安全机制、操作系统、 工具软件以及为客户需求定制开发的应用软件，集成为具有优 良性价比的计算机信息系统工程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即物物相连的互联网，是通过射频识别（</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w:t>
            </w:r>
            <w:r>
              <w:rPr>
                <w:color w:val="000000"/>
                <w:spacing w:val="0"/>
                <w:w w:val="100"/>
                <w:position w:val="0"/>
              </w:rPr>
              <w:t>红外感应器、 全球定位系统、激光扫描等信息传感设备，按约定的协议，把 任何物品与互联网连接起来，进行信息交换和通讯，以实现智 能化识别、定位、跟踪、监控和管理的一种网络</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是一种按使用量付费的模式，这种模式提供可用的、便捷的、 按需的网络访问，进入可配置的计算资源共享池（资源包括网 络，服务器，存储，应用软件，服务），这些资源能够被快速提 供，只需投入很少的管理工作，或与服务供应商进行很少的交 互</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一种规模大到在获取、存储、管理、分析方面大大超出了传统 数据库软件工具能力范围的数据集合，具有海量的数据规模、 快速的数据流转、多样的数据类型和价值密度低四大特征</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GIS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地理信息系统，是</w:t>
            </w:r>
            <w:r>
              <w:rPr>
                <w:rFonts w:ascii="Times New Roman" w:eastAsia="Times New Roman" w:hAnsi="Times New Roman" w:cs="Times New Roman"/>
                <w:color w:val="000000"/>
                <w:spacing w:val="0"/>
                <w:w w:val="100"/>
                <w:position w:val="0"/>
                <w:sz w:val="18"/>
                <w:szCs w:val="18"/>
              </w:rPr>
              <w:t>Geographic Information System</w:t>
            </w:r>
            <w:r>
              <w:rPr>
                <w:color w:val="000000"/>
                <w:spacing w:val="0"/>
                <w:w w:val="100"/>
                <w:position w:val="0"/>
              </w:rPr>
              <w:t>的缩写，是以 地理空间数据库为基础，在计算机软硬件的支持下，对地理空 间信息进行采集、存储、检索、显示和分析的综合性技术系统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研究、开发用于模拟、延伸和扩展人的智能的理论、方法、技 术及应用系统的一门新的技术学科</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全球第五代移动通信系统，是</w:t>
            </w:r>
            <w:r>
              <w:rPr>
                <w:rFonts w:ascii="Times New Roman" w:eastAsia="Times New Roman" w:hAnsi="Times New Roman" w:cs="Times New Roman"/>
                <w:color w:val="000000"/>
                <w:spacing w:val="0"/>
                <w:w w:val="100"/>
                <w:position w:val="0"/>
                <w:sz w:val="18"/>
                <w:szCs w:val="18"/>
              </w:rPr>
              <w:t>fifth-generation</w:t>
            </w:r>
            <w:r>
              <w:rPr>
                <w:color w:val="000000"/>
                <w:spacing w:val="0"/>
                <w:w w:val="100"/>
                <w:position w:val="0"/>
              </w:rPr>
              <w:t>的缩写，指移动 电话系统第五代，也是</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的延伸</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3D WebGL</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3D Web Graphics Library</w:t>
            </w:r>
            <w:r>
              <w:rPr>
                <w:color w:val="000000"/>
                <w:spacing w:val="0"/>
                <w:w w:val="100"/>
                <w:position w:val="0"/>
              </w:rPr>
              <w:t>的缩写，是一种三维绘图技术，该 技术基于</w:t>
            </w:r>
            <w:r>
              <w:rPr>
                <w:rFonts w:ascii="Times New Roman" w:eastAsia="Times New Roman" w:hAnsi="Times New Roman" w:cs="Times New Roman"/>
                <w:color w:val="000000"/>
                <w:spacing w:val="0"/>
                <w:w w:val="100"/>
                <w:position w:val="0"/>
                <w:sz w:val="18"/>
                <w:szCs w:val="18"/>
              </w:rPr>
              <w:t>Cesium</w:t>
            </w:r>
            <w:r>
              <w:rPr>
                <w:color w:val="000000"/>
                <w:spacing w:val="0"/>
                <w:w w:val="100"/>
                <w:position w:val="0"/>
              </w:rPr>
              <w:t>开源框架，面向</w:t>
            </w:r>
            <w:r>
              <w:rPr>
                <w:rFonts w:ascii="Times New Roman" w:eastAsia="Times New Roman" w:hAnsi="Times New Roman" w:cs="Times New Roman"/>
                <w:color w:val="000000"/>
                <w:spacing w:val="0"/>
                <w:w w:val="100"/>
                <w:position w:val="0"/>
                <w:sz w:val="18"/>
                <w:szCs w:val="18"/>
              </w:rPr>
              <w:t xml:space="preserve">HTML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的三维应用开发， 能快速构建内容丰富、响应迅速、体验流畅的三维场景与模型</w:t>
            </w:r>
          </w:p>
        </w:tc>
      </w:tr>
    </w:tbl>
    <w:p>
      <w:pPr>
        <w:spacing w:lineRule="exact" w:line="1"/>
        <w:rPr>
          <w:sz w:val="2"/>
          <w:szCs w:val="2"/>
        </w:rPr>
      </w:pPr>
      <w:r>
        <w:br w:type="page"/>
      </w:r>
    </w:p>
    <w:p>
      <w:pPr>
        <w:pStyle w:val="Style9"/>
        <w:keepNext/>
        <w:keepLines/>
        <w:widowControl w:val="0"/>
        <w:shd w:val="clear" w:color="auto" w:fill="auto"/>
        <w:bidi w:val="0"/>
        <w:spacing w:before="0" w:after="56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5"/>
        <w:keepNext/>
        <w:keepLines/>
        <w:widowControl w:val="0"/>
        <w:shd w:val="clear" w:color="auto" w:fill="auto"/>
        <w:bidi w:val="0"/>
        <w:spacing w:before="0" w:after="320" w:line="240" w:lineRule="auto"/>
        <w:ind w:left="0" w:right="0" w:firstLine="260"/>
        <w:jc w:val="left"/>
      </w:pPr>
      <w:bookmarkStart w:id="12" w:name="bookmark12"/>
      <w:bookmarkStart w:id="13" w:name="bookmark13"/>
      <w:bookmarkStart w:id="14" w:name="bookmark14"/>
      <w:bookmarkStart w:id="15" w:name="bookmark15"/>
      <w:r>
        <w:rPr>
          <w:color w:val="000000"/>
          <w:spacing w:val="0"/>
          <w:w w:val="100"/>
          <w:position w:val="0"/>
        </w:rPr>
        <w:t>、公司信息</w:t>
      </w:r>
      <w:bookmarkEnd w:id="13"/>
      <w:bookmarkEnd w:id="14"/>
      <w:bookmarkEnd w:id="15"/>
      <w:bookmarkEnd w:id="12"/>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7" w:val="left"/>
                <w:tab w:pos="5107" w:val="left"/>
              </w:tabs>
              <w:bidi w:val="0"/>
              <w:spacing w:before="0" w:after="0" w:line="240" w:lineRule="auto"/>
              <w:ind w:left="0" w:right="0" w:firstLine="0"/>
              <w:jc w:val="left"/>
              <w:rPr>
                <w:sz w:val="18"/>
                <w:szCs w:val="18"/>
              </w:rPr>
            </w:pPr>
            <w:r>
              <w:rPr>
                <w:color w:val="000000"/>
                <w:spacing w:val="0"/>
                <w:w w:val="100"/>
                <w:position w:val="0"/>
                <w:sz w:val="17"/>
                <w:szCs w:val="17"/>
              </w:rPr>
              <w:t>天亿马</w:t>
              <w:tab/>
              <w:t>股票代码</w:t>
              <w:tab/>
            </w:r>
            <w:r>
              <w:rPr>
                <w:rFonts w:ascii="Times New Roman" w:eastAsia="Times New Roman" w:hAnsi="Times New Roman" w:cs="Times New Roman"/>
                <w:color w:val="000000"/>
                <w:spacing w:val="0"/>
                <w:w w:val="100"/>
                <w:position w:val="0"/>
                <w:sz w:val="18"/>
                <w:szCs w:val="18"/>
              </w:rPr>
              <w:t>301178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广东天亿马信息产业股份有限公司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天亿马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Guangdong TianYiMa Information Industry Co., Ltd.</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TYM</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林明玲</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汕头市嵩山路南</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号天澜国际大厦西塔</w:t>
            </w:r>
            <w:r>
              <w:rPr>
                <w:rFonts w:ascii="Times New Roman" w:eastAsia="Times New Roman" w:hAnsi="Times New Roman" w:cs="Times New Roman"/>
                <w:color w:val="000000"/>
                <w:spacing w:val="0"/>
                <w:w w:val="100"/>
                <w:position w:val="0"/>
                <w:sz w:val="18"/>
                <w:szCs w:val="18"/>
              </w:rPr>
              <w:t>2111-2112</w:t>
            </w:r>
            <w:r>
              <w:rPr>
                <w:color w:val="000000"/>
                <w:spacing w:val="0"/>
                <w:w w:val="100"/>
                <w:position w:val="0"/>
              </w:rPr>
              <w:t>房</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515054</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月，公司注册地址由汕头市黄河路高新电脑中心</w:t>
            </w:r>
            <w:r>
              <w:rPr>
                <w:rFonts w:ascii="Times New Roman" w:eastAsia="Times New Roman" w:hAnsi="Times New Roman" w:cs="Times New Roman"/>
                <w:color w:val="000000"/>
                <w:spacing w:val="0"/>
                <w:w w:val="100"/>
                <w:position w:val="0"/>
                <w:sz w:val="18"/>
                <w:szCs w:val="18"/>
              </w:rPr>
              <w:t>218</w:t>
            </w:r>
            <w:r>
              <w:rPr>
                <w:color w:val="000000"/>
                <w:spacing w:val="0"/>
                <w:w w:val="100"/>
                <w:position w:val="0"/>
              </w:rPr>
              <w:t>号变更为汕头市丹阳庄韩江大 厦十楼</w:t>
            </w:r>
            <w:r>
              <w:rPr>
                <w:rFonts w:ascii="Times New Roman" w:eastAsia="Times New Roman" w:hAnsi="Times New Roman" w:cs="Times New Roman"/>
                <w:color w:val="000000"/>
                <w:spacing w:val="0"/>
                <w:w w:val="100"/>
                <w:position w:val="0"/>
                <w:sz w:val="18"/>
                <w:szCs w:val="18"/>
              </w:rPr>
              <w:t>1001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月，变更为汕头市长平路中段南国商场三层</w:t>
            </w:r>
            <w:r>
              <w:rPr>
                <w:rFonts w:ascii="Times New Roman" w:eastAsia="Times New Roman" w:hAnsi="Times New Roman" w:cs="Times New Roman"/>
                <w:color w:val="000000"/>
                <w:spacing w:val="0"/>
                <w:w w:val="100"/>
                <w:position w:val="0"/>
                <w:sz w:val="18"/>
                <w:szCs w:val="18"/>
              </w:rPr>
              <w:t>F3002</w:t>
            </w:r>
            <w:r>
              <w:rPr>
                <w:color w:val="000000"/>
                <w:spacing w:val="0"/>
                <w:w w:val="100"/>
                <w:position w:val="0"/>
              </w:rPr>
              <w:t>号之</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 xml:space="preserve">间；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日，变更为汕头市中山东路珠池港区物流楼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206</w:t>
            </w:r>
            <w:r>
              <w:rPr>
                <w:color w:val="000000"/>
                <w:spacing w:val="0"/>
                <w:w w:val="100"/>
                <w:position w:val="0"/>
              </w:rPr>
              <w:t>房；</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 变更为汕头市嵩山路南</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号天澜国际大厦西塔</w:t>
            </w:r>
            <w:r>
              <w:rPr>
                <w:rFonts w:ascii="Times New Roman" w:eastAsia="Times New Roman" w:hAnsi="Times New Roman" w:cs="Times New Roman"/>
                <w:color w:val="000000"/>
                <w:spacing w:val="0"/>
                <w:w w:val="100"/>
                <w:position w:val="0"/>
                <w:sz w:val="18"/>
                <w:szCs w:val="18"/>
              </w:rPr>
              <w:t>2111-2112</w:t>
            </w:r>
            <w:r>
              <w:rPr>
                <w:color w:val="000000"/>
                <w:spacing w:val="0"/>
                <w:w w:val="100"/>
                <w:position w:val="0"/>
              </w:rPr>
              <w:t>房。</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广东省汕头市海滨路</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号海逸投资大厦</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515041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"http://www.tym" </w:instrText>
            </w:r>
            <w:r>
              <w:fldChar w:fldCharType="separate"/>
            </w:r>
            <w:r>
              <w:rPr>
                <w:rFonts w:ascii="Times New Roman" w:eastAsia="Times New Roman" w:hAnsi="Times New Roman" w:cs="Times New Roman"/>
                <w:color w:val="000000"/>
                <w:spacing w:val="0"/>
                <w:w w:val="100"/>
                <w:position w:val="0"/>
                <w:sz w:val="18"/>
                <w:szCs w:val="18"/>
              </w:rPr>
              <w:t>http://www.tym</w:t>
            </w:r>
            <w:r>
              <w:fldChar w:fldCharType="end"/>
            </w:r>
            <w:r>
              <w:rPr>
                <w:rFonts w:ascii="Times New Roman" w:eastAsia="Times New Roman" w:hAnsi="Times New Roman" w:cs="Times New Roman"/>
                <w:color w:val="000000"/>
                <w:spacing w:val="0"/>
                <w:w w:val="100"/>
                <w:position w:val="0"/>
                <w:sz w:val="18"/>
                <w:szCs w:val="18"/>
              </w:rPr>
              <w:t>. com. 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"mailto:Securities@tym.com.cn" </w:instrText>
            </w:r>
            <w:r>
              <w:fldChar w:fldCharType="separate"/>
            </w:r>
            <w:r>
              <w:rPr>
                <w:rFonts w:ascii="Times New Roman" w:eastAsia="Times New Roman" w:hAnsi="Times New Roman" w:cs="Times New Roman"/>
                <w:color w:val="000000"/>
                <w:spacing w:val="0"/>
                <w:w w:val="100"/>
                <w:position w:val="0"/>
                <w:sz w:val="18"/>
                <w:szCs w:val="18"/>
              </w:rPr>
              <w:t>Securities@tym.com.cn</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二</w:t>
      </w:r>
      <w:bookmarkEnd w:id="18"/>
      <w:r>
        <w:rPr>
          <w:color w:val="000000"/>
          <w:spacing w:val="0"/>
          <w:w w:val="100"/>
          <w:position w:val="0"/>
        </w:rPr>
        <w:t>、联系人和联系方式</w:t>
      </w:r>
      <w:bookmarkEnd w:id="16"/>
      <w:bookmarkEnd w:id="17"/>
      <w:bookmarkEnd w:id="19"/>
    </w:p>
    <w:tbl>
      <w:tblPr>
        <w:tblOverlap w:val="never"/>
        <w:jc w:val="center"/>
        <w:tblLayout w:type="fixed"/>
      </w:tblPr>
      <w:tblGrid>
        <w:gridCol w:w="3235"/>
        <w:gridCol w:w="3230"/>
        <w:gridCol w:w="324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李华青</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广东省汕头市海滨路</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号海逸投资大 厦</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0754-88880666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0754-88983999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"mailto:Securities@tym.com.cn" </w:instrText>
            </w:r>
            <w:r>
              <w:fldChar w:fldCharType="separate"/>
            </w:r>
            <w:r>
              <w:rPr>
                <w:rFonts w:ascii="Times New Roman" w:eastAsia="Times New Roman" w:hAnsi="Times New Roman" w:cs="Times New Roman"/>
                <w:color w:val="000000"/>
                <w:spacing w:val="0"/>
                <w:w w:val="100"/>
                <w:position w:val="0"/>
                <w:sz w:val="18"/>
                <w:szCs w:val="18"/>
              </w:rPr>
              <w:t>Securities@tym.com.cn</w:t>
            </w:r>
            <w:r>
              <w:fldChar w:fldCharType="end"/>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三</w:t>
      </w:r>
      <w:bookmarkEnd w:id="22"/>
      <w:r>
        <w:rPr>
          <w:color w:val="000000"/>
          <w:spacing w:val="0"/>
          <w:w w:val="100"/>
          <w:position w:val="0"/>
        </w:rPr>
        <w:t>、信息披露及备置地点</w:t>
      </w:r>
      <w:bookmarkEnd w:id="20"/>
      <w:bookmarkEnd w:id="21"/>
      <w:bookmarkEnd w:id="23"/>
    </w:p>
    <w:tbl>
      <w:tblPr>
        <w:tblOverlap w:val="never"/>
        <w:jc w:val="center"/>
        <w:tblLayout w:type="fixed"/>
      </w:tblPr>
      <w:tblGrid>
        <w:gridCol w:w="3264"/>
        <w:gridCol w:w="63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深圳证券交易所</w:t>
            </w:r>
            <w:r>
              <w:rPr>
                <w:rFonts w:ascii="Times New Roman" w:eastAsia="Times New Roman" w:hAnsi="Times New Roman" w:cs="Times New Roman"/>
                <w:color w:val="000000"/>
                <w:spacing w:val="0"/>
                <w:w w:val="100"/>
                <w:position w:val="0"/>
                <w:sz w:val="18"/>
                <w:szCs w:val="18"/>
              </w:rPr>
              <w:t>(</w:t>
            </w:r>
            <w:r>
              <w:fldChar w:fldCharType="begin"/>
            </w:r>
            <w:r>
              <w:rPr/>
              <w:instrText> HYPERLINK "http://www.szse.cn" </w:instrText>
            </w:r>
            <w:r>
              <w:fldChar w:fldCharType="separate"/>
            </w:r>
            <w:r>
              <w:rPr>
                <w:rFonts w:ascii="Times New Roman" w:eastAsia="Times New Roman" w:hAnsi="Times New Roman" w:cs="Times New Roman"/>
                <w:color w:val="000000"/>
                <w:spacing w:val="0"/>
                <w:w w:val="100"/>
                <w:position w:val="0"/>
                <w:sz w:val="18"/>
                <w:szCs w:val="18"/>
              </w:rPr>
              <w:t>http://www.szse.cn</w:t>
            </w:r>
            <w:r>
              <w:fldChar w:fldCharType="end"/>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证券部</w:t>
            </w:r>
          </w:p>
        </w:tc>
      </w:tr>
    </w:tbl>
    <w:p>
      <w:pPr>
        <w:spacing w:lineRule="exact" w:line="1"/>
        <w:rPr>
          <w:sz w:val="2"/>
          <w:szCs w:val="2"/>
        </w:rPr>
      </w:pPr>
      <w:r>
        <w:br w:type="page"/>
      </w:r>
    </w:p>
    <w:p>
      <w:pPr>
        <w:pStyle w:val="Style25"/>
        <w:keepNext/>
        <w:keepLines/>
        <w:widowControl w:val="0"/>
        <w:shd w:val="clear" w:color="auto" w:fill="auto"/>
        <w:bidi w:val="0"/>
        <w:spacing w:before="0" w:after="38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四</w:t>
      </w:r>
      <w:bookmarkEnd w:id="26"/>
      <w:r>
        <w:rPr>
          <w:color w:val="000000"/>
          <w:spacing w:val="0"/>
          <w:w w:val="100"/>
          <w:position w:val="0"/>
        </w:rPr>
        <w:t>、其他有关资料</w:t>
      </w:r>
      <w:bookmarkEnd w:id="24"/>
      <w:bookmarkEnd w:id="25"/>
      <w:bookmarkEnd w:id="27"/>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4402"/>
        <w:gridCol w:w="517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湖北省武汉市武昌区东湖路</w:t>
            </w:r>
            <w:r>
              <w:rPr>
                <w:rFonts w:ascii="Times New Roman" w:eastAsia="Times New Roman" w:hAnsi="Times New Roman" w:cs="Times New Roman"/>
                <w:color w:val="000000"/>
                <w:spacing w:val="0"/>
                <w:w w:val="100"/>
                <w:position w:val="0"/>
                <w:sz w:val="18"/>
                <w:szCs w:val="18"/>
              </w:rPr>
              <w:t>169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层</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巩启春、刘麟放</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公司聘请的报告期内履行持续督导职责的保荐机构</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72"/>
        <w:gridCol w:w="3154"/>
        <w:gridCol w:w="1843"/>
        <w:gridCol w:w="344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五矿证券有限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深圳市南山区粤海街道海珠社区滨海大 道</w:t>
            </w:r>
            <w:r>
              <w:rPr>
                <w:rFonts w:ascii="Times New Roman" w:eastAsia="Times New Roman" w:hAnsi="Times New Roman" w:cs="Times New Roman"/>
                <w:color w:val="000000"/>
                <w:spacing w:val="0"/>
                <w:w w:val="100"/>
                <w:position w:val="0"/>
                <w:sz w:val="18"/>
                <w:szCs w:val="18"/>
              </w:rPr>
              <w:t>3165</w:t>
            </w:r>
            <w:r>
              <w:rPr>
                <w:color w:val="000000"/>
                <w:spacing w:val="0"/>
                <w:w w:val="100"/>
                <w:position w:val="0"/>
                <w:sz w:val="17"/>
                <w:szCs w:val="17"/>
              </w:rPr>
              <w:t>号五矿金融大厦</w:t>
            </w:r>
            <w:r>
              <w:rPr>
                <w:rFonts w:ascii="Times New Roman" w:eastAsia="Times New Roman" w:hAnsi="Times New Roman" w:cs="Times New Roman"/>
                <w:color w:val="000000"/>
                <w:spacing w:val="0"/>
                <w:w w:val="100"/>
                <w:position w:val="0"/>
                <w:sz w:val="18"/>
                <w:szCs w:val="18"/>
              </w:rPr>
              <w:t>2401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温波、宋平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公司聘请的报告期内履行持续督导职责的财务顾问</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五</w:t>
      </w:r>
      <w:bookmarkEnd w:id="30"/>
      <w:r>
        <w:rPr>
          <w:color w:val="000000"/>
          <w:spacing w:val="0"/>
          <w:w w:val="100"/>
          <w:position w:val="0"/>
        </w:rPr>
        <w:t>、主要会计数据和财务指标</w:t>
      </w:r>
      <w:bookmarkEnd w:id="28"/>
      <w:bookmarkEnd w:id="29"/>
      <w:bookmarkEnd w:id="31"/>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公司是否需追溯调整或重述以前年度会计数据</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4363"/>
        <w:gridCol w:w="1315"/>
        <w:gridCol w:w="1181"/>
        <w:gridCol w:w="1790"/>
        <w:gridCol w:w="103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467,129,176.10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366,896,926.99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275,814,861.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55,657,076.39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54,462,271.53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48,114,596.1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归属于上市公司股东的扣除非经常性损益的净利润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51,948,488.27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50,994,419.91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45,615,713.2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-33,654,600.68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93,325,631.64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310,055.38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24.06%</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1,008,213,719.67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446,182,779.10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322,105,095.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818,790,589.03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252,972,412.09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212,238,025.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bl>
    <w:p>
      <w:pPr>
        <w:pStyle w:val="Style21"/>
        <w:keepNext w:val="0"/>
        <w:keepLines w:val="0"/>
        <w:widowControl w:val="0"/>
        <w:shd w:val="clear" w:color="auto" w:fill="auto"/>
        <w:bidi w:val="0"/>
        <w:spacing w:before="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line="317" w:lineRule="exact"/>
        <w:ind w:left="0" w:right="0" w:firstLine="0"/>
        <w:jc w:val="left"/>
      </w:pPr>
      <w:r>
        <w:rPr>
          <w:color w:val="000000"/>
          <w:spacing w:val="0"/>
          <w:w w:val="100"/>
          <w:position w:val="0"/>
        </w:rPr>
        <w:t>扣除非经常损益前后的净利润孰低者为负值</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公司报告期末至年度报告披露日股本是否因发行新股、增发、配股、股权激励行权、回购等原因发生变化且影响所有者权益</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金额</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4526"/>
        <w:gridCol w:w="50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支付的永续债利息（元）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1.1814</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六</w:t>
      </w:r>
      <w:bookmarkEnd w:id="34"/>
      <w:r>
        <w:rPr>
          <w:color w:val="000000"/>
          <w:spacing w:val="0"/>
          <w:w w:val="100"/>
          <w:position w:val="0"/>
        </w:rPr>
        <w:t>、分季度主要财务指标</w:t>
      </w:r>
      <w:bookmarkEnd w:id="32"/>
      <w:bookmarkEnd w:id="33"/>
      <w:bookmarkEnd w:id="35"/>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498"/>
        <w:gridCol w:w="1286"/>
        <w:gridCol w:w="1286"/>
        <w:gridCol w:w="1310"/>
        <w:gridCol w:w="133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32,858,676.18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90,695,869.34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111,207,743.19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232,366,887.39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-804,516.25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6,831,274.84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8,664,589.27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40,965,728.53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归属于上市公司股东的扣除非经常性损益的净利润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-989,673.73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6,131,170.02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8,585,014.02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38,221,977.96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-64,325,922.92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-26,226,814.28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-25,807,970.91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82,706,107.43</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上述财务指标或其加总数是否与公司已披露季度报告、半年度报告相关财务指标存在重大差异</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tabs>
          <w:tab w:pos="522" w:val="left"/>
        </w:tabs>
        <w:bidi w:val="0"/>
        <w:spacing w:before="0" w:after="38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rPr>
        <w:t>七</w:t>
      </w:r>
      <w:bookmarkEnd w:id="38"/>
      <w:r>
        <w:rPr>
          <w:color w:val="000000"/>
          <w:spacing w:val="0"/>
          <w:w w:val="100"/>
          <w:position w:val="0"/>
        </w:rPr>
        <w:t>、</w:t>
        <w:tab/>
        <w:t>境内外会计准则下会计数据差异</w:t>
      </w:r>
      <w:bookmarkEnd w:id="36"/>
      <w:bookmarkEnd w:id="37"/>
      <w:bookmarkEnd w:id="39"/>
    </w:p>
    <w:p>
      <w:pPr>
        <w:pStyle w:val="Style28"/>
        <w:keepNext/>
        <w:keepLines/>
        <w:widowControl w:val="0"/>
        <w:shd w:val="clear" w:color="auto" w:fill="auto"/>
        <w:tabs>
          <w:tab w:pos="395" w:val="left"/>
        </w:tabs>
        <w:bidi w:val="0"/>
        <w:spacing w:before="0" w:after="38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395" w:val="left"/>
        </w:tabs>
        <w:bidi w:val="0"/>
        <w:spacing w:before="0" w:after="380" w:line="240" w:lineRule="auto"/>
        <w:ind w:left="0" w:right="0" w:firstLine="0"/>
        <w:jc w:val="left"/>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22" w:val="left"/>
        </w:tabs>
        <w:bidi w:val="0"/>
        <w:spacing w:before="0" w:after="38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rPr>
        <w:t>八</w:t>
      </w:r>
      <w:bookmarkEnd w:id="50"/>
      <w:r>
        <w:rPr>
          <w:color w:val="000000"/>
          <w:spacing w:val="0"/>
          <w:w w:val="100"/>
          <w:position w:val="0"/>
        </w:rPr>
        <w:t>、</w:t>
        <w:tab/>
        <w:t>非经常性损益项目及金额</w:t>
      </w:r>
      <w:bookmarkEnd w:id="48"/>
      <w:bookmarkEnd w:id="49"/>
      <w:bookmarkEnd w:id="51"/>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240,565.11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-6,624.21</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计入当期损益的政府补助（与公司正常经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营业务密切相关，符合国家政策规定、按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4,173,860.35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3,569,127.18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2,864,617.11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67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照一定标准定额或定量持续享受的政府补 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494,923.32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60,621.65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717,129.92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611,974.62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440,994.19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3,708,588.12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3,467,851.62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2,498,882.86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其他符合非经常性损益定义的损益项目的具体情况:</w:t>
      </w:r>
    </w:p>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：非经常性损益项目中的数字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表示收益及收入，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表示损失或支出。</w:t>
      </w:r>
    </w:p>
    <w:p>
      <w:pPr>
        <w:pStyle w:val="Style21"/>
        <w:keepNext w:val="0"/>
        <w:keepLines w:val="0"/>
        <w:widowControl w:val="0"/>
        <w:shd w:val="clear" w:color="auto" w:fill="auto"/>
        <w:bidi w:val="0"/>
        <w:spacing w:before="0" w:after="0" w:line="319"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：本集团对非经常性损益项目的确认依照《公开发行证券的公司信息披露解释性公告第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号一非经常性损益》（证 监会公告</w:t>
      </w:r>
      <w:r>
        <w:rPr>
          <w:rFonts w:ascii="Times New Roman" w:eastAsia="Times New Roman" w:hAnsi="Times New Roman" w:cs="Times New Roman"/>
          <w:color w:val="000000"/>
          <w:spacing w:val="0"/>
          <w:w w:val="100"/>
          <w:position w:val="0"/>
          <w:sz w:val="18"/>
          <w:szCs w:val="18"/>
        </w:rPr>
        <w:t>[2008]43</w:t>
      </w:r>
      <w:r>
        <w:rPr>
          <w:color w:val="000000"/>
          <w:spacing w:val="0"/>
          <w:w w:val="100"/>
          <w:position w:val="0"/>
        </w:rPr>
        <w:t>号）的规定执行。</w:t>
      </w:r>
    </w:p>
    <w:p>
      <w:pPr>
        <w:pStyle w:val="Style21"/>
        <w:keepNext w:val="0"/>
        <w:keepLines w:val="0"/>
        <w:widowControl w:val="0"/>
        <w:shd w:val="clear" w:color="auto" w:fill="auto"/>
        <w:bidi w:val="0"/>
        <w:spacing w:before="0" w:line="319" w:lineRule="exact"/>
        <w:ind w:left="0" w:right="0" w:firstLine="38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：其他符合非经常性损益定义的损益项目，包括银行理财产品取得的投资收益、代扣个人所得税手续费返还、增值 税进项税额加计扣除等 </w:t>
      </w: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21"/>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118"/>
        <w:gridCol w:w="1594"/>
        <w:gridCol w:w="39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软件产品增值税税负超过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部分即征即退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78,168.18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与公司主营业务活动相关，可以持续取得</w:t>
            </w:r>
          </w:p>
        </w:tc>
      </w:tr>
    </w:tbl>
    <w:p>
      <w:pPr>
        <w:sectPr>
          <w:footnotePr>
            <w:pos w:val="pageBottom"/>
            <w:numFmt w:val="decimal"/>
            <w:numRestart w:val="continuous"/>
          </w:footnotePr>
          <w:pgSz w:w="11900" w:h="16840"/>
          <w:pgMar w:top="1441" w:right="1092" w:bottom="1451" w:left="1097" w:header="0" w:footer="3" w:gutter="0"/>
          <w:cols w:space="720"/>
          <w:noEndnote/>
          <w:rtlGutter w:val="0"/>
          <w:docGrid w:linePitch="360"/>
        </w:sectPr>
      </w:pPr>
    </w:p>
    <w:p>
      <w:pPr>
        <w:pStyle w:val="Style9"/>
        <w:keepNext/>
        <w:keepLines/>
        <w:widowControl w:val="0"/>
        <w:shd w:val="clear" w:color="auto" w:fill="auto"/>
        <w:bidi w:val="0"/>
        <w:spacing w:before="520" w:line="240" w:lineRule="auto"/>
        <w:ind w:left="0" w:right="0" w:firstLine="0"/>
        <w:jc w:val="center"/>
      </w:pPr>
      <w:bookmarkStart w:id="52" w:name="bookmark52"/>
      <w:bookmarkStart w:id="53" w:name="bookmark53"/>
      <w:bookmarkStart w:id="54" w:name="bookmark54"/>
      <w:r>
        <w:rPr>
          <w:color w:val="000000"/>
          <w:spacing w:val="0"/>
          <w:w w:val="100"/>
          <w:position w:val="0"/>
        </w:rPr>
        <w:t>第三节管理层讨论与分析</w:t>
      </w:r>
      <w:bookmarkEnd w:id="52"/>
      <w:bookmarkEnd w:id="53"/>
      <w:bookmarkEnd w:id="54"/>
    </w:p>
    <w:p>
      <w:pPr>
        <w:pStyle w:val="Style25"/>
        <w:keepNext/>
        <w:keepLines/>
        <w:widowControl w:val="0"/>
        <w:shd w:val="clear" w:color="auto" w:fill="auto"/>
        <w:bidi w:val="0"/>
        <w:spacing w:before="0" w:after="300" w:line="240" w:lineRule="auto"/>
        <w:ind w:left="0" w:right="0" w:firstLine="0"/>
        <w:jc w:val="left"/>
      </w:pPr>
      <w:bookmarkStart w:id="55" w:name="bookmark55"/>
      <w:bookmarkStart w:id="56" w:name="bookmark56"/>
      <w:bookmarkStart w:id="57" w:name="bookmark57"/>
      <w:bookmarkStart w:id="58" w:name="bookmark58"/>
      <w:bookmarkStart w:id="59" w:name="bookmark59"/>
      <w:r>
        <w:rPr>
          <w:color w:val="000000"/>
          <w:spacing w:val="0"/>
          <w:w w:val="100"/>
          <w:position w:val="0"/>
        </w:rPr>
        <w:t>一</w:t>
      </w:r>
      <w:bookmarkEnd w:id="58"/>
      <w:r>
        <w:rPr>
          <w:color w:val="000000"/>
          <w:spacing w:val="0"/>
          <w:w w:val="100"/>
          <w:position w:val="0"/>
        </w:rPr>
        <w:t>、报告期内公司所处行业情况</w:t>
      </w:r>
      <w:bookmarkEnd w:id="56"/>
      <w:bookmarkEnd w:id="57"/>
      <w:bookmarkEnd w:id="59"/>
      <w:bookmarkEnd w:id="55"/>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按照中国证监会《上市公司行业分类指引》，公司所属行业为</w:t>
      </w:r>
      <w:r>
        <w:rPr>
          <w:rFonts w:ascii="Times New Roman" w:eastAsia="Times New Roman" w:hAnsi="Times New Roman" w:cs="Times New Roman"/>
          <w:color w:val="000000"/>
          <w:spacing w:val="0"/>
          <w:w w:val="100"/>
          <w:position w:val="0"/>
        </w:rPr>
        <w:t>“</w:t>
      </w:r>
      <w:r>
        <w:rPr>
          <w:color w:val="000000"/>
          <w:spacing w:val="0"/>
          <w:w w:val="100"/>
          <w:position w:val="0"/>
        </w:rPr>
        <w:t>软件和信息技术服务业</w:t>
      </w:r>
      <w:r>
        <w:rPr>
          <w:rFonts w:ascii="Times New Roman" w:eastAsia="Times New Roman" w:hAnsi="Times New Roman" w:cs="Times New Roman"/>
          <w:color w:val="000000"/>
          <w:spacing w:val="0"/>
          <w:w w:val="100"/>
          <w:position w:val="0"/>
        </w:rPr>
        <w:t>”</w:t>
      </w:r>
      <w:r>
        <w:rPr>
          <w:color w:val="000000"/>
          <w:spacing w:val="0"/>
          <w:w w:val="100"/>
          <w:position w:val="0"/>
        </w:rPr>
        <w:t>，公司行业细 分领域为智慧政务、智慧教育、智慧医疗及其他智慧城市行业。</w:t>
      </w:r>
    </w:p>
    <w:p>
      <w:pPr>
        <w:pStyle w:val="Style31"/>
        <w:keepNext w:val="0"/>
        <w:keepLines w:val="0"/>
        <w:widowControl w:val="0"/>
        <w:shd w:val="clear" w:color="auto" w:fill="auto"/>
        <w:tabs>
          <w:tab w:pos="1011" w:val="left"/>
        </w:tabs>
        <w:bidi w:val="0"/>
        <w:spacing w:before="0" w:line="312" w:lineRule="exact"/>
        <w:ind w:left="0" w:right="0" w:firstLine="440"/>
        <w:jc w:val="both"/>
      </w:pPr>
      <w:bookmarkStart w:id="60" w:name="bookmark60"/>
      <w:r>
        <w:rPr>
          <w:color w:val="000000"/>
          <w:spacing w:val="0"/>
          <w:w w:val="100"/>
          <w:position w:val="0"/>
        </w:rPr>
        <w:t>（</w:t>
      </w:r>
      <w:bookmarkEnd w:id="60"/>
      <w:r>
        <w:rPr>
          <w:color w:val="000000"/>
          <w:spacing w:val="0"/>
          <w:w w:val="100"/>
          <w:position w:val="0"/>
        </w:rPr>
        <w:t>一）</w:t>
        <w:tab/>
        <w:t>软件和信息技术服务行业概况</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“十四五”时期是信息化建设转向高质量发展阶段，数字经济迈向全面扩展期，软件和服务技术行业 快速成长，产业规模不断扩大。</w:t>
      </w:r>
    </w:p>
    <w:p>
      <w:pPr>
        <w:pStyle w:val="Style31"/>
        <w:keepNext w:val="0"/>
        <w:keepLines w:val="0"/>
        <w:widowControl w:val="0"/>
        <w:shd w:val="clear" w:color="auto" w:fill="auto"/>
        <w:bidi w:val="0"/>
        <w:spacing w:before="0" w:line="308" w:lineRule="exact"/>
        <w:ind w:left="0" w:right="0" w:firstLine="440"/>
        <w:jc w:val="both"/>
      </w:pPr>
      <w:r>
        <w:rPr>
          <w:color w:val="000000"/>
          <w:spacing w:val="0"/>
          <w:w w:val="100"/>
          <w:position w:val="0"/>
        </w:rPr>
        <w:t>国务院印发《“十四五”数字经济发展规划》提出，数字经济是继农业经济、工业经济之后的主要经 济形态。</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时期，数字经济为经济社会持续健康发展提供了强大动力，数字政府建设成效显著，“十 四五”时期要求数字化创新引领发展能力大幅提升，智能化水平明显增强，数字基础设施广泛融入生产生 活，对政务服务、公共服务、民生保障、社会治理的支撑作用进一步凸显。</w:t>
      </w:r>
      <w:r>
        <w:rPr>
          <w:rFonts w:ascii="Times New Roman" w:eastAsia="Times New Roman" w:hAnsi="Times New Roman" w:cs="Times New Roman"/>
          <w:color w:val="000000"/>
          <w:spacing w:val="0"/>
          <w:w w:val="100"/>
          <w:position w:val="0"/>
        </w:rPr>
        <w:t>2025</w:t>
      </w:r>
      <w:r>
        <w:rPr>
          <w:color w:val="000000"/>
          <w:spacing w:val="0"/>
          <w:w w:val="100"/>
          <w:position w:val="0"/>
        </w:rPr>
        <w:t>年，实现数字经济核心产 业增加值占</w:t>
      </w:r>
      <w:r>
        <w:rPr>
          <w:rFonts w:ascii="Times New Roman" w:eastAsia="Times New Roman" w:hAnsi="Times New Roman" w:cs="Times New Roman"/>
          <w:color w:val="000000"/>
          <w:spacing w:val="0"/>
          <w:w w:val="100"/>
          <w:position w:val="0"/>
        </w:rPr>
        <w:t>GDP</w:t>
      </w:r>
      <w:r>
        <w:rPr>
          <w:color w:val="000000"/>
          <w:spacing w:val="0"/>
          <w:w w:val="100"/>
          <w:position w:val="0"/>
        </w:rPr>
        <w:t>比重达到</w:t>
      </w:r>
      <w:r>
        <w:rPr>
          <w:rFonts w:ascii="Times New Roman" w:eastAsia="Times New Roman" w:hAnsi="Times New Roman" w:cs="Times New Roman"/>
          <w:color w:val="000000"/>
          <w:spacing w:val="0"/>
          <w:w w:val="100"/>
          <w:position w:val="0"/>
        </w:rPr>
        <w:t>10%</w:t>
      </w:r>
      <w:r>
        <w:rPr>
          <w:color w:val="000000"/>
          <w:spacing w:val="0"/>
          <w:w w:val="100"/>
          <w:position w:val="0"/>
        </w:rPr>
        <w:t>，软件和信息技术服务业规模达到</w:t>
      </w:r>
      <w:r>
        <w:rPr>
          <w:rFonts w:ascii="Times New Roman" w:eastAsia="Times New Roman" w:hAnsi="Times New Roman" w:cs="Times New Roman"/>
          <w:color w:val="000000"/>
          <w:spacing w:val="0"/>
          <w:w w:val="100"/>
          <w:position w:val="0"/>
        </w:rPr>
        <w:t>14</w:t>
      </w:r>
      <w:r>
        <w:rPr>
          <w:color w:val="000000"/>
          <w:spacing w:val="0"/>
          <w:w w:val="100"/>
          <w:position w:val="0"/>
        </w:rPr>
        <w:t>万亿元。</w:t>
      </w:r>
    </w:p>
    <w:p>
      <w:pPr>
        <w:pStyle w:val="Style31"/>
        <w:keepNext w:val="0"/>
        <w:keepLines w:val="0"/>
        <w:widowControl w:val="0"/>
        <w:shd w:val="clear" w:color="auto" w:fill="auto"/>
        <w:bidi w:val="0"/>
        <w:spacing w:before="0" w:line="319"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软件和信息技术服务业统计公报》公开数据显示，</w:t>
      </w:r>
      <w:r>
        <w:rPr>
          <w:rFonts w:ascii="Times New Roman" w:eastAsia="Times New Roman" w:hAnsi="Times New Roman" w:cs="Times New Roman"/>
          <w:color w:val="000000"/>
          <w:spacing w:val="0"/>
          <w:w w:val="100"/>
          <w:position w:val="0"/>
        </w:rPr>
        <w:t>2021</w:t>
      </w:r>
      <w:r>
        <w:rPr>
          <w:color w:val="000000"/>
          <w:spacing w:val="0"/>
          <w:w w:val="100"/>
          <w:position w:val="0"/>
        </w:rPr>
        <w:t>年全国软件和信息技术服务业规模以上 累计完成软件业务收入</w:t>
      </w:r>
      <w:r>
        <w:rPr>
          <w:rFonts w:ascii="Times New Roman" w:eastAsia="Times New Roman" w:hAnsi="Times New Roman" w:cs="Times New Roman"/>
          <w:color w:val="000000"/>
          <w:spacing w:val="0"/>
          <w:w w:val="100"/>
          <w:position w:val="0"/>
        </w:rPr>
        <w:t>94,994.00</w:t>
      </w:r>
      <w:r>
        <w:rPr>
          <w:color w:val="000000"/>
          <w:spacing w:val="0"/>
          <w:w w:val="100"/>
          <w:position w:val="0"/>
        </w:rPr>
        <w:t>亿元，同比增长</w:t>
      </w:r>
      <w:r>
        <w:rPr>
          <w:rFonts w:ascii="Times New Roman" w:eastAsia="Times New Roman" w:hAnsi="Times New Roman" w:cs="Times New Roman"/>
          <w:color w:val="000000"/>
          <w:spacing w:val="0"/>
          <w:w w:val="100"/>
          <w:position w:val="0"/>
        </w:rPr>
        <w:t>17.7%</w:t>
      </w:r>
      <w:r>
        <w:rPr>
          <w:color w:val="000000"/>
          <w:spacing w:val="0"/>
          <w:w w:val="100"/>
          <w:position w:val="0"/>
        </w:rPr>
        <w:t>，两年复合增长率为</w:t>
      </w:r>
      <w:r>
        <w:rPr>
          <w:rFonts w:ascii="Times New Roman" w:eastAsia="Times New Roman" w:hAnsi="Times New Roman" w:cs="Times New Roman"/>
          <w:color w:val="000000"/>
          <w:spacing w:val="0"/>
          <w:w w:val="100"/>
          <w:position w:val="0"/>
        </w:rPr>
        <w:t>15.5%</w:t>
      </w:r>
      <w:r>
        <w:rPr>
          <w:color w:val="000000"/>
          <w:spacing w:val="0"/>
          <w:w w:val="100"/>
          <w:position w:val="0"/>
        </w:rPr>
        <w:t>。行业运行态势良好，软 件业务收入保持较快增长，盈利能力稳步提升，“十四五”实现良好开局。</w:t>
      </w:r>
    </w:p>
    <w:p>
      <w:pPr>
        <w:pStyle w:val="Style31"/>
        <w:keepNext w:val="0"/>
        <w:keepLines w:val="0"/>
        <w:widowControl w:val="0"/>
        <w:shd w:val="clear" w:color="auto" w:fill="auto"/>
        <w:tabs>
          <w:tab w:pos="1011" w:val="left"/>
        </w:tabs>
        <w:bidi w:val="0"/>
        <w:spacing w:before="0" w:line="312" w:lineRule="exact"/>
        <w:ind w:left="0" w:right="0" w:firstLine="440"/>
        <w:jc w:val="both"/>
      </w:pPr>
      <w:bookmarkStart w:id="61" w:name="bookmark61"/>
      <w:r>
        <w:rPr>
          <w:color w:val="000000"/>
          <w:spacing w:val="0"/>
          <w:w w:val="100"/>
          <w:position w:val="0"/>
        </w:rPr>
        <w:t>（</w:t>
      </w:r>
      <w:bookmarkEnd w:id="61"/>
      <w:r>
        <w:rPr>
          <w:color w:val="000000"/>
          <w:spacing w:val="0"/>
          <w:w w:val="100"/>
          <w:position w:val="0"/>
        </w:rPr>
        <w:t>二）</w:t>
        <w:tab/>
        <w:t>智慧城市行业概况</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智慧城市是信息化和城镇化结合产物，实现城市管理精细化、智能化，有效解决城市化发展中的诸多 难题，带动产业经济转型。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月，工信部发布了《“十四五”软件和信息技术服务业发展规划》， 提出激发数字化发展新需求，推进重点领域数字化发展，持续征集并推广智慧城市典型解决方案，支持城 市大脑、精准惠民、智慧政务、城市体检等城市级创新应用，培育软件与智慧社会融合发展的新模式、新 应用、新业态。</w:t>
      </w:r>
    </w:p>
    <w:p>
      <w:pPr>
        <w:pStyle w:val="Style31"/>
        <w:keepNext w:val="0"/>
        <w:keepLines w:val="0"/>
        <w:widowControl w:val="0"/>
        <w:shd w:val="clear" w:color="auto" w:fill="auto"/>
        <w:bidi w:val="0"/>
        <w:spacing w:before="0" w:after="220" w:line="310" w:lineRule="exact"/>
        <w:ind w:left="0" w:right="0" w:firstLine="440"/>
        <w:jc w:val="both"/>
      </w:pPr>
      <w:r>
        <w:rPr>
          <w:color w:val="000000"/>
          <w:spacing w:val="0"/>
          <w:w w:val="100"/>
          <w:position w:val="0"/>
        </w:rPr>
        <w:t>公司主营业务聚焦于智慧政务领域，同时涉及智慧教育、智慧医疗等智慧城市其他领域。随着《中华 人民共和国国民经济和社会发展第十四个五年规划和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年远景目标纲要》等重要文件的陆续颁布，以及 大数据、云计算、</w:t>
      </w:r>
      <w:r>
        <w:rPr>
          <w:rFonts w:ascii="Times New Roman" w:eastAsia="Times New Roman" w:hAnsi="Times New Roman" w:cs="Times New Roman"/>
          <w:color w:val="000000"/>
          <w:spacing w:val="0"/>
          <w:w w:val="100"/>
          <w:position w:val="0"/>
        </w:rPr>
        <w:t>GIS</w:t>
      </w:r>
      <w:r>
        <w:rPr>
          <w:color w:val="000000"/>
          <w:spacing w:val="0"/>
          <w:w w:val="100"/>
          <w:position w:val="0"/>
        </w:rPr>
        <w:t>、</w:t>
      </w:r>
      <w:r>
        <w:rPr>
          <w:color w:val="000000"/>
          <w:spacing w:val="0"/>
          <w:w w:val="100"/>
          <w:position w:val="0"/>
        </w:rPr>
        <w:t>物联网、人工智能等新一代信息技术的发展、迭代，智慧政务、智慧教育、智慧 医疗等智慧城市领域快速发展。</w:t>
      </w:r>
    </w:p>
    <w:p>
      <w:pPr>
        <w:pStyle w:val="Style31"/>
        <w:keepNext w:val="0"/>
        <w:keepLines w:val="0"/>
        <w:widowControl w:val="0"/>
        <w:numPr>
          <w:ilvl w:val="0"/>
          <w:numId w:val="1"/>
        </w:numPr>
        <w:shd w:val="clear" w:color="auto" w:fill="auto"/>
        <w:tabs>
          <w:tab w:pos="732" w:val="left"/>
        </w:tabs>
        <w:bidi w:val="0"/>
        <w:spacing w:before="0" w:after="60" w:line="326" w:lineRule="auto"/>
        <w:ind w:left="0" w:right="0" w:firstLine="440"/>
        <w:jc w:val="both"/>
      </w:pPr>
      <w:bookmarkStart w:id="62" w:name="bookmark62"/>
      <w:bookmarkEnd w:id="62"/>
      <w:r>
        <w:rPr>
          <w:color w:val="000000"/>
          <w:spacing w:val="0"/>
          <w:w w:val="100"/>
          <w:position w:val="0"/>
        </w:rPr>
        <w:t>智慧政务</w:t>
      </w:r>
    </w:p>
    <w:p>
      <w:pPr>
        <w:pStyle w:val="Style31"/>
        <w:keepNext w:val="0"/>
        <w:keepLines w:val="0"/>
        <w:widowControl w:val="0"/>
        <w:shd w:val="clear" w:color="auto" w:fill="auto"/>
        <w:bidi w:val="0"/>
        <w:spacing w:before="0" w:line="307" w:lineRule="exact"/>
        <w:ind w:left="0" w:right="0" w:firstLine="440"/>
        <w:jc w:val="both"/>
      </w:pPr>
      <w:r>
        <w:rPr>
          <w:color w:val="000000"/>
          <w:spacing w:val="0"/>
          <w:w w:val="100"/>
          <w:position w:val="0"/>
        </w:rPr>
        <w:t>智慧政务是智慧城市建设中的重点领域，运用云计算、大数据、物联网、人工智能等技术，通过监测、 整合、分析、智能响应，实现各职能部门的各种资源的高度整合，提高政府的业务办理和管理效率。</w:t>
      </w:r>
    </w:p>
    <w:p>
      <w:pPr>
        <w:pStyle w:val="Style31"/>
        <w:keepNext w:val="0"/>
        <w:keepLines w:val="0"/>
        <w:widowControl w:val="0"/>
        <w:shd w:val="clear" w:color="auto" w:fill="auto"/>
        <w:bidi w:val="0"/>
        <w:spacing w:before="0" w:line="317" w:lineRule="exact"/>
        <w:ind w:left="0" w:right="0" w:firstLine="440"/>
        <w:jc w:val="both"/>
      </w:pPr>
      <w:r>
        <w:rPr>
          <w:color w:val="000000"/>
          <w:spacing w:val="0"/>
          <w:w w:val="100"/>
          <w:position w:val="0"/>
        </w:rPr>
        <w:t>在</w:t>
      </w:r>
      <w:r>
        <w:rPr>
          <w:rFonts w:ascii="Times New Roman" w:eastAsia="Times New Roman" w:hAnsi="Times New Roman" w:cs="Times New Roman"/>
          <w:color w:val="000000"/>
          <w:spacing w:val="0"/>
          <w:w w:val="100"/>
          <w:position w:val="0"/>
        </w:rPr>
        <w:t>“</w:t>
      </w:r>
      <w:r>
        <w:rPr>
          <w:color w:val="000000"/>
          <w:spacing w:val="0"/>
          <w:w w:val="100"/>
          <w:position w:val="0"/>
        </w:rPr>
        <w:t>十三五''时期，我国政务信息化建设持续投入并取得显著进展。根据国家发展和改革委员会发布的 《“十四五”推进国家政务信息化规划》，“十四五”阶段的政务信息化建设迈入融慧治理新阶段，要逐 步形成新型数字政府治理模式，数字治理能力显著提升，网络安全保障能力进一步增强；并要求开发利用 政务大数据，发展壮大融合创新大平台，统筹建设协同治理大系统。</w:t>
      </w:r>
    </w:p>
    <w:p>
      <w:pPr>
        <w:pStyle w:val="Style31"/>
        <w:keepNext w:val="0"/>
        <w:keepLines w:val="0"/>
        <w:widowControl w:val="0"/>
        <w:shd w:val="clear" w:color="auto" w:fill="auto"/>
        <w:bidi w:val="0"/>
        <w:spacing w:before="0" w:after="220" w:line="312" w:lineRule="exact"/>
        <w:ind w:left="0" w:right="0" w:firstLine="440"/>
        <w:jc w:val="left"/>
      </w:pPr>
      <w:r>
        <w:rPr>
          <w:color w:val="000000"/>
          <w:spacing w:val="0"/>
          <w:w w:val="100"/>
          <w:position w:val="0"/>
        </w:rPr>
        <w:t>伴随着新一代信息技术的快速发展和政务服务需求的不断升级，智慧政务市场规模将持续增长。</w:t>
      </w:r>
    </w:p>
    <w:p>
      <w:pPr>
        <w:pStyle w:val="Style31"/>
        <w:keepNext w:val="0"/>
        <w:keepLines w:val="0"/>
        <w:widowControl w:val="0"/>
        <w:numPr>
          <w:ilvl w:val="0"/>
          <w:numId w:val="1"/>
        </w:numPr>
        <w:shd w:val="clear" w:color="auto" w:fill="auto"/>
        <w:tabs>
          <w:tab w:pos="752" w:val="left"/>
        </w:tabs>
        <w:bidi w:val="0"/>
        <w:spacing w:before="0" w:line="326" w:lineRule="auto"/>
        <w:ind w:left="0" w:right="0" w:firstLine="440"/>
        <w:jc w:val="both"/>
      </w:pPr>
      <w:bookmarkStart w:id="63" w:name="bookmark63"/>
      <w:bookmarkEnd w:id="63"/>
      <w:r>
        <w:rPr>
          <w:color w:val="000000"/>
          <w:spacing w:val="0"/>
          <w:w w:val="100"/>
          <w:position w:val="0"/>
        </w:rPr>
        <w:t>智慧教育</w:t>
      </w:r>
    </w:p>
    <w:p>
      <w:pPr>
        <w:pStyle w:val="Style31"/>
        <w:keepNext w:val="0"/>
        <w:keepLines w:val="0"/>
        <w:widowControl w:val="0"/>
        <w:shd w:val="clear" w:color="auto" w:fill="auto"/>
        <w:bidi w:val="0"/>
        <w:spacing w:before="0" w:line="314" w:lineRule="exact"/>
        <w:ind w:left="0" w:right="0" w:firstLine="440"/>
        <w:jc w:val="left"/>
      </w:pPr>
      <w:r>
        <w:rPr>
          <w:color w:val="000000"/>
          <w:spacing w:val="0"/>
          <w:w w:val="100"/>
          <w:position w:val="0"/>
        </w:rPr>
        <w:t>智慧教育即教育信息化，具有数字化、网络化、智能化和多媒体化等特点，有助于解决教学过程中的 重点和难点、实现教育资源共享、提高教学管理效率，推进实现素质教育。新一代信息技术的发展进一步 推动了教育信息化的持续升级和深化应用。</w:t>
      </w:r>
    </w:p>
    <w:p>
      <w:pPr>
        <w:pStyle w:val="Style31"/>
        <w:keepNext w:val="0"/>
        <w:keepLines w:val="0"/>
        <w:widowControl w:val="0"/>
        <w:shd w:val="clear" w:color="auto" w:fill="auto"/>
        <w:bidi w:val="0"/>
        <w:spacing w:before="0" w:line="314" w:lineRule="exact"/>
        <w:ind w:left="0" w:right="0" w:firstLine="440"/>
        <w:jc w:val="left"/>
      </w:pPr>
      <w:r>
        <w:rPr>
          <w:rFonts w:ascii="Times New Roman" w:eastAsia="Times New Roman" w:hAnsi="Times New Roman" w:cs="Times New Roman"/>
          <w:color w:val="000000"/>
          <w:spacing w:val="0"/>
          <w:w w:val="100"/>
          <w:position w:val="0"/>
        </w:rPr>
        <w:t>2018</w:t>
      </w:r>
      <w:r>
        <w:rPr>
          <w:color w:val="000000"/>
          <w:spacing w:val="0"/>
          <w:w w:val="100"/>
          <w:position w:val="0"/>
        </w:rPr>
        <w:t>年，教育部发布《教育信息化</w:t>
      </w:r>
      <w:r>
        <w:rPr>
          <w:rFonts w:ascii="Times New Roman" w:eastAsia="Times New Roman" w:hAnsi="Times New Roman" w:cs="Times New Roman"/>
          <w:color w:val="000000"/>
          <w:spacing w:val="0"/>
          <w:w w:val="100"/>
          <w:position w:val="0"/>
        </w:rPr>
        <w:t>2.0</w:t>
      </w:r>
      <w:r>
        <w:rPr>
          <w:color w:val="000000"/>
          <w:spacing w:val="0"/>
          <w:w w:val="100"/>
          <w:position w:val="0"/>
        </w:rPr>
        <w:t>行动计划》强调教育信息化是教育现代化的基本内涵和显著特征， 要求</w:t>
      </w:r>
      <w:r>
        <w:rPr>
          <w:rFonts w:ascii="Times New Roman" w:eastAsia="Times New Roman" w:hAnsi="Times New Roman" w:cs="Times New Roman"/>
          <w:color w:val="000000"/>
          <w:spacing w:val="0"/>
          <w:w w:val="100"/>
          <w:position w:val="0"/>
        </w:rPr>
        <w:t>“</w:t>
      </w:r>
      <w:r>
        <w:rPr>
          <w:color w:val="000000"/>
          <w:spacing w:val="0"/>
          <w:w w:val="100"/>
          <w:position w:val="0"/>
        </w:rPr>
        <w:t>到</w:t>
      </w:r>
      <w:r>
        <w:rPr>
          <w:rFonts w:ascii="Times New Roman" w:eastAsia="Times New Roman" w:hAnsi="Times New Roman" w:cs="Times New Roman"/>
          <w:color w:val="000000"/>
          <w:spacing w:val="0"/>
          <w:w w:val="100"/>
          <w:position w:val="0"/>
        </w:rPr>
        <w:t>2022</w:t>
      </w:r>
      <w:r>
        <w:rPr>
          <w:color w:val="000000"/>
          <w:spacing w:val="0"/>
          <w:w w:val="100"/>
          <w:position w:val="0"/>
        </w:rPr>
        <w:t>年基本实现</w:t>
      </w:r>
      <w:r>
        <w:rPr>
          <w:rFonts w:ascii="Times New Roman" w:eastAsia="Times New Roman" w:hAnsi="Times New Roman" w:cs="Times New Roman"/>
          <w:color w:val="000000"/>
          <w:spacing w:val="0"/>
          <w:w w:val="100"/>
          <w:position w:val="0"/>
        </w:rPr>
        <w:t>‘</w:t>
      </w:r>
      <w:r>
        <w:rPr>
          <w:color w:val="000000"/>
          <w:spacing w:val="0"/>
          <w:w w:val="100"/>
          <w:position w:val="0"/>
        </w:rPr>
        <w:t>三全两高一大</w:t>
      </w:r>
      <w:r>
        <w:rPr>
          <w:rFonts w:ascii="Times New Roman" w:eastAsia="Times New Roman" w:hAnsi="Times New Roman" w:cs="Times New Roman"/>
          <w:color w:val="000000"/>
          <w:spacing w:val="0"/>
          <w:w w:val="100"/>
          <w:position w:val="0"/>
        </w:rPr>
        <w:t>’</w:t>
      </w:r>
      <w:r>
        <w:rPr>
          <w:color w:val="000000"/>
          <w:spacing w:val="0"/>
          <w:w w:val="100"/>
          <w:position w:val="0"/>
        </w:rPr>
        <w:t>的发展目标，即教学应用覆盖全体教师、学习应用覆盖全体适龄学 生、数字校园建设覆盖全体学校，信息化应用水平和师生信息素养普遍提高，建成‘互联网+教育’大平 台”。</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月，国务院印发的《中国教育现代化</w:t>
      </w:r>
      <w:r>
        <w:rPr>
          <w:rFonts w:ascii="Times New Roman" w:eastAsia="Times New Roman" w:hAnsi="Times New Roman" w:cs="Times New Roman"/>
          <w:color w:val="000000"/>
          <w:spacing w:val="0"/>
          <w:w w:val="100"/>
          <w:position w:val="0"/>
        </w:rPr>
        <w:t>2035</w:t>
      </w:r>
      <w:r>
        <w:rPr>
          <w:color w:val="000000"/>
          <w:spacing w:val="0"/>
          <w:w w:val="100"/>
          <w:position w:val="0"/>
        </w:rPr>
        <w:t>》中将“加快信息化时代教育变革”列为十大战 略任务之一。同时，国务院办公厅下发了《加快推进教育现代化实施方案</w:t>
      </w:r>
      <w:r>
        <w:rPr>
          <w:color w:val="000000"/>
          <w:spacing w:val="0"/>
          <w:w w:val="100"/>
          <w:position w:val="0"/>
        </w:rPr>
        <w:t>（</w:t>
      </w:r>
      <w:r>
        <w:rPr>
          <w:rFonts w:ascii="Times New Roman" w:eastAsia="Times New Roman" w:hAnsi="Times New Roman" w:cs="Times New Roman"/>
          <w:color w:val="000000"/>
          <w:spacing w:val="0"/>
          <w:w w:val="100"/>
          <w:position w:val="0"/>
        </w:rPr>
        <w:t>2018-2022</w:t>
      </w:r>
      <w:r>
        <w:rPr>
          <w:color w:val="000000"/>
          <w:spacing w:val="0"/>
          <w:w w:val="100"/>
          <w:position w:val="0"/>
        </w:rPr>
        <w:t>）</w:t>
      </w:r>
      <w:r>
        <w:rPr>
          <w:color w:val="000000"/>
          <w:spacing w:val="0"/>
          <w:w w:val="100"/>
          <w:position w:val="0"/>
        </w:rPr>
        <w:t>》也提出以信息化 手段服务教育全过程，加快推进智慧教育创新发展，构建“互联网+教育”支撑服务平台。</w:t>
      </w:r>
    </w:p>
    <w:p>
      <w:pPr>
        <w:pStyle w:val="Style31"/>
        <w:keepNext w:val="0"/>
        <w:keepLines w:val="0"/>
        <w:widowControl w:val="0"/>
        <w:shd w:val="clear" w:color="auto" w:fill="auto"/>
        <w:bidi w:val="0"/>
        <w:spacing w:before="0" w:after="240" w:line="326"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年以来，受新型冠状病毒疫情的影响，“云课堂”平台、在线教育成为保障各地“停课不停学” 的重要方案，带动教育信息化需求规模增长。</w:t>
      </w:r>
    </w:p>
    <w:p>
      <w:pPr>
        <w:pStyle w:val="Style31"/>
        <w:keepNext w:val="0"/>
        <w:keepLines w:val="0"/>
        <w:widowControl w:val="0"/>
        <w:numPr>
          <w:ilvl w:val="0"/>
          <w:numId w:val="1"/>
        </w:numPr>
        <w:shd w:val="clear" w:color="auto" w:fill="auto"/>
        <w:bidi w:val="0"/>
        <w:spacing w:before="0" w:after="60"/>
        <w:ind w:left="0" w:right="0" w:firstLine="440"/>
        <w:jc w:val="left"/>
      </w:pPr>
      <w:bookmarkStart w:id="64" w:name="bookmark64"/>
      <w:bookmarkEnd w:id="64"/>
      <w:r>
        <w:rPr>
          <w:color w:val="000000"/>
          <w:spacing w:val="0"/>
          <w:w w:val="100"/>
          <w:position w:val="0"/>
        </w:rPr>
        <w:t>智慧医疗</w:t>
      </w:r>
    </w:p>
    <w:p>
      <w:pPr>
        <w:pStyle w:val="Style31"/>
        <w:keepNext w:val="0"/>
        <w:keepLines w:val="0"/>
        <w:widowControl w:val="0"/>
        <w:shd w:val="clear" w:color="auto" w:fill="auto"/>
        <w:bidi w:val="0"/>
        <w:spacing w:before="0" w:line="312" w:lineRule="exact"/>
        <w:ind w:left="0" w:right="0" w:firstLine="440"/>
        <w:jc w:val="left"/>
      </w:pPr>
      <w:r>
        <w:rPr>
          <w:color w:val="000000"/>
          <w:spacing w:val="0"/>
          <w:w w:val="100"/>
          <w:position w:val="0"/>
        </w:rPr>
        <w:t>智慧医疗是通过大数据、物联网、云计算等技术，建立健康档案医疗信息平台，实现患者与医务人员、 医疗机构、医疗设备之间的互动，达到数据化、标准化和智能化管理目的，从而提高医疗品质、效率与效 益的新型医疗模式，其主要由智慧医院系统、区域卫生系统以及家庭健康系统构成。</w:t>
      </w:r>
    </w:p>
    <w:p>
      <w:pPr>
        <w:pStyle w:val="Style31"/>
        <w:keepNext w:val="0"/>
        <w:keepLines w:val="0"/>
        <w:widowControl w:val="0"/>
        <w:shd w:val="clear" w:color="auto" w:fill="auto"/>
        <w:bidi w:val="0"/>
        <w:spacing w:before="0" w:line="315" w:lineRule="exact"/>
        <w:ind w:left="0" w:right="0" w:firstLine="440"/>
        <w:jc w:val="left"/>
      </w:pPr>
      <w:r>
        <w:rPr>
          <w:color w:val="000000"/>
          <w:spacing w:val="0"/>
          <w:w w:val="100"/>
          <w:position w:val="0"/>
        </w:rPr>
        <w:t>根据信息化水平划分，医疗信息化发展主要涵盖三个阶段：医院管理信息化（</w:t>
      </w:r>
      <w:r>
        <w:rPr>
          <w:rFonts w:ascii="Times New Roman" w:eastAsia="Times New Roman" w:hAnsi="Times New Roman" w:cs="Times New Roman"/>
          <w:color w:val="000000"/>
          <w:spacing w:val="0"/>
          <w:w w:val="100"/>
          <w:position w:val="0"/>
        </w:rPr>
        <w:t>HIS</w:t>
      </w:r>
      <w:r>
        <w:rPr>
          <w:color w:val="000000"/>
          <w:spacing w:val="0"/>
          <w:w w:val="100"/>
          <w:position w:val="0"/>
        </w:rPr>
        <w:t>）阶段、医院临床 医疗管理信息化</w:t>
      </w:r>
      <w:r>
        <w:rPr>
          <w:color w:val="000000"/>
          <w:spacing w:val="0"/>
          <w:w w:val="100"/>
          <w:position w:val="0"/>
        </w:rPr>
        <w:t>（</w:t>
      </w:r>
      <w:r>
        <w:rPr>
          <w:rFonts w:ascii="Times New Roman" w:eastAsia="Times New Roman" w:hAnsi="Times New Roman" w:cs="Times New Roman"/>
          <w:color w:val="000000"/>
          <w:spacing w:val="0"/>
          <w:w w:val="100"/>
          <w:position w:val="0"/>
        </w:rPr>
        <w:t>CIS</w:t>
      </w:r>
      <w:r>
        <w:rPr>
          <w:color w:val="000000"/>
          <w:spacing w:val="0"/>
          <w:w w:val="100"/>
          <w:position w:val="0"/>
        </w:rPr>
        <w:t>）</w:t>
      </w:r>
      <w:r>
        <w:rPr>
          <w:color w:val="000000"/>
          <w:spacing w:val="0"/>
          <w:w w:val="100"/>
          <w:position w:val="0"/>
        </w:rPr>
        <w:t>阶段和区域医疗卫生服务</w:t>
      </w:r>
      <w:r>
        <w:rPr>
          <w:color w:val="000000"/>
          <w:spacing w:val="0"/>
          <w:w w:val="100"/>
          <w:position w:val="0"/>
        </w:rPr>
        <w:t>（</w:t>
      </w:r>
      <w:r>
        <w:rPr>
          <w:rFonts w:ascii="Times New Roman" w:eastAsia="Times New Roman" w:hAnsi="Times New Roman" w:cs="Times New Roman"/>
          <w:color w:val="000000"/>
          <w:spacing w:val="0"/>
          <w:w w:val="100"/>
          <w:position w:val="0"/>
        </w:rPr>
        <w:t>GMIS</w:t>
      </w:r>
      <w:r>
        <w:rPr>
          <w:color w:val="000000"/>
          <w:spacing w:val="0"/>
          <w:w w:val="100"/>
          <w:position w:val="0"/>
        </w:rPr>
        <w:t>）</w:t>
      </w:r>
      <w:r>
        <w:rPr>
          <w:color w:val="000000"/>
          <w:spacing w:val="0"/>
          <w:w w:val="100"/>
          <w:position w:val="0"/>
        </w:rPr>
        <w:t>阶段。“十二五”期间，中国医疗信息化建设 以</w:t>
      </w:r>
      <w:r>
        <w:rPr>
          <w:rFonts w:ascii="Times New Roman" w:eastAsia="Times New Roman" w:hAnsi="Times New Roman" w:cs="Times New Roman"/>
          <w:color w:val="000000"/>
          <w:spacing w:val="0"/>
          <w:w w:val="100"/>
          <w:position w:val="0"/>
        </w:rPr>
        <w:t>HIS</w:t>
      </w:r>
      <w:r>
        <w:rPr>
          <w:color w:val="000000"/>
          <w:spacing w:val="0"/>
          <w:w w:val="100"/>
          <w:position w:val="0"/>
        </w:rPr>
        <w:t>系统为核心。自</w:t>
      </w:r>
      <w:r>
        <w:rPr>
          <w:rFonts w:ascii="Times New Roman" w:eastAsia="Times New Roman" w:hAnsi="Times New Roman" w:cs="Times New Roman"/>
          <w:color w:val="000000"/>
          <w:spacing w:val="0"/>
          <w:w w:val="100"/>
          <w:position w:val="0"/>
        </w:rPr>
        <w:t>2017</w:t>
      </w:r>
      <w:r>
        <w:rPr>
          <w:color w:val="000000"/>
          <w:spacing w:val="0"/>
          <w:w w:val="100"/>
          <w:position w:val="0"/>
        </w:rPr>
        <w:t>年起国务院、卫健委先后出台各类指导意见，推动医疗监管部门、医疗卫生机 构建立、加强自身信息化建设。</w:t>
      </w:r>
    </w:p>
    <w:p>
      <w:pPr>
        <w:pStyle w:val="Style31"/>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根据</w:t>
      </w:r>
      <w:r>
        <w:rPr>
          <w:rFonts w:ascii="Times New Roman" w:eastAsia="Times New Roman" w:hAnsi="Times New Roman" w:cs="Times New Roman"/>
          <w:color w:val="000000"/>
          <w:spacing w:val="0"/>
          <w:w w:val="100"/>
          <w:position w:val="0"/>
        </w:rPr>
        <w:t>I DC</w:t>
      </w:r>
      <w:r>
        <w:rPr>
          <w:color w:val="000000"/>
          <w:spacing w:val="0"/>
          <w:w w:val="100"/>
          <w:position w:val="0"/>
        </w:rPr>
        <w:t>、</w:t>
      </w:r>
      <w:r>
        <w:rPr>
          <w:color w:val="000000"/>
          <w:spacing w:val="0"/>
          <w:w w:val="100"/>
          <w:position w:val="0"/>
        </w:rPr>
        <w:t>前瞻产业研究院数据，近年来，在国家政策推动下，我国医疗信息化投入不断加大，预测 未来几年，我国医疗信息化规模将持续增长，到</w:t>
      </w:r>
      <w:r>
        <w:rPr>
          <w:rFonts w:ascii="Times New Roman" w:eastAsia="Times New Roman" w:hAnsi="Times New Roman" w:cs="Times New Roman"/>
          <w:color w:val="000000"/>
          <w:spacing w:val="0"/>
          <w:w w:val="100"/>
          <w:position w:val="0"/>
        </w:rPr>
        <w:t>2023</w:t>
      </w:r>
      <w:r>
        <w:rPr>
          <w:color w:val="000000"/>
          <w:spacing w:val="0"/>
          <w:w w:val="100"/>
          <w:position w:val="0"/>
        </w:rPr>
        <w:t>年我国医疗信息化市场规模将达到</w:t>
      </w:r>
      <w:r>
        <w:rPr>
          <w:rFonts w:ascii="Times New Roman" w:eastAsia="Times New Roman" w:hAnsi="Times New Roman" w:cs="Times New Roman"/>
          <w:color w:val="000000"/>
          <w:spacing w:val="0"/>
          <w:w w:val="100"/>
          <w:position w:val="0"/>
        </w:rPr>
        <w:t>791.6</w:t>
      </w:r>
      <w:r>
        <w:rPr>
          <w:color w:val="000000"/>
          <w:spacing w:val="0"/>
          <w:w w:val="100"/>
          <w:position w:val="0"/>
        </w:rPr>
        <w:t>亿元。</w:t>
      </w:r>
    </w:p>
    <w:p>
      <w:pPr>
        <w:pStyle w:val="Style25"/>
        <w:keepNext/>
        <w:keepLines/>
        <w:widowControl w:val="0"/>
        <w:shd w:val="clear" w:color="auto" w:fill="auto"/>
        <w:bidi w:val="0"/>
        <w:spacing w:before="0" w:after="24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rPr>
        <w:t>二</w:t>
      </w:r>
      <w:bookmarkEnd w:id="67"/>
      <w:r>
        <w:rPr>
          <w:color w:val="000000"/>
          <w:spacing w:val="0"/>
          <w:w w:val="100"/>
          <w:position w:val="0"/>
        </w:rPr>
        <w:t>、报告期内公司从事的主要业务</w:t>
      </w:r>
      <w:bookmarkEnd w:id="65"/>
      <w:bookmarkEnd w:id="66"/>
      <w:bookmarkEnd w:id="68"/>
    </w:p>
    <w:p>
      <w:pPr>
        <w:pStyle w:val="Style31"/>
        <w:keepNext w:val="0"/>
        <w:keepLines w:val="0"/>
        <w:widowControl w:val="0"/>
        <w:shd w:val="clear" w:color="auto" w:fill="auto"/>
        <w:tabs>
          <w:tab w:pos="996" w:val="left"/>
        </w:tabs>
        <w:bidi w:val="0"/>
        <w:spacing w:before="0" w:line="314" w:lineRule="exact"/>
        <w:ind w:left="0" w:right="0" w:firstLine="440"/>
        <w:jc w:val="both"/>
      </w:pPr>
      <w:bookmarkStart w:id="69" w:name="bookmark69"/>
      <w:r>
        <w:rPr>
          <w:color w:val="000000"/>
          <w:spacing w:val="0"/>
          <w:w w:val="100"/>
          <w:position w:val="0"/>
        </w:rPr>
        <w:t>（</w:t>
      </w:r>
      <w:bookmarkEnd w:id="69"/>
      <w:r>
        <w:rPr>
          <w:color w:val="000000"/>
          <w:spacing w:val="0"/>
          <w:w w:val="100"/>
          <w:position w:val="0"/>
        </w:rPr>
        <w:t>一）</w:t>
        <w:tab/>
        <w:t>主营业务基本情况</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公司系一家智慧城市解决方案提供商，致力于融合应用物联网、大数据、云计算、</w:t>
      </w:r>
      <w:r>
        <w:rPr>
          <w:rFonts w:ascii="Times New Roman" w:eastAsia="Times New Roman" w:hAnsi="Times New Roman" w:cs="Times New Roman"/>
          <w:color w:val="000000"/>
          <w:spacing w:val="0"/>
          <w:w w:val="100"/>
          <w:position w:val="0"/>
        </w:rPr>
        <w:t>GIS</w:t>
      </w:r>
      <w:r>
        <w:rPr>
          <w:color w:val="000000"/>
          <w:spacing w:val="0"/>
          <w:w w:val="100"/>
          <w:position w:val="0"/>
        </w:rPr>
        <w:t>、</w:t>
      </w:r>
      <w:r>
        <w:rPr>
          <w:color w:val="000000"/>
          <w:spacing w:val="0"/>
          <w:w w:val="100"/>
          <w:position w:val="0"/>
        </w:rPr>
        <w:t>人工智能等 新一代信息技术，为客户提供项目总体规划、方案设计、软件研发、项目实施及运维服务一体化的信息技 术解决方案。公司已形成社会网格化管理、社会治安综合治理、“互联网+政务服务”等一系列典型解决 方案，广泛服务于公检法、交通、教育、医疗卫生等政府部门、事业单位及企业客户。</w:t>
      </w:r>
    </w:p>
    <w:p>
      <w:pPr>
        <w:pStyle w:val="Style31"/>
        <w:keepNext w:val="0"/>
        <w:keepLines w:val="0"/>
        <w:widowControl w:val="0"/>
        <w:shd w:val="clear" w:color="auto" w:fill="auto"/>
        <w:bidi w:val="0"/>
        <w:spacing w:before="0" w:line="310" w:lineRule="exact"/>
        <w:ind w:left="0" w:right="0" w:firstLine="440"/>
        <w:jc w:val="both"/>
      </w:pPr>
      <w:r>
        <w:rPr>
          <w:color w:val="000000"/>
          <w:spacing w:val="0"/>
          <w:w w:val="100"/>
          <w:position w:val="0"/>
        </w:rPr>
        <w:t xml:space="preserve">凭借多年在信息技术领域积累的丰富经验，公司以核心技术和关键应用为基础，聚焦智慧政务、智慧 教育及智慧医疗等领域，持续提升智慧城市解决方案服务能力。公司已掌握了地理空间大数据技术、 </w:t>
      </w:r>
      <w:r>
        <w:rPr>
          <w:rFonts w:ascii="Times New Roman" w:eastAsia="Times New Roman" w:hAnsi="Times New Roman" w:cs="Times New Roman"/>
          <w:color w:val="000000"/>
          <w:spacing w:val="0"/>
          <w:w w:val="100"/>
          <w:position w:val="0"/>
        </w:rPr>
        <w:t>3DWebGL</w:t>
      </w:r>
      <w:r>
        <w:rPr>
          <w:color w:val="000000"/>
          <w:spacing w:val="0"/>
          <w:w w:val="100"/>
          <w:position w:val="0"/>
        </w:rPr>
        <w:t>数据加载技术、跨平台高性能实时视频通话技术、大数据分析与挖掘、视频监控图像识别技术、 智能人机交互技术等核心技术，为客户提供成熟的自主软件产品、定制化开发和完整的项目实施服务。</w:t>
      </w:r>
    </w:p>
    <w:p>
      <w:pPr>
        <w:pStyle w:val="Style31"/>
        <w:keepNext w:val="0"/>
        <w:keepLines w:val="0"/>
        <w:widowControl w:val="0"/>
        <w:shd w:val="clear" w:color="auto" w:fill="auto"/>
        <w:bidi w:val="0"/>
        <w:spacing w:before="0" w:line="314" w:lineRule="exact"/>
        <w:ind w:left="0" w:right="0" w:firstLine="440"/>
        <w:jc w:val="both"/>
      </w:pPr>
      <w:r>
        <w:rPr>
          <w:color w:val="000000"/>
          <w:spacing w:val="0"/>
          <w:w w:val="100"/>
          <w:position w:val="0"/>
        </w:rPr>
        <w:t>报告期内，公司主要业务、产品及经营模式未发生重大变化。</w:t>
      </w:r>
    </w:p>
    <w:p>
      <w:pPr>
        <w:pStyle w:val="Style31"/>
        <w:keepNext w:val="0"/>
        <w:keepLines w:val="0"/>
        <w:widowControl w:val="0"/>
        <w:shd w:val="clear" w:color="auto" w:fill="auto"/>
        <w:tabs>
          <w:tab w:pos="996" w:val="left"/>
        </w:tabs>
        <w:bidi w:val="0"/>
        <w:spacing w:before="0" w:line="314" w:lineRule="exact"/>
        <w:ind w:left="0" w:right="0" w:firstLine="440"/>
        <w:jc w:val="both"/>
      </w:pPr>
      <w:bookmarkStart w:id="70" w:name="bookmark70"/>
      <w:r>
        <w:rPr>
          <w:color w:val="000000"/>
          <w:spacing w:val="0"/>
          <w:w w:val="100"/>
          <w:position w:val="0"/>
        </w:rPr>
        <w:t>（</w:t>
      </w:r>
      <w:bookmarkEnd w:id="70"/>
      <w:r>
        <w:rPr>
          <w:color w:val="000000"/>
          <w:spacing w:val="0"/>
          <w:w w:val="100"/>
          <w:position w:val="0"/>
        </w:rPr>
        <w:t>二）</w:t>
        <w:tab/>
        <w:t>主要产品或服务基本情况</w:t>
      </w:r>
    </w:p>
    <w:p>
      <w:pPr>
        <w:pStyle w:val="Style31"/>
        <w:keepNext w:val="0"/>
        <w:keepLines w:val="0"/>
        <w:widowControl w:val="0"/>
        <w:shd w:val="clear" w:color="auto" w:fill="auto"/>
        <w:bidi w:val="0"/>
        <w:spacing w:before="0" w:after="240" w:line="317" w:lineRule="exact"/>
        <w:ind w:left="0" w:right="0" w:firstLine="440"/>
        <w:jc w:val="both"/>
      </w:pPr>
      <w:r>
        <w:rPr>
          <w:color w:val="000000"/>
          <w:spacing w:val="0"/>
          <w:w w:val="100"/>
          <w:position w:val="0"/>
        </w:rPr>
        <w:t>公司致力于为智慧政务、智慧教育、智慧医疗等领域客户提供信息技术解决方案，从业务类型上可划 分为信息系统集成服务、软件开发及技术服务、信息设备销售、信息系统运维服务。</w:t>
      </w:r>
    </w:p>
    <w:p>
      <w:pPr>
        <w:pStyle w:val="Style31"/>
        <w:keepNext w:val="0"/>
        <w:keepLines w:val="0"/>
        <w:widowControl w:val="0"/>
        <w:numPr>
          <w:ilvl w:val="0"/>
          <w:numId w:val="3"/>
        </w:numPr>
        <w:shd w:val="clear" w:color="auto" w:fill="auto"/>
        <w:bidi w:val="0"/>
        <w:spacing w:before="0"/>
        <w:ind w:left="0" w:right="0" w:firstLine="440"/>
        <w:jc w:val="both"/>
      </w:pPr>
      <w:bookmarkStart w:id="71" w:name="bookmark71"/>
      <w:bookmarkEnd w:id="71"/>
      <w:r>
        <w:rPr>
          <w:color w:val="000000"/>
          <w:spacing w:val="0"/>
          <w:w w:val="100"/>
          <w:position w:val="0"/>
        </w:rPr>
        <w:t>信息系统集成服务</w:t>
      </w:r>
    </w:p>
    <w:p>
      <w:pPr>
        <w:pStyle w:val="Style31"/>
        <w:keepNext w:val="0"/>
        <w:keepLines w:val="0"/>
        <w:widowControl w:val="0"/>
        <w:shd w:val="clear" w:color="auto" w:fill="auto"/>
        <w:bidi w:val="0"/>
        <w:spacing w:before="0" w:after="240" w:line="312" w:lineRule="exact"/>
        <w:ind w:left="0" w:right="0" w:firstLine="440"/>
        <w:jc w:val="left"/>
      </w:pPr>
      <w:r>
        <w:rPr>
          <w:color w:val="000000"/>
          <w:spacing w:val="0"/>
          <w:w w:val="100"/>
          <w:position w:val="0"/>
        </w:rPr>
        <w:t>信息系统集成服务系公司的主要业务。公司提供的信息系统集成服务，以客户的应用需求为出发点， 在合理规划的基础上，综合应用各种信息技术，通过软件系统定制、硬件平台搭建等，将各个分离的软硬 件设备连接成为一个完整、可靠、经济有效的整体，使之能彼此协调工作，完成信息系统平台构建，满足 客户使用需求。</w:t>
      </w:r>
    </w:p>
    <w:p>
      <w:pPr>
        <w:pStyle w:val="Style31"/>
        <w:keepNext w:val="0"/>
        <w:keepLines w:val="0"/>
        <w:widowControl w:val="0"/>
        <w:numPr>
          <w:ilvl w:val="0"/>
          <w:numId w:val="3"/>
        </w:numPr>
        <w:shd w:val="clear" w:color="auto" w:fill="auto"/>
        <w:tabs>
          <w:tab w:pos="774" w:val="left"/>
        </w:tabs>
        <w:bidi w:val="0"/>
        <w:spacing w:before="0" w:after="60" w:line="326" w:lineRule="auto"/>
        <w:ind w:left="0" w:right="0" w:firstLine="440"/>
        <w:jc w:val="both"/>
      </w:pPr>
      <w:bookmarkStart w:id="72" w:name="bookmark72"/>
      <w:bookmarkEnd w:id="72"/>
      <w:r>
        <w:rPr>
          <w:color w:val="000000"/>
          <w:spacing w:val="0"/>
          <w:w w:val="100"/>
          <w:position w:val="0"/>
        </w:rPr>
        <w:t>软件开发及技术服务</w:t>
      </w:r>
    </w:p>
    <w:p>
      <w:pPr>
        <w:pStyle w:val="Style31"/>
        <w:keepNext w:val="0"/>
        <w:keepLines w:val="0"/>
        <w:widowControl w:val="0"/>
        <w:shd w:val="clear" w:color="auto" w:fill="auto"/>
        <w:bidi w:val="0"/>
        <w:spacing w:before="0" w:after="240" w:line="312" w:lineRule="exact"/>
        <w:ind w:left="0" w:right="0" w:firstLine="440"/>
        <w:jc w:val="both"/>
      </w:pPr>
      <w:r>
        <w:rPr>
          <w:color w:val="000000"/>
          <w:spacing w:val="0"/>
          <w:w w:val="100"/>
          <w:position w:val="0"/>
        </w:rPr>
        <w:t>软件开发及技术服务系公司的核心业务。公司依托深圳、汕头两地研发中心及子公司互联精英，聚焦 于智慧城市领域，持续投入和创新，在政务、教育、医疗等领域开发了一系列产品和解决方案，同时可为 客户特定需求提供定制化产品开发服务。</w:t>
      </w:r>
    </w:p>
    <w:p>
      <w:pPr>
        <w:pStyle w:val="Style31"/>
        <w:keepNext w:val="0"/>
        <w:keepLines w:val="0"/>
        <w:widowControl w:val="0"/>
        <w:numPr>
          <w:ilvl w:val="0"/>
          <w:numId w:val="3"/>
        </w:numPr>
        <w:shd w:val="clear" w:color="auto" w:fill="auto"/>
        <w:tabs>
          <w:tab w:pos="774" w:val="left"/>
        </w:tabs>
        <w:bidi w:val="0"/>
        <w:spacing w:before="0" w:after="60" w:line="326" w:lineRule="auto"/>
        <w:ind w:left="0" w:right="0" w:firstLine="440"/>
        <w:jc w:val="both"/>
      </w:pPr>
      <w:bookmarkStart w:id="73" w:name="bookmark73"/>
      <w:bookmarkEnd w:id="73"/>
      <w:r>
        <w:rPr>
          <w:color w:val="000000"/>
          <w:spacing w:val="0"/>
          <w:w w:val="100"/>
          <w:position w:val="0"/>
        </w:rPr>
        <w:t>信息系统运维服务</w:t>
      </w:r>
    </w:p>
    <w:p>
      <w:pPr>
        <w:pStyle w:val="Style31"/>
        <w:keepNext w:val="0"/>
        <w:keepLines w:val="0"/>
        <w:widowControl w:val="0"/>
        <w:shd w:val="clear" w:color="auto" w:fill="auto"/>
        <w:bidi w:val="0"/>
        <w:spacing w:before="0" w:after="240" w:line="314" w:lineRule="exact"/>
        <w:ind w:left="0" w:right="0" w:firstLine="440"/>
        <w:jc w:val="both"/>
      </w:pPr>
      <w:r>
        <w:rPr>
          <w:color w:val="000000"/>
          <w:spacing w:val="0"/>
          <w:w w:val="100"/>
          <w:position w:val="0"/>
        </w:rPr>
        <w:t>信息系统运维服务系公司的传统业务，公司建立了专业服务团队和统一服务平台，打造形成专业信息 系统运维服务模式，可为客户提供包括信息系统集成项目维保服务、驻点运维服务、企业客户</w:t>
      </w:r>
      <w:r>
        <w:rPr>
          <w:rFonts w:ascii="Times New Roman" w:eastAsia="Times New Roman" w:hAnsi="Times New Roman" w:cs="Times New Roman"/>
          <w:color w:val="000000"/>
          <w:spacing w:val="0"/>
          <w:w w:val="100"/>
          <w:position w:val="0"/>
        </w:rPr>
        <w:t>IT</w:t>
      </w:r>
      <w:r>
        <w:rPr>
          <w:color w:val="000000"/>
          <w:spacing w:val="0"/>
          <w:w w:val="100"/>
          <w:position w:val="0"/>
        </w:rPr>
        <w:t>运营运维 服务等。</w:t>
      </w:r>
    </w:p>
    <w:p>
      <w:pPr>
        <w:pStyle w:val="Style31"/>
        <w:keepNext w:val="0"/>
        <w:keepLines w:val="0"/>
        <w:widowControl w:val="0"/>
        <w:numPr>
          <w:ilvl w:val="0"/>
          <w:numId w:val="3"/>
        </w:numPr>
        <w:shd w:val="clear" w:color="auto" w:fill="auto"/>
        <w:tabs>
          <w:tab w:pos="774" w:val="left"/>
        </w:tabs>
        <w:bidi w:val="0"/>
        <w:spacing w:before="0" w:after="60" w:line="326" w:lineRule="auto"/>
        <w:ind w:left="0" w:right="0" w:firstLine="440"/>
        <w:jc w:val="both"/>
      </w:pPr>
      <w:bookmarkStart w:id="74" w:name="bookmark74"/>
      <w:bookmarkEnd w:id="74"/>
      <w:r>
        <w:rPr>
          <w:color w:val="000000"/>
          <w:spacing w:val="0"/>
          <w:w w:val="100"/>
          <w:position w:val="0"/>
        </w:rPr>
        <w:t>信息设备销售</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信息设备销售业务主要系公司在提供信息技术服务的过程中，充分利用所积累的供应商资源为客户提 供信息设备供货服务。</w:t>
      </w:r>
    </w:p>
    <w:p>
      <w:pPr>
        <w:pStyle w:val="Style31"/>
        <w:keepNext w:val="0"/>
        <w:keepLines w:val="0"/>
        <w:widowControl w:val="0"/>
        <w:shd w:val="clear" w:color="auto" w:fill="auto"/>
        <w:bidi w:val="0"/>
        <w:spacing w:before="0" w:after="240" w:line="312" w:lineRule="exact"/>
        <w:ind w:left="0" w:right="0" w:firstLine="440"/>
        <w:jc w:val="both"/>
      </w:pPr>
      <w:bookmarkStart w:id="75" w:name="bookmark75"/>
      <w:r>
        <w:rPr>
          <w:color w:val="000000"/>
          <w:spacing w:val="0"/>
          <w:w w:val="100"/>
          <w:position w:val="0"/>
        </w:rPr>
        <w:t>（</w:t>
      </w:r>
      <w:bookmarkEnd w:id="75"/>
      <w:r>
        <w:rPr>
          <w:color w:val="000000"/>
          <w:spacing w:val="0"/>
          <w:w w:val="100"/>
          <w:position w:val="0"/>
        </w:rPr>
        <w:t>三）经营模式</w:t>
      </w:r>
    </w:p>
    <w:p>
      <w:pPr>
        <w:pStyle w:val="Style31"/>
        <w:keepNext w:val="0"/>
        <w:keepLines w:val="0"/>
        <w:widowControl w:val="0"/>
        <w:numPr>
          <w:ilvl w:val="0"/>
          <w:numId w:val="5"/>
        </w:numPr>
        <w:shd w:val="clear" w:color="auto" w:fill="auto"/>
        <w:tabs>
          <w:tab w:pos="755" w:val="left"/>
        </w:tabs>
        <w:bidi w:val="0"/>
        <w:spacing w:before="0" w:after="60" w:line="326" w:lineRule="auto"/>
        <w:ind w:left="0" w:right="0" w:firstLine="440"/>
        <w:jc w:val="both"/>
      </w:pPr>
      <w:bookmarkStart w:id="76" w:name="bookmark76"/>
      <w:bookmarkEnd w:id="76"/>
      <w:r>
        <w:rPr>
          <w:color w:val="000000"/>
          <w:spacing w:val="0"/>
          <w:w w:val="100"/>
          <w:position w:val="0"/>
        </w:rPr>
        <w:t>销售模式</w:t>
      </w:r>
    </w:p>
    <w:p>
      <w:pPr>
        <w:pStyle w:val="Style31"/>
        <w:keepNext w:val="0"/>
        <w:keepLines w:val="0"/>
        <w:widowControl w:val="0"/>
        <w:shd w:val="clear" w:color="auto" w:fill="auto"/>
        <w:bidi w:val="0"/>
        <w:spacing w:before="0" w:line="310" w:lineRule="exact"/>
        <w:ind w:left="140" w:right="0" w:firstLine="420"/>
        <w:jc w:val="both"/>
      </w:pPr>
      <w:r>
        <w:rPr>
          <w:color w:val="000000"/>
          <w:spacing w:val="0"/>
          <w:w w:val="100"/>
          <w:position w:val="0"/>
        </w:rPr>
        <w:t>公司主要采用直销业务模式，直接承接业主方项目，深度理解、快速响应客户的定制化服务需求， 提供项目总体规划、方案设计、软件研发、项目实施及运维服务一体化的信息系统解决方案。同时，为 拓展市场空间、发挥公司自有产品和专业技术服务优势，公司部分业务系作为产品或服务供应商参与到 其他系统集成商承接的项目，共同为业主方的信息化建设服务。</w:t>
      </w:r>
    </w:p>
    <w:p>
      <w:pPr>
        <w:pStyle w:val="Style31"/>
        <w:keepNext w:val="0"/>
        <w:keepLines w:val="0"/>
        <w:widowControl w:val="0"/>
        <w:shd w:val="clear" w:color="auto" w:fill="auto"/>
        <w:bidi w:val="0"/>
        <w:spacing w:before="0" w:after="240" w:line="302" w:lineRule="exact"/>
        <w:ind w:left="140" w:right="0" w:firstLine="420"/>
        <w:jc w:val="both"/>
      </w:pPr>
      <w:r>
        <w:rPr>
          <w:color w:val="000000"/>
          <w:spacing w:val="0"/>
          <w:w w:val="100"/>
          <w:position w:val="0"/>
        </w:rPr>
        <w:t>公司通过建设由政企业务中心、营销业务中心及各地分子公司组成的营销服务体系，建立规范化的 客户管理制度，及时响应客户需求，提升服务的效率和质量。</w:t>
      </w:r>
    </w:p>
    <w:p>
      <w:pPr>
        <w:pStyle w:val="Style31"/>
        <w:keepNext w:val="0"/>
        <w:keepLines w:val="0"/>
        <w:widowControl w:val="0"/>
        <w:numPr>
          <w:ilvl w:val="0"/>
          <w:numId w:val="5"/>
        </w:numPr>
        <w:shd w:val="clear" w:color="auto" w:fill="auto"/>
        <w:tabs>
          <w:tab w:pos="774" w:val="left"/>
        </w:tabs>
        <w:bidi w:val="0"/>
        <w:spacing w:before="0" w:after="60" w:line="326" w:lineRule="auto"/>
        <w:ind w:left="0" w:right="0" w:firstLine="440"/>
        <w:jc w:val="both"/>
      </w:pPr>
      <w:bookmarkStart w:id="77" w:name="bookmark77"/>
      <w:bookmarkEnd w:id="77"/>
      <w:r>
        <w:rPr>
          <w:color w:val="000000"/>
          <w:spacing w:val="0"/>
          <w:w w:val="100"/>
          <w:position w:val="0"/>
        </w:rPr>
        <w:t>采购模式</w:t>
      </w:r>
    </w:p>
    <w:p>
      <w:pPr>
        <w:pStyle w:val="Style31"/>
        <w:keepNext w:val="0"/>
        <w:keepLines w:val="0"/>
        <w:widowControl w:val="0"/>
        <w:shd w:val="clear" w:color="auto" w:fill="auto"/>
        <w:bidi w:val="0"/>
        <w:spacing w:before="0" w:line="317" w:lineRule="exact"/>
        <w:ind w:left="140" w:right="0" w:firstLine="420"/>
        <w:jc w:val="both"/>
      </w:pPr>
      <w:r>
        <w:rPr>
          <w:color w:val="000000"/>
          <w:spacing w:val="0"/>
          <w:w w:val="100"/>
          <w:position w:val="0"/>
        </w:rPr>
        <w:t>公司采购主要采用“以销定采”、“按需采购”的模式，即根据项目实施的实际需求提出采购申请， 采购部集中采购相应产品或服务。</w:t>
      </w:r>
    </w:p>
    <w:p>
      <w:pPr>
        <w:pStyle w:val="Style31"/>
        <w:keepNext w:val="0"/>
        <w:keepLines w:val="0"/>
        <w:widowControl w:val="0"/>
        <w:shd w:val="clear" w:color="auto" w:fill="auto"/>
        <w:bidi w:val="0"/>
        <w:spacing w:before="0" w:after="240" w:line="312" w:lineRule="exact"/>
        <w:ind w:left="0" w:right="0" w:firstLine="560"/>
        <w:jc w:val="left"/>
      </w:pPr>
      <w:r>
        <w:rPr>
          <w:color w:val="000000"/>
          <w:spacing w:val="0"/>
          <w:w w:val="100"/>
          <w:position w:val="0"/>
        </w:rPr>
        <w:t>公司建立了《供应商管理流程》以规范供应商筛选、引进和考核管理，提高供应质量。</w:t>
      </w:r>
    </w:p>
    <w:p>
      <w:pPr>
        <w:pStyle w:val="Style31"/>
        <w:keepNext w:val="0"/>
        <w:keepLines w:val="0"/>
        <w:widowControl w:val="0"/>
        <w:numPr>
          <w:ilvl w:val="0"/>
          <w:numId w:val="5"/>
        </w:numPr>
        <w:shd w:val="clear" w:color="auto" w:fill="auto"/>
        <w:tabs>
          <w:tab w:pos="774" w:val="left"/>
        </w:tabs>
        <w:bidi w:val="0"/>
        <w:spacing w:before="0" w:after="60" w:line="326" w:lineRule="auto"/>
        <w:ind w:left="0" w:right="0" w:firstLine="440"/>
        <w:jc w:val="both"/>
      </w:pPr>
      <w:bookmarkStart w:id="78" w:name="bookmark78"/>
      <w:bookmarkEnd w:id="78"/>
      <w:r>
        <w:rPr>
          <w:color w:val="000000"/>
          <w:spacing w:val="0"/>
          <w:w w:val="100"/>
          <w:position w:val="0"/>
        </w:rPr>
        <w:t>项目实施模式</w:t>
      </w:r>
    </w:p>
    <w:p>
      <w:pPr>
        <w:pStyle w:val="Style31"/>
        <w:keepNext w:val="0"/>
        <w:keepLines w:val="0"/>
        <w:widowControl w:val="0"/>
        <w:shd w:val="clear" w:color="auto" w:fill="auto"/>
        <w:bidi w:val="0"/>
        <w:spacing w:before="0" w:after="240" w:line="312" w:lineRule="exact"/>
        <w:ind w:left="0" w:right="0" w:firstLine="560"/>
        <w:jc w:val="left"/>
      </w:pPr>
      <w:r>
        <w:rPr>
          <w:color w:val="000000"/>
          <w:spacing w:val="0"/>
          <w:w w:val="100"/>
          <w:position w:val="0"/>
        </w:rPr>
        <w:t>公司主要采用“以销定产”模式，根据项目合同要求组织合同实施，提供相应的产品和服务。</w:t>
      </w:r>
    </w:p>
    <w:p>
      <w:pPr>
        <w:pStyle w:val="Style31"/>
        <w:keepNext w:val="0"/>
        <w:keepLines w:val="0"/>
        <w:widowControl w:val="0"/>
        <w:numPr>
          <w:ilvl w:val="0"/>
          <w:numId w:val="5"/>
        </w:numPr>
        <w:shd w:val="clear" w:color="auto" w:fill="auto"/>
        <w:tabs>
          <w:tab w:pos="774" w:val="left"/>
        </w:tabs>
        <w:bidi w:val="0"/>
        <w:spacing w:before="0" w:after="60" w:line="326" w:lineRule="auto"/>
        <w:ind w:left="0" w:right="0" w:firstLine="440"/>
        <w:jc w:val="both"/>
      </w:pPr>
      <w:bookmarkStart w:id="79" w:name="bookmark79"/>
      <w:bookmarkEnd w:id="79"/>
      <w:r>
        <w:rPr>
          <w:color w:val="000000"/>
          <w:spacing w:val="0"/>
          <w:w w:val="100"/>
          <w:position w:val="0"/>
        </w:rPr>
        <w:t>研发模式</w:t>
      </w:r>
    </w:p>
    <w:p>
      <w:pPr>
        <w:pStyle w:val="Style31"/>
        <w:keepNext w:val="0"/>
        <w:keepLines w:val="0"/>
        <w:widowControl w:val="0"/>
        <w:shd w:val="clear" w:color="auto" w:fill="auto"/>
        <w:bidi w:val="0"/>
        <w:spacing w:before="0" w:line="307" w:lineRule="exact"/>
        <w:ind w:left="140" w:right="0" w:firstLine="420"/>
        <w:jc w:val="both"/>
      </w:pPr>
      <w:r>
        <w:rPr>
          <w:color w:val="000000"/>
          <w:spacing w:val="0"/>
          <w:w w:val="100"/>
          <w:position w:val="0"/>
        </w:rPr>
        <w:t>公司研发采用以自主研发为主的模式，同时为了提高研发的效率和效果，部分研发任务委托具有相 应研发能力的专业单位进行研发。</w:t>
      </w:r>
    </w:p>
    <w:p>
      <w:pPr>
        <w:pStyle w:val="Style31"/>
        <w:keepNext w:val="0"/>
        <w:keepLines w:val="0"/>
        <w:widowControl w:val="0"/>
        <w:shd w:val="clear" w:color="auto" w:fill="auto"/>
        <w:bidi w:val="0"/>
        <w:spacing w:before="0" w:line="312" w:lineRule="exact"/>
        <w:ind w:left="140" w:right="0" w:firstLine="420"/>
        <w:jc w:val="both"/>
      </w:pPr>
      <w:r>
        <w:rPr>
          <w:color w:val="000000"/>
          <w:spacing w:val="0"/>
          <w:w w:val="100"/>
          <w:position w:val="0"/>
        </w:rPr>
        <w:t>公司设立研发中心，组建专业的研发团队，形成每一个新产品立项、需求可行性分析、制订项目任 务书和技术开发计划、组织系统设计、安排原型设计与编码、进行产品测试、试运行、培训、编制操作 手册、准备验收资料、组织验收交付、发布产品和申请著作权等全过程管理模式。</w:t>
      </w:r>
    </w:p>
    <w:p>
      <w:pPr>
        <w:pStyle w:val="Style31"/>
        <w:keepNext w:val="0"/>
        <w:keepLines w:val="0"/>
        <w:widowControl w:val="0"/>
        <w:numPr>
          <w:ilvl w:val="0"/>
          <w:numId w:val="5"/>
        </w:numPr>
        <w:shd w:val="clear" w:color="auto" w:fill="auto"/>
        <w:tabs>
          <w:tab w:pos="731" w:val="left"/>
        </w:tabs>
        <w:bidi w:val="0"/>
        <w:spacing w:before="0" w:line="314" w:lineRule="exact"/>
        <w:ind w:left="0" w:right="0" w:firstLine="440"/>
        <w:jc w:val="both"/>
      </w:pPr>
      <w:bookmarkStart w:id="80" w:name="bookmark80"/>
      <w:bookmarkEnd w:id="80"/>
      <w:r>
        <w:rPr>
          <w:color w:val="000000"/>
          <w:spacing w:val="0"/>
          <w:w w:val="100"/>
          <w:position w:val="0"/>
        </w:rPr>
        <w:t>收费模式</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公司项目通常采用依照项目的合同签订、初验、终验、质保期满等关键节点收取不同比例合同金额的 收费模式。依照项目不同施工节点支付进度款是行业主流习惯，少数项目因为政府财政资金安排等原因也 会采用分期付款的方式，公司收费模式与当前市场行情一致。</w:t>
      </w:r>
    </w:p>
    <w:p>
      <w:pPr>
        <w:pStyle w:val="Style31"/>
        <w:keepNext w:val="0"/>
        <w:keepLines w:val="0"/>
        <w:widowControl w:val="0"/>
        <w:numPr>
          <w:ilvl w:val="0"/>
          <w:numId w:val="5"/>
        </w:numPr>
        <w:shd w:val="clear" w:color="auto" w:fill="auto"/>
        <w:tabs>
          <w:tab w:pos="731" w:val="left"/>
        </w:tabs>
        <w:bidi w:val="0"/>
        <w:spacing w:before="0" w:line="314" w:lineRule="exact"/>
        <w:ind w:left="0" w:right="0" w:firstLine="440"/>
        <w:jc w:val="both"/>
      </w:pPr>
      <w:bookmarkStart w:id="81" w:name="bookmark81"/>
      <w:bookmarkEnd w:id="81"/>
      <w:r>
        <w:rPr>
          <w:color w:val="000000"/>
          <w:spacing w:val="0"/>
          <w:w w:val="100"/>
          <w:position w:val="0"/>
        </w:rPr>
        <w:t>盈利模式</w:t>
      </w:r>
    </w:p>
    <w:p>
      <w:pPr>
        <w:pStyle w:val="Style31"/>
        <w:keepNext w:val="0"/>
        <w:keepLines w:val="0"/>
        <w:widowControl w:val="0"/>
        <w:shd w:val="clear" w:color="auto" w:fill="auto"/>
        <w:bidi w:val="0"/>
        <w:spacing w:before="0" w:line="310" w:lineRule="exact"/>
        <w:ind w:left="0" w:right="0" w:firstLine="440"/>
        <w:jc w:val="both"/>
      </w:pPr>
      <w:r>
        <w:rPr>
          <w:color w:val="000000"/>
          <w:spacing w:val="0"/>
          <w:w w:val="100"/>
          <w:position w:val="0"/>
        </w:rPr>
        <w:t>公司专注为政务、教育、医疗等领域客户的信息化建设提供解决方案、软硬件产品和专业服务，以招 投标方式或商务洽谈方式获取客户项目合同或产品销售合同，履行合同约定，按合同向客户收取相关产品 或服务的费用，实现收入与利润。</w:t>
      </w:r>
    </w:p>
    <w:p>
      <w:pPr>
        <w:pStyle w:val="Style31"/>
        <w:keepNext w:val="0"/>
        <w:keepLines w:val="0"/>
        <w:widowControl w:val="0"/>
        <w:shd w:val="clear" w:color="auto" w:fill="auto"/>
        <w:bidi w:val="0"/>
        <w:spacing w:before="0" w:line="314" w:lineRule="exact"/>
        <w:ind w:left="0" w:right="0" w:firstLine="440"/>
        <w:jc w:val="both"/>
      </w:pPr>
      <w:bookmarkStart w:id="82" w:name="bookmark82"/>
      <w:r>
        <w:rPr>
          <w:color w:val="000000"/>
          <w:spacing w:val="0"/>
          <w:w w:val="100"/>
          <w:position w:val="0"/>
        </w:rPr>
        <w:t>（</w:t>
      </w:r>
      <w:bookmarkEnd w:id="82"/>
      <w:r>
        <w:rPr>
          <w:color w:val="000000"/>
          <w:spacing w:val="0"/>
          <w:w w:val="100"/>
          <w:position w:val="0"/>
        </w:rPr>
        <w:t>四）公司产品或服务的市场地位</w:t>
      </w:r>
    </w:p>
    <w:p>
      <w:pPr>
        <w:pStyle w:val="Style31"/>
        <w:keepNext w:val="0"/>
        <w:keepLines w:val="0"/>
        <w:widowControl w:val="0"/>
        <w:shd w:val="clear" w:color="auto" w:fill="auto"/>
        <w:bidi w:val="0"/>
        <w:spacing w:before="0" w:line="317"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2021</w:t>
      </w:r>
      <w:r>
        <w:rPr>
          <w:color w:val="000000"/>
          <w:spacing w:val="0"/>
          <w:w w:val="100"/>
          <w:position w:val="0"/>
        </w:rPr>
        <w:t>年软件和信息技术服务业统计公报》，软件和信息技术服务行业规模以上企业超</w:t>
      </w:r>
      <w:r>
        <w:rPr>
          <w:rFonts w:ascii="Times New Roman" w:eastAsia="Times New Roman" w:hAnsi="Times New Roman" w:cs="Times New Roman"/>
          <w:color w:val="000000"/>
          <w:spacing w:val="0"/>
          <w:w w:val="100"/>
          <w:position w:val="0"/>
        </w:rPr>
        <w:t>4</w:t>
      </w:r>
      <w:r>
        <w:rPr>
          <w:color w:val="000000"/>
          <w:spacing w:val="0"/>
          <w:w w:val="100"/>
          <w:position w:val="0"/>
        </w:rPr>
        <w:t>万家。 产业规模大，行业市场竞争者众多，市场竞争激烈，单个市场参与者在市场中所占份额较低。</w:t>
      </w:r>
    </w:p>
    <w:p>
      <w:pPr>
        <w:pStyle w:val="Style31"/>
        <w:keepNext w:val="0"/>
        <w:keepLines w:val="0"/>
        <w:widowControl w:val="0"/>
        <w:shd w:val="clear" w:color="auto" w:fill="auto"/>
        <w:bidi w:val="0"/>
        <w:spacing w:before="0" w:line="317" w:lineRule="exact"/>
        <w:ind w:left="0" w:right="0" w:firstLine="440"/>
        <w:jc w:val="both"/>
      </w:pPr>
      <w:r>
        <w:rPr>
          <w:color w:val="000000"/>
          <w:spacing w:val="0"/>
          <w:w w:val="100"/>
          <w:position w:val="0"/>
        </w:rPr>
        <w:t>公司主营业务聚焦于智慧政务、智慧教育及智慧医疗等领域。</w:t>
      </w:r>
      <w:r>
        <w:rPr>
          <w:rFonts w:ascii="Times New Roman" w:eastAsia="Times New Roman" w:hAnsi="Times New Roman" w:cs="Times New Roman"/>
          <w:color w:val="000000"/>
          <w:spacing w:val="0"/>
          <w:w w:val="100"/>
          <w:position w:val="0"/>
        </w:rPr>
        <w:t>2019-2021</w:t>
      </w:r>
      <w:r>
        <w:rPr>
          <w:color w:val="000000"/>
          <w:spacing w:val="0"/>
          <w:w w:val="100"/>
          <w:position w:val="0"/>
        </w:rPr>
        <w:t xml:space="preserve">年公司营业收入分别为 </w:t>
      </w:r>
      <w:r>
        <w:rPr>
          <w:rFonts w:ascii="Times New Roman" w:eastAsia="Times New Roman" w:hAnsi="Times New Roman" w:cs="Times New Roman"/>
          <w:color w:val="000000"/>
          <w:spacing w:val="0"/>
          <w:w w:val="100"/>
          <w:position w:val="0"/>
        </w:rPr>
        <w:t>27,581.49</w:t>
      </w:r>
      <w:r>
        <w:rPr>
          <w:color w:val="000000"/>
          <w:spacing w:val="0"/>
          <w:w w:val="100"/>
          <w:position w:val="0"/>
        </w:rPr>
        <w:t>万元、</w:t>
      </w:r>
      <w:r>
        <w:rPr>
          <w:rFonts w:ascii="Times New Roman" w:eastAsia="Times New Roman" w:hAnsi="Times New Roman" w:cs="Times New Roman"/>
          <w:color w:val="000000"/>
          <w:spacing w:val="0"/>
          <w:w w:val="100"/>
          <w:position w:val="0"/>
        </w:rPr>
        <w:t>36,689.69</w:t>
      </w:r>
      <w:r>
        <w:rPr>
          <w:color w:val="000000"/>
          <w:spacing w:val="0"/>
          <w:w w:val="100"/>
          <w:position w:val="0"/>
        </w:rPr>
        <w:t>万元、</w:t>
      </w:r>
      <w:r>
        <w:rPr>
          <w:rFonts w:ascii="Times New Roman" w:eastAsia="Times New Roman" w:hAnsi="Times New Roman" w:cs="Times New Roman"/>
          <w:color w:val="000000"/>
          <w:spacing w:val="0"/>
          <w:w w:val="100"/>
          <w:position w:val="0"/>
        </w:rPr>
        <w:t>46,712.92</w:t>
      </w:r>
      <w:r>
        <w:rPr>
          <w:color w:val="000000"/>
          <w:spacing w:val="0"/>
          <w:w w:val="100"/>
          <w:position w:val="0"/>
        </w:rPr>
        <w:t>万元，复合增长率为</w:t>
      </w:r>
      <w:r>
        <w:rPr>
          <w:rFonts w:ascii="Times New Roman" w:eastAsia="Times New Roman" w:hAnsi="Times New Roman" w:cs="Times New Roman"/>
          <w:color w:val="000000"/>
          <w:spacing w:val="0"/>
          <w:w w:val="100"/>
          <w:position w:val="0"/>
        </w:rPr>
        <w:t>30.14%</w:t>
      </w:r>
      <w:r>
        <w:rPr>
          <w:color w:val="000000"/>
          <w:spacing w:val="0"/>
          <w:w w:val="100"/>
          <w:position w:val="0"/>
        </w:rPr>
        <w:t>，体现了公司较强的市场竞争优势和 成长性。</w:t>
      </w:r>
    </w:p>
    <w:p>
      <w:pPr>
        <w:pStyle w:val="Style31"/>
        <w:keepNext w:val="0"/>
        <w:keepLines w:val="0"/>
        <w:widowControl w:val="0"/>
        <w:shd w:val="clear" w:color="auto" w:fill="auto"/>
        <w:bidi w:val="0"/>
        <w:spacing w:before="0" w:line="314" w:lineRule="exact"/>
        <w:ind w:left="0" w:right="0" w:firstLine="440"/>
        <w:jc w:val="both"/>
      </w:pPr>
      <w:r>
        <w:rPr>
          <w:color w:val="000000"/>
          <w:spacing w:val="0"/>
          <w:w w:val="100"/>
          <w:position w:val="0"/>
        </w:rPr>
        <w:t>公司总部位于汕头市，并在广州、深圳、惠州、海南、重庆、香港、安徽、山东、潮州等地设立多家 分、子公司，初步建立起覆盖全国各地客户的营销体系和服务网络。除了在广东省</w:t>
      </w:r>
      <w:r>
        <w:rPr>
          <w:rFonts w:ascii="Times New Roman" w:eastAsia="Times New Roman" w:hAnsi="Times New Roman" w:cs="Times New Roman"/>
          <w:color w:val="000000"/>
          <w:spacing w:val="0"/>
          <w:w w:val="100"/>
          <w:position w:val="0"/>
        </w:rPr>
        <w:t>20</w:t>
      </w:r>
      <w:r>
        <w:rPr>
          <w:color w:val="000000"/>
          <w:spacing w:val="0"/>
          <w:w w:val="100"/>
          <w:position w:val="0"/>
        </w:rPr>
        <w:t>多个地级市实现销售， 公司还为湖南、海南、香港、河南、山东、江西、北京、新疆、湖北、江苏等二十多个省市和地区的客户 的信息化建设提供服务，在全国市场亦具有一定的市场竞争力。</w:t>
      </w:r>
    </w:p>
    <w:p>
      <w:pPr>
        <w:pStyle w:val="Style31"/>
        <w:keepNext w:val="0"/>
        <w:keepLines w:val="0"/>
        <w:widowControl w:val="0"/>
        <w:shd w:val="clear" w:color="auto" w:fill="auto"/>
        <w:bidi w:val="0"/>
        <w:spacing w:before="0" w:after="360" w:line="31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年度，公司产品获得来自行业、客户的双重认可，品牌影响力增强。公司产品方案“天亿马乡村 治理工作体系”获得了</w:t>
      </w:r>
      <w:r>
        <w:rPr>
          <w:rFonts w:ascii="Times New Roman" w:eastAsia="Times New Roman" w:hAnsi="Times New Roman" w:cs="Times New Roman"/>
          <w:color w:val="000000"/>
          <w:spacing w:val="0"/>
          <w:w w:val="100"/>
          <w:position w:val="0"/>
        </w:rPr>
        <w:t>2021</w:t>
      </w:r>
      <w:r>
        <w:rPr>
          <w:color w:val="000000"/>
          <w:spacing w:val="0"/>
          <w:w w:val="100"/>
          <w:position w:val="0"/>
        </w:rPr>
        <w:t>政法智能化建设智慧治理创新方案，“天亿马社会治安综合治理系统</w:t>
      </w:r>
      <w:r>
        <w:rPr>
          <w:rFonts w:ascii="Times New Roman" w:eastAsia="Times New Roman" w:hAnsi="Times New Roman" w:cs="Times New Roman"/>
          <w:color w:val="000000"/>
          <w:spacing w:val="0"/>
          <w:w w:val="100"/>
          <w:position w:val="0"/>
        </w:rPr>
        <w:t>V1.0</w:t>
      </w:r>
      <w:r>
        <w:rPr>
          <w:color w:val="000000"/>
          <w:spacing w:val="0"/>
          <w:w w:val="100"/>
          <w:position w:val="0"/>
        </w:rPr>
        <w:t>”</w:t>
      </w:r>
      <w:r>
        <w:rPr>
          <w:color w:val="000000"/>
          <w:spacing w:val="0"/>
          <w:w w:val="100"/>
          <w:position w:val="0"/>
        </w:rPr>
        <w:t>连 续三年获评中国优秀软件产品，“便民服务自助终端一体化解决方案”获得</w:t>
      </w:r>
      <w:r>
        <w:rPr>
          <w:rFonts w:ascii="Times New Roman" w:eastAsia="Times New Roman" w:hAnsi="Times New Roman" w:cs="Times New Roman"/>
          <w:color w:val="000000"/>
          <w:spacing w:val="0"/>
          <w:w w:val="100"/>
          <w:position w:val="0"/>
        </w:rPr>
        <w:t>2021</w:t>
      </w:r>
      <w:r>
        <w:rPr>
          <w:color w:val="000000"/>
          <w:spacing w:val="0"/>
          <w:w w:val="100"/>
          <w:position w:val="0"/>
        </w:rPr>
        <w:t>年“创客广东”汕头市中 小企业创新创业大赛暨第二届“创客汕头”大赛企业组铜奖等奖项。公司也获得了广东省中小企业公共服 务示范平台（信息服务）、广东省守合同重信用企业连续二十三年</w:t>
      </w:r>
      <w:r>
        <w:rPr>
          <w:color w:val="000000"/>
          <w:spacing w:val="0"/>
          <w:w w:val="100"/>
          <w:position w:val="0"/>
        </w:rPr>
        <w:t>（</w:t>
      </w:r>
      <w:r>
        <w:rPr>
          <w:rFonts w:ascii="Times New Roman" w:eastAsia="Times New Roman" w:hAnsi="Times New Roman" w:cs="Times New Roman"/>
          <w:color w:val="000000"/>
          <w:spacing w:val="0"/>
          <w:w w:val="100"/>
          <w:position w:val="0"/>
        </w:rPr>
        <w:t>1998-202</w:t>
      </w:r>
      <w:r>
        <w:rPr>
          <w:rFonts w:ascii="Times New Roman" w:eastAsia="Times New Roman" w:hAnsi="Times New Roman" w:cs="Times New Roman"/>
          <w:color w:val="000000"/>
          <w:spacing w:val="0"/>
          <w:w w:val="100"/>
          <w:position w:val="0"/>
        </w:rPr>
        <w:t>0</w:t>
      </w:r>
      <w:r>
        <w:rPr>
          <w:color w:val="000000"/>
          <w:spacing w:val="0"/>
          <w:w w:val="100"/>
          <w:position w:val="0"/>
        </w:rPr>
        <w:t>年度）企业称号、</w:t>
      </w:r>
      <w:r>
        <w:rPr>
          <w:rFonts w:ascii="Times New Roman" w:eastAsia="Times New Roman" w:hAnsi="Times New Roman" w:cs="Times New Roman"/>
          <w:color w:val="000000"/>
          <w:spacing w:val="0"/>
          <w:w w:val="100"/>
          <w:position w:val="0"/>
        </w:rPr>
        <w:t>2021</w:t>
      </w:r>
      <w:r>
        <w:rPr>
          <w:color w:val="000000"/>
          <w:spacing w:val="0"/>
          <w:w w:val="100"/>
          <w:position w:val="0"/>
        </w:rPr>
        <w:t>行业 信息化竞争力百强、</w:t>
      </w:r>
      <w:r>
        <w:rPr>
          <w:rFonts w:ascii="Times New Roman" w:eastAsia="Times New Roman" w:hAnsi="Times New Roman" w:cs="Times New Roman"/>
          <w:color w:val="000000"/>
          <w:spacing w:val="0"/>
          <w:w w:val="100"/>
          <w:position w:val="0"/>
        </w:rPr>
        <w:t>2021</w:t>
      </w:r>
      <w:r>
        <w:rPr>
          <w:color w:val="000000"/>
          <w:spacing w:val="0"/>
          <w:w w:val="100"/>
          <w:position w:val="0"/>
        </w:rPr>
        <w:t>年度智慧城市服务领军企业、</w:t>
      </w:r>
      <w:r>
        <w:rPr>
          <w:rFonts w:ascii="Times New Roman" w:eastAsia="Times New Roman" w:hAnsi="Times New Roman" w:cs="Times New Roman"/>
          <w:color w:val="000000"/>
          <w:spacing w:val="0"/>
          <w:w w:val="100"/>
          <w:position w:val="0"/>
        </w:rPr>
        <w:t>2021</w:t>
      </w:r>
      <w:r>
        <w:rPr>
          <w:color w:val="000000"/>
          <w:spacing w:val="0"/>
          <w:w w:val="100"/>
          <w:position w:val="0"/>
        </w:rPr>
        <w:t>广东软件风云榜新锐企业、</w:t>
      </w:r>
      <w:r>
        <w:rPr>
          <w:rFonts w:ascii="Times New Roman" w:eastAsia="Times New Roman" w:hAnsi="Times New Roman" w:cs="Times New Roman"/>
          <w:color w:val="000000"/>
          <w:spacing w:val="0"/>
          <w:w w:val="100"/>
          <w:position w:val="0"/>
        </w:rPr>
        <w:t>2021</w:t>
      </w:r>
      <w:r>
        <w:rPr>
          <w:color w:val="000000"/>
          <w:spacing w:val="0"/>
          <w:w w:val="100"/>
          <w:position w:val="0"/>
        </w:rPr>
        <w:t>地理信息产业 最具活力中型企业、网络安全技术支撑志愿服务单位等荣誉称号</w:t>
      </w:r>
      <w:r>
        <w:rPr>
          <w:rFonts w:ascii="Times New Roman" w:eastAsia="Times New Roman" w:hAnsi="Times New Roman" w:cs="Times New Roman"/>
          <w:color w:val="000000"/>
          <w:spacing w:val="0"/>
          <w:w w:val="100"/>
          <w:position w:val="0"/>
        </w:rPr>
        <w:t>,</w:t>
      </w:r>
      <w:r>
        <w:rPr>
          <w:color w:val="000000"/>
          <w:spacing w:val="0"/>
          <w:w w:val="100"/>
          <w:position w:val="0"/>
        </w:rPr>
        <w:t>践行社会担当，塑造品牌价值。</w:t>
      </w:r>
    </w:p>
    <w:p>
      <w:pPr>
        <w:pStyle w:val="Style25"/>
        <w:keepNext/>
        <w:keepLines/>
        <w:widowControl w:val="0"/>
        <w:shd w:val="clear" w:color="auto" w:fill="auto"/>
        <w:bidi w:val="0"/>
        <w:spacing w:before="0" w:after="280" w:line="240" w:lineRule="auto"/>
        <w:ind w:left="0" w:right="0" w:firstLine="0"/>
        <w:jc w:val="left"/>
      </w:pPr>
      <w:bookmarkStart w:id="83" w:name="bookmark83"/>
      <w:bookmarkStart w:id="84" w:name="bookmark84"/>
      <w:bookmarkStart w:id="85" w:name="bookmark85"/>
      <w:bookmarkStart w:id="86" w:name="bookmark86"/>
      <w:r>
        <w:rPr>
          <w:color w:val="000000"/>
          <w:spacing w:val="0"/>
          <w:w w:val="100"/>
          <w:position w:val="0"/>
        </w:rPr>
        <w:t>三</w:t>
      </w:r>
      <w:bookmarkEnd w:id="85"/>
      <w:r>
        <w:rPr>
          <w:color w:val="000000"/>
          <w:spacing w:val="0"/>
          <w:w w:val="100"/>
          <w:position w:val="0"/>
        </w:rPr>
        <w:t>、核心竞争力分析</w:t>
      </w:r>
      <w:bookmarkEnd w:id="83"/>
      <w:bookmarkEnd w:id="84"/>
      <w:bookmarkEnd w:id="86"/>
    </w:p>
    <w:p>
      <w:pPr>
        <w:pStyle w:val="Style31"/>
        <w:keepNext w:val="0"/>
        <w:keepLines w:val="0"/>
        <w:widowControl w:val="0"/>
        <w:shd w:val="clear" w:color="auto" w:fill="auto"/>
        <w:tabs>
          <w:tab w:pos="995" w:val="left"/>
        </w:tabs>
        <w:bidi w:val="0"/>
        <w:spacing w:before="0" w:line="314" w:lineRule="exact"/>
        <w:ind w:left="0" w:right="0" w:firstLine="440"/>
        <w:jc w:val="both"/>
      </w:pPr>
      <w:bookmarkStart w:id="87" w:name="bookmark87"/>
      <w:r>
        <w:rPr>
          <w:color w:val="000000"/>
          <w:spacing w:val="0"/>
          <w:w w:val="100"/>
          <w:position w:val="0"/>
        </w:rPr>
        <w:t>（</w:t>
      </w:r>
      <w:bookmarkEnd w:id="87"/>
      <w:r>
        <w:rPr>
          <w:color w:val="000000"/>
          <w:spacing w:val="0"/>
          <w:w w:val="100"/>
          <w:position w:val="0"/>
        </w:rPr>
        <w:t>一）</w:t>
        <w:tab/>
        <w:t>研发创新优势</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公司始终秉承“技术缔造价值”的核心理念，坚持以研发创新作为驱动公司业务持续发展的核心动 力。公司及子公司互联精英被认定为国家高新技术企业，已建立由汕头研发中心、深圳研发中心和子公司 互联精英组成的研发体系，充分利用深圳、汕头两地的研发创新人才和资源，培养形成了一支创新能力强 的研发和技术服务团队。</w:t>
      </w:r>
    </w:p>
    <w:p>
      <w:pPr>
        <w:pStyle w:val="Style31"/>
        <w:keepNext w:val="0"/>
        <w:keepLines w:val="0"/>
        <w:widowControl w:val="0"/>
        <w:shd w:val="clear" w:color="auto" w:fill="auto"/>
        <w:bidi w:val="0"/>
        <w:spacing w:before="0" w:line="307" w:lineRule="exact"/>
        <w:ind w:left="0" w:right="0" w:firstLine="440"/>
        <w:jc w:val="both"/>
      </w:pPr>
      <w:r>
        <w:rPr>
          <w:color w:val="000000"/>
          <w:spacing w:val="0"/>
          <w:w w:val="100"/>
          <w:position w:val="0"/>
        </w:rPr>
        <w:t>公司建设有广东省科学技术厅、广东省发展和改革委员会、广东省经济和信息化委员会评定的</w:t>
      </w:r>
      <w:r>
        <w:rPr>
          <w:rFonts w:ascii="Times New Roman" w:eastAsia="Times New Roman" w:hAnsi="Times New Roman" w:cs="Times New Roman"/>
          <w:color w:val="000000"/>
          <w:spacing w:val="0"/>
          <w:w w:val="100"/>
          <w:position w:val="0"/>
        </w:rPr>
        <w:t>“</w:t>
      </w:r>
      <w:r>
        <w:rPr>
          <w:color w:val="000000"/>
          <w:spacing w:val="0"/>
          <w:w w:val="100"/>
          <w:position w:val="0"/>
        </w:rPr>
        <w:t>广东 省工程技术研究开发中心</w:t>
      </w:r>
      <w:r>
        <w:rPr>
          <w:rFonts w:ascii="Times New Roman" w:eastAsia="Times New Roman" w:hAnsi="Times New Roman" w:cs="Times New Roman"/>
          <w:color w:val="000000"/>
          <w:spacing w:val="0"/>
          <w:w w:val="100"/>
          <w:position w:val="0"/>
        </w:rPr>
        <w:t>”</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日，公司拥有</w:t>
      </w:r>
      <w:r>
        <w:rPr>
          <w:rFonts w:ascii="Times New Roman" w:eastAsia="Times New Roman" w:hAnsi="Times New Roman" w:cs="Times New Roman"/>
          <w:color w:val="000000"/>
          <w:spacing w:val="0"/>
          <w:w w:val="100"/>
          <w:position w:val="0"/>
        </w:rPr>
        <w:t>236</w:t>
      </w:r>
      <w:r>
        <w:rPr>
          <w:color w:val="000000"/>
          <w:spacing w:val="0"/>
          <w:w w:val="100"/>
          <w:position w:val="0"/>
        </w:rPr>
        <w:t>项计算机软件著作权、</w:t>
      </w:r>
      <w:r>
        <w:rPr>
          <w:rFonts w:ascii="Times New Roman" w:eastAsia="Times New Roman" w:hAnsi="Times New Roman" w:cs="Times New Roman"/>
          <w:color w:val="000000"/>
          <w:spacing w:val="0"/>
          <w:w w:val="100"/>
          <w:position w:val="0"/>
        </w:rPr>
        <w:t>31</w:t>
      </w:r>
      <w:r>
        <w:rPr>
          <w:color w:val="000000"/>
          <w:spacing w:val="0"/>
          <w:w w:val="100"/>
          <w:position w:val="0"/>
        </w:rPr>
        <w:t>项高新技术产品 证书。</w:t>
      </w:r>
    </w:p>
    <w:p>
      <w:pPr>
        <w:pStyle w:val="Style31"/>
        <w:keepNext w:val="0"/>
        <w:keepLines w:val="0"/>
        <w:widowControl w:val="0"/>
        <w:shd w:val="clear" w:color="auto" w:fill="auto"/>
        <w:tabs>
          <w:tab w:pos="995" w:val="left"/>
        </w:tabs>
        <w:bidi w:val="0"/>
        <w:spacing w:before="0" w:line="314" w:lineRule="exact"/>
        <w:ind w:left="0" w:right="0" w:firstLine="440"/>
        <w:jc w:val="both"/>
      </w:pPr>
      <w:bookmarkStart w:id="88" w:name="bookmark88"/>
      <w:r>
        <w:rPr>
          <w:color w:val="000000"/>
          <w:spacing w:val="0"/>
          <w:w w:val="100"/>
          <w:position w:val="0"/>
        </w:rPr>
        <w:t>（</w:t>
      </w:r>
      <w:bookmarkEnd w:id="88"/>
      <w:r>
        <w:rPr>
          <w:color w:val="000000"/>
          <w:spacing w:val="0"/>
          <w:w w:val="100"/>
          <w:position w:val="0"/>
        </w:rPr>
        <w:t>二）</w:t>
        <w:tab/>
        <w:t>核心技术能力</w:t>
      </w:r>
    </w:p>
    <w:p>
      <w:pPr>
        <w:pStyle w:val="Style31"/>
        <w:keepNext w:val="0"/>
        <w:keepLines w:val="0"/>
        <w:widowControl w:val="0"/>
        <w:shd w:val="clear" w:color="auto" w:fill="auto"/>
        <w:bidi w:val="0"/>
        <w:spacing w:before="0" w:line="314" w:lineRule="exact"/>
        <w:ind w:left="0" w:right="0" w:firstLine="440"/>
        <w:jc w:val="both"/>
      </w:pPr>
      <w:r>
        <w:rPr>
          <w:color w:val="000000"/>
          <w:spacing w:val="0"/>
          <w:w w:val="100"/>
          <w:position w:val="0"/>
        </w:rPr>
        <w:t>公司及时跟进并应用</w:t>
      </w:r>
      <w:r>
        <w:rPr>
          <w:rFonts w:ascii="Times New Roman" w:eastAsia="Times New Roman" w:hAnsi="Times New Roman" w:cs="Times New Roman"/>
          <w:color w:val="000000"/>
          <w:spacing w:val="0"/>
          <w:w w:val="100"/>
          <w:position w:val="0"/>
        </w:rPr>
        <w:t>GIS</w:t>
      </w:r>
      <w:r>
        <w:rPr>
          <w:color w:val="000000"/>
          <w:spacing w:val="0"/>
          <w:w w:val="100"/>
          <w:position w:val="0"/>
        </w:rPr>
        <w:t>、</w:t>
      </w:r>
      <w:r>
        <w:rPr>
          <w:color w:val="000000"/>
          <w:spacing w:val="0"/>
          <w:w w:val="100"/>
          <w:position w:val="0"/>
        </w:rPr>
        <w:t>人工智能等最新关键技术，已经掌握地理空间大数据技术、</w:t>
      </w:r>
      <w:r>
        <w:rPr>
          <w:rFonts w:ascii="Times New Roman" w:eastAsia="Times New Roman" w:hAnsi="Times New Roman" w:cs="Times New Roman"/>
          <w:color w:val="000000"/>
          <w:spacing w:val="0"/>
          <w:w w:val="100"/>
          <w:position w:val="0"/>
        </w:rPr>
        <w:t>3DWebGL</w:t>
      </w:r>
      <w:r>
        <w:rPr>
          <w:color w:val="000000"/>
          <w:spacing w:val="0"/>
          <w:w w:val="100"/>
          <w:position w:val="0"/>
        </w:rPr>
        <w:t xml:space="preserve">数据 </w:t>
      </w:r>
      <w:r>
        <w:rPr>
          <w:color w:val="000000"/>
          <w:spacing w:val="0"/>
          <w:w w:val="100"/>
          <w:position w:val="0"/>
        </w:rPr>
        <w:t>加载技术、跨平台高性能实时视频通话技术、大数据分析与挖掘、视频监控图像识别技术、智能人机交互 技术等核心技术，根据市场和客户需求变化情况、行业技术发展趋势等调整研发方向和产品结构，不断更 新迭代产品方案的技术水平。</w:t>
      </w:r>
    </w:p>
    <w:p>
      <w:pPr>
        <w:pStyle w:val="Style31"/>
        <w:keepNext w:val="0"/>
        <w:keepLines w:val="0"/>
        <w:widowControl w:val="0"/>
        <w:shd w:val="clear" w:color="auto" w:fill="auto"/>
        <w:tabs>
          <w:tab w:pos="992" w:val="left"/>
        </w:tabs>
        <w:bidi w:val="0"/>
        <w:spacing w:before="0" w:line="312" w:lineRule="exact"/>
        <w:ind w:left="0" w:right="0" w:firstLine="440"/>
        <w:jc w:val="left"/>
      </w:pPr>
      <w:bookmarkStart w:id="89" w:name="bookmark89"/>
      <w:r>
        <w:rPr>
          <w:color w:val="000000"/>
          <w:spacing w:val="0"/>
          <w:w w:val="100"/>
          <w:position w:val="0"/>
        </w:rPr>
        <w:t>（</w:t>
      </w:r>
      <w:bookmarkEnd w:id="89"/>
      <w:r>
        <w:rPr>
          <w:color w:val="000000"/>
          <w:spacing w:val="0"/>
          <w:w w:val="100"/>
          <w:position w:val="0"/>
        </w:rPr>
        <w:t>三）</w:t>
        <w:tab/>
        <w:t>项目经验优势</w:t>
      </w:r>
    </w:p>
    <w:p>
      <w:pPr>
        <w:pStyle w:val="Style31"/>
        <w:keepNext w:val="0"/>
        <w:keepLines w:val="0"/>
        <w:widowControl w:val="0"/>
        <w:shd w:val="clear" w:color="auto" w:fill="auto"/>
        <w:bidi w:val="0"/>
        <w:spacing w:before="0" w:line="310" w:lineRule="exact"/>
        <w:ind w:left="0" w:right="0" w:firstLine="440"/>
        <w:jc w:val="left"/>
      </w:pPr>
      <w:r>
        <w:rPr>
          <w:color w:val="000000"/>
          <w:spacing w:val="0"/>
          <w:w w:val="100"/>
          <w:position w:val="0"/>
        </w:rPr>
        <w:t>公司在信息技术服务领域深耕二十多年，对客户需求具有深刻的理解，具备丰厚的行业沉淀和积累。 公司在智慧政务、智慧教育、智慧医疗等领域成功实施了一大批典型项目，其中株洲市石峰区“最多跑一 次”政务服务平台社区（村）网格化管理和基层公共服务平台（二期）项目、株洲市石峰区社区（村）网 格化管理和基层公共服务平台项目等项目受到客户的较高评价并在行业内产生较大影响力。</w:t>
      </w:r>
    </w:p>
    <w:p>
      <w:pPr>
        <w:pStyle w:val="Style31"/>
        <w:keepNext w:val="0"/>
        <w:keepLines w:val="0"/>
        <w:widowControl w:val="0"/>
        <w:shd w:val="clear" w:color="auto" w:fill="auto"/>
        <w:bidi w:val="0"/>
        <w:spacing w:before="0" w:line="312" w:lineRule="exact"/>
        <w:ind w:left="0" w:right="0" w:firstLine="440"/>
        <w:jc w:val="left"/>
      </w:pPr>
      <w:r>
        <w:rPr>
          <w:color w:val="000000"/>
          <w:spacing w:val="0"/>
          <w:w w:val="100"/>
          <w:position w:val="0"/>
        </w:rPr>
        <w:t>丰富的项目实践，为公司积累了各类型项目的实施经验，培养了技术、研发和项目实施团队，持续提 升公司对客户需求的理解和服务水平，有利于公司保持良好的客户关系和增强拓展业务、承接项目的竞争 力。</w:t>
      </w:r>
    </w:p>
    <w:p>
      <w:pPr>
        <w:pStyle w:val="Style31"/>
        <w:keepNext w:val="0"/>
        <w:keepLines w:val="0"/>
        <w:widowControl w:val="0"/>
        <w:shd w:val="clear" w:color="auto" w:fill="auto"/>
        <w:tabs>
          <w:tab w:pos="992" w:val="left"/>
        </w:tabs>
        <w:bidi w:val="0"/>
        <w:spacing w:before="0" w:line="312" w:lineRule="exact"/>
        <w:ind w:left="0" w:right="0" w:firstLine="440"/>
        <w:jc w:val="left"/>
      </w:pPr>
      <w:bookmarkStart w:id="90" w:name="bookmark90"/>
      <w:r>
        <w:rPr>
          <w:color w:val="000000"/>
          <w:spacing w:val="0"/>
          <w:w w:val="100"/>
          <w:position w:val="0"/>
        </w:rPr>
        <w:t>（</w:t>
      </w:r>
      <w:bookmarkEnd w:id="90"/>
      <w:r>
        <w:rPr>
          <w:color w:val="000000"/>
          <w:spacing w:val="0"/>
          <w:w w:val="100"/>
          <w:position w:val="0"/>
        </w:rPr>
        <w:t>四）</w:t>
        <w:tab/>
        <w:t>服务优势</w:t>
      </w:r>
    </w:p>
    <w:p>
      <w:pPr>
        <w:pStyle w:val="Style31"/>
        <w:keepNext w:val="0"/>
        <w:keepLines w:val="0"/>
        <w:widowControl w:val="0"/>
        <w:shd w:val="clear" w:color="auto" w:fill="auto"/>
        <w:bidi w:val="0"/>
        <w:spacing w:before="0" w:line="307" w:lineRule="exact"/>
        <w:ind w:left="0" w:right="0" w:firstLine="440"/>
        <w:jc w:val="left"/>
      </w:pPr>
      <w:r>
        <w:rPr>
          <w:color w:val="000000"/>
          <w:spacing w:val="0"/>
          <w:w w:val="100"/>
          <w:position w:val="0"/>
        </w:rPr>
        <w:t>公司坚持“技术+服务”的经营理念，为客户提供全面高效的服务，持续提升客户服务质量，赢得客 户的认可和口碑。</w:t>
      </w:r>
    </w:p>
    <w:p>
      <w:pPr>
        <w:pStyle w:val="Style31"/>
        <w:keepNext w:val="0"/>
        <w:keepLines w:val="0"/>
        <w:widowControl w:val="0"/>
        <w:shd w:val="clear" w:color="auto" w:fill="auto"/>
        <w:bidi w:val="0"/>
        <w:spacing w:before="0" w:line="312" w:lineRule="exact"/>
        <w:ind w:left="0" w:right="0" w:firstLine="440"/>
        <w:jc w:val="left"/>
      </w:pPr>
      <w:r>
        <w:rPr>
          <w:color w:val="000000"/>
          <w:spacing w:val="0"/>
          <w:w w:val="100"/>
          <w:position w:val="0"/>
        </w:rPr>
        <w:t>公司现已建立专业化的项目实施和技术服务团队，打造全面专业的服务和技术支持。公司在广州、深 圳、海南、重庆和香港等地设立分子公司，为区域客户提供本地化的技术服务，加深并扩展与客户多个层 面的联系。公司建立了标准化的服务体系，紧跟客户需求变化创新服务模式，提升服务交付能力，及时高 效地响应客户需求，持续完善服务质量。</w:t>
      </w:r>
    </w:p>
    <w:p>
      <w:pPr>
        <w:pStyle w:val="Style31"/>
        <w:keepNext w:val="0"/>
        <w:keepLines w:val="0"/>
        <w:widowControl w:val="0"/>
        <w:shd w:val="clear" w:color="auto" w:fill="auto"/>
        <w:tabs>
          <w:tab w:pos="992" w:val="left"/>
        </w:tabs>
        <w:bidi w:val="0"/>
        <w:spacing w:before="0" w:line="312" w:lineRule="exact"/>
        <w:ind w:left="0" w:right="0" w:firstLine="440"/>
        <w:jc w:val="left"/>
      </w:pPr>
      <w:bookmarkStart w:id="91" w:name="bookmark91"/>
      <w:r>
        <w:rPr>
          <w:color w:val="000000"/>
          <w:spacing w:val="0"/>
          <w:w w:val="100"/>
          <w:position w:val="0"/>
        </w:rPr>
        <w:t>（</w:t>
      </w:r>
      <w:bookmarkEnd w:id="91"/>
      <w:r>
        <w:rPr>
          <w:color w:val="000000"/>
          <w:spacing w:val="0"/>
          <w:w w:val="100"/>
          <w:position w:val="0"/>
        </w:rPr>
        <w:t>五）</w:t>
        <w:tab/>
        <w:t>人才优势</w:t>
      </w:r>
    </w:p>
    <w:p>
      <w:pPr>
        <w:pStyle w:val="Style31"/>
        <w:keepNext w:val="0"/>
        <w:keepLines w:val="0"/>
        <w:widowControl w:val="0"/>
        <w:shd w:val="clear" w:color="auto" w:fill="auto"/>
        <w:bidi w:val="0"/>
        <w:spacing w:before="0" w:line="312" w:lineRule="exact"/>
        <w:ind w:left="0" w:right="0" w:firstLine="440"/>
        <w:jc w:val="left"/>
      </w:pPr>
      <w:r>
        <w:rPr>
          <w:color w:val="000000"/>
          <w:spacing w:val="0"/>
          <w:w w:val="100"/>
          <w:position w:val="0"/>
        </w:rPr>
        <w:t>作为轻资产企业，人力资源是公司核心资源。公司自成立以来一直注重人才队伍的建设，把尊重人才、 重视人才和激励人才放在最突出的地位。公司建立了科学合理的人才培养及选拔机制，推进战略绩效管理 模式。公司管理团队大部分成员在公司服务超过</w:t>
      </w:r>
      <w:r>
        <w:rPr>
          <w:rFonts w:ascii="Times New Roman" w:eastAsia="Times New Roman" w:hAnsi="Times New Roman" w:cs="Times New Roman"/>
          <w:color w:val="000000"/>
          <w:spacing w:val="0"/>
          <w:w w:val="100"/>
          <w:position w:val="0"/>
        </w:rPr>
        <w:t>10</w:t>
      </w:r>
      <w:r>
        <w:rPr>
          <w:color w:val="000000"/>
          <w:spacing w:val="0"/>
          <w:w w:val="100"/>
          <w:position w:val="0"/>
        </w:rPr>
        <w:t>年及以上，在智慧城市建设相关领域具备多年的沉淀和 积累，对前沿技术、产品升级和行业发展动态具有清晰的认识，对客户需求变化具备深刻的理解，能够较 好的把握公司业务发展方向。</w:t>
      </w:r>
    </w:p>
    <w:p>
      <w:pPr>
        <w:pStyle w:val="Style31"/>
        <w:keepNext w:val="0"/>
        <w:keepLines w:val="0"/>
        <w:widowControl w:val="0"/>
        <w:shd w:val="clear" w:color="auto" w:fill="auto"/>
        <w:bidi w:val="0"/>
        <w:spacing w:before="0" w:line="307" w:lineRule="exact"/>
        <w:ind w:left="0" w:right="0" w:firstLine="440"/>
        <w:jc w:val="left"/>
      </w:pPr>
      <w:r>
        <w:rPr>
          <w:color w:val="000000"/>
          <w:spacing w:val="0"/>
          <w:w w:val="100"/>
          <w:position w:val="0"/>
        </w:rPr>
        <w:t>通过健全人力资源开发和管理制度，完善培训、薪酬、绩效和激励机制，加强人才引进和培养力度， 公司建立了一支专业的研发和项目实施团队。截至报告期末，公司共有研发人员</w:t>
      </w:r>
      <w:r>
        <w:rPr>
          <w:rFonts w:ascii="Times New Roman" w:eastAsia="Times New Roman" w:hAnsi="Times New Roman" w:cs="Times New Roman"/>
          <w:color w:val="000000"/>
          <w:spacing w:val="0"/>
          <w:w w:val="100"/>
          <w:position w:val="0"/>
        </w:rPr>
        <w:t>58</w:t>
      </w:r>
      <w:r>
        <w:rPr>
          <w:color w:val="000000"/>
          <w:spacing w:val="0"/>
          <w:w w:val="100"/>
          <w:position w:val="0"/>
        </w:rPr>
        <w:t>人、项目实施人员</w:t>
      </w:r>
      <w:r>
        <w:rPr>
          <w:rFonts w:ascii="Times New Roman" w:eastAsia="Times New Roman" w:hAnsi="Times New Roman" w:cs="Times New Roman"/>
          <w:color w:val="000000"/>
          <w:spacing w:val="0"/>
          <w:w w:val="100"/>
          <w:position w:val="0"/>
        </w:rPr>
        <w:t xml:space="preserve">112 </w:t>
      </w:r>
      <w:r>
        <w:rPr>
          <w:color w:val="000000"/>
          <w:spacing w:val="0"/>
          <w:w w:val="100"/>
          <w:position w:val="0"/>
        </w:rPr>
        <w:t>人，分别占员工总人数比例的</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39.02%</w:t>
      </w:r>
      <w:r>
        <w:rPr>
          <w:color w:val="000000"/>
          <w:spacing w:val="0"/>
          <w:w w:val="100"/>
          <w:position w:val="0"/>
        </w:rPr>
        <w:t>，成为公司业务发展的骨干力量。</w:t>
      </w:r>
    </w:p>
    <w:p>
      <w:pPr>
        <w:pStyle w:val="Style31"/>
        <w:keepNext w:val="0"/>
        <w:keepLines w:val="0"/>
        <w:widowControl w:val="0"/>
        <w:shd w:val="clear" w:color="auto" w:fill="auto"/>
        <w:tabs>
          <w:tab w:pos="992" w:val="left"/>
        </w:tabs>
        <w:bidi w:val="0"/>
        <w:spacing w:before="0" w:line="312" w:lineRule="exact"/>
        <w:ind w:left="0" w:right="0" w:firstLine="440"/>
        <w:jc w:val="both"/>
      </w:pPr>
      <w:bookmarkStart w:id="92" w:name="bookmark92"/>
      <w:r>
        <w:rPr>
          <w:color w:val="000000"/>
          <w:spacing w:val="0"/>
          <w:w w:val="100"/>
          <w:position w:val="0"/>
        </w:rPr>
        <w:t>（</w:t>
      </w:r>
      <w:bookmarkEnd w:id="92"/>
      <w:r>
        <w:rPr>
          <w:color w:val="000000"/>
          <w:spacing w:val="0"/>
          <w:w w:val="100"/>
          <w:position w:val="0"/>
        </w:rPr>
        <w:t>六）</w:t>
        <w:tab/>
        <w:t>资质优势</w:t>
      </w:r>
    </w:p>
    <w:p>
      <w:pPr>
        <w:pStyle w:val="Style31"/>
        <w:keepNext w:val="0"/>
        <w:keepLines w:val="0"/>
        <w:widowControl w:val="0"/>
        <w:shd w:val="clear" w:color="auto" w:fill="auto"/>
        <w:bidi w:val="0"/>
        <w:spacing w:before="0" w:line="307" w:lineRule="exact"/>
        <w:ind w:left="0" w:right="0" w:firstLine="440"/>
        <w:jc w:val="both"/>
      </w:pPr>
      <w:r>
        <w:rPr>
          <w:color w:val="000000"/>
          <w:spacing w:val="0"/>
          <w:w w:val="100"/>
          <w:position w:val="0"/>
        </w:rPr>
        <w:t>公司所处行业实行资质认证，拥有完整、高级别资质的企业在满足客户多样化需求和项目承接上具备 较强的竞争优势。</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经过多年业务发展和技术积累，公司已成为行业内资质体系较齐全且级别较高的企业之一，目前已拥 有了广东省安全技术防范系统设计、施工、维修资格证一级资质、电子与智能化工程专业承包一级资质、 广东省涉密计算机、通信和办公自动化设备定点维修维护证书等业务开展必要的资质证书。上述资质的取 得，系公司整体业务实力的体现，使公司在竞标和承接各类相关业务时具备较强的竞争优势。</w:t>
      </w:r>
    </w:p>
    <w:p>
      <w:pPr>
        <w:pStyle w:val="Style31"/>
        <w:keepNext w:val="0"/>
        <w:keepLines w:val="0"/>
        <w:widowControl w:val="0"/>
        <w:shd w:val="clear" w:color="auto" w:fill="auto"/>
        <w:tabs>
          <w:tab w:pos="992" w:val="left"/>
        </w:tabs>
        <w:bidi w:val="0"/>
        <w:spacing w:before="0" w:line="312" w:lineRule="exact"/>
        <w:ind w:left="0" w:right="0" w:firstLine="440"/>
        <w:jc w:val="both"/>
      </w:pPr>
      <w:bookmarkStart w:id="93" w:name="bookmark93"/>
      <w:r>
        <w:rPr>
          <w:color w:val="000000"/>
          <w:spacing w:val="0"/>
          <w:w w:val="100"/>
          <w:position w:val="0"/>
        </w:rPr>
        <w:t>（</w:t>
      </w:r>
      <w:bookmarkEnd w:id="93"/>
      <w:r>
        <w:rPr>
          <w:color w:val="000000"/>
          <w:spacing w:val="0"/>
          <w:w w:val="100"/>
          <w:position w:val="0"/>
        </w:rPr>
        <w:t>七）</w:t>
        <w:tab/>
        <w:t>品牌优势</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公司成立二十多年来，一直坚守深耕信息技术服务行业，积累了丰富的项目实施经验和客户资源，在 项目实施质量、技术能力和服务水平等方面获得了客户的广泛认可，积累了良好的口碑。</w:t>
      </w:r>
    </w:p>
    <w:p>
      <w:pPr>
        <w:pStyle w:val="Style25"/>
        <w:keepNext/>
        <w:keepLines/>
        <w:widowControl w:val="0"/>
        <w:shd w:val="clear" w:color="auto" w:fill="auto"/>
        <w:bidi w:val="0"/>
        <w:spacing w:before="0" w:after="380" w:line="240" w:lineRule="auto"/>
        <w:ind w:left="0" w:right="0" w:firstLine="0"/>
        <w:jc w:val="left"/>
      </w:pPr>
      <w:bookmarkStart w:id="94" w:name="bookmark94"/>
      <w:bookmarkStart w:id="95" w:name="bookmark95"/>
      <w:bookmarkStart w:id="96" w:name="bookmark96"/>
      <w:bookmarkStart w:id="97" w:name="bookmark97"/>
      <w:r>
        <w:rPr>
          <w:color w:val="000000"/>
          <w:spacing w:val="0"/>
          <w:w w:val="100"/>
          <w:position w:val="0"/>
        </w:rPr>
        <w:t>四</w:t>
      </w:r>
      <w:bookmarkEnd w:id="96"/>
      <w:r>
        <w:rPr>
          <w:color w:val="000000"/>
          <w:spacing w:val="0"/>
          <w:w w:val="100"/>
          <w:position w:val="0"/>
        </w:rPr>
        <w:t>、主营业务分析</w:t>
      </w:r>
      <w:bookmarkEnd w:id="94"/>
      <w:bookmarkEnd w:id="95"/>
      <w:bookmarkEnd w:id="97"/>
    </w:p>
    <w:p>
      <w:pPr>
        <w:pStyle w:val="Style28"/>
        <w:keepNext/>
        <w:keepLines/>
        <w:widowControl w:val="0"/>
        <w:shd w:val="clear" w:color="auto" w:fill="auto"/>
        <w:tabs>
          <w:tab w:pos="335" w:val="left"/>
        </w:tabs>
        <w:bidi w:val="0"/>
        <w:spacing w:before="0" w:after="200" w:line="322" w:lineRule="auto"/>
        <w:ind w:left="0" w:right="0" w:firstLine="0"/>
        <w:jc w:val="left"/>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1</w:t>
      </w:r>
      <w:bookmarkEnd w:id="100"/>
      <w:r>
        <w:rPr>
          <w:color w:val="000000"/>
          <w:spacing w:val="0"/>
          <w:w w:val="100"/>
          <w:position w:val="0"/>
        </w:rPr>
        <w:t>、</w:t>
        <w:tab/>
        <w:t>概述</w:t>
      </w:r>
      <w:bookmarkEnd w:id="101"/>
      <w:bookmarkEnd w:id="98"/>
      <w:bookmarkEnd w:id="99"/>
    </w:p>
    <w:p>
      <w:pPr>
        <w:pStyle w:val="Style31"/>
        <w:keepNext w:val="0"/>
        <w:keepLines w:val="0"/>
        <w:widowControl w:val="0"/>
        <w:shd w:val="clear" w:color="auto" w:fill="auto"/>
        <w:bidi w:val="0"/>
        <w:spacing w:before="0" w:after="160" w:line="319"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年度，公司持续推进技术创新，优化营销团队，加强质量管理，完善售后服务体系。面对市场竞 争日益严峻的环境以及新冠疫情反复持续的挑战，在全体员工的共同努力下，公司</w:t>
      </w:r>
      <w:r>
        <w:rPr>
          <w:rFonts w:ascii="Times New Roman" w:eastAsia="Times New Roman" w:hAnsi="Times New Roman" w:cs="Times New Roman"/>
          <w:color w:val="000000"/>
          <w:spacing w:val="0"/>
          <w:w w:val="100"/>
          <w:position w:val="0"/>
        </w:rPr>
        <w:t>2021</w:t>
      </w:r>
      <w:r>
        <w:rPr>
          <w:color w:val="000000"/>
          <w:spacing w:val="0"/>
          <w:w w:val="100"/>
          <w:position w:val="0"/>
        </w:rPr>
        <w:t>年度营业收入、净 利润保持稳中向好。</w:t>
      </w:r>
    </w:p>
    <w:p>
      <w:pPr>
        <w:pStyle w:val="Style31"/>
        <w:keepNext w:val="0"/>
        <w:keepLines w:val="0"/>
        <w:widowControl w:val="0"/>
        <w:shd w:val="clear" w:color="auto" w:fill="auto"/>
        <w:bidi w:val="0"/>
        <w:spacing w:before="0" w:after="160" w:line="312" w:lineRule="exact"/>
        <w:ind w:left="0" w:right="0" w:firstLine="440"/>
        <w:jc w:val="left"/>
      </w:pPr>
      <w:r>
        <w:rPr>
          <w:color w:val="000000"/>
          <w:spacing w:val="0"/>
          <w:w w:val="100"/>
          <w:position w:val="0"/>
        </w:rPr>
        <w:t>报告期内，公司全年实现营业收入</w:t>
      </w:r>
      <w:r>
        <w:rPr>
          <w:rFonts w:ascii="Times New Roman" w:eastAsia="Times New Roman" w:hAnsi="Times New Roman" w:cs="Times New Roman"/>
          <w:color w:val="000000"/>
          <w:spacing w:val="0"/>
          <w:w w:val="100"/>
          <w:position w:val="0"/>
        </w:rPr>
        <w:t>467,129,176.10</w:t>
      </w:r>
      <w:r>
        <w:rPr>
          <w:color w:val="000000"/>
          <w:spacing w:val="0"/>
          <w:w w:val="100"/>
          <w:position w:val="0"/>
        </w:rPr>
        <w:t>元，同比增长</w:t>
      </w:r>
      <w:r>
        <w:rPr>
          <w:rFonts w:ascii="Times New Roman" w:eastAsia="Times New Roman" w:hAnsi="Times New Roman" w:cs="Times New Roman"/>
          <w:color w:val="000000"/>
          <w:spacing w:val="0"/>
          <w:w w:val="100"/>
          <w:position w:val="0"/>
        </w:rPr>
        <w:t>27.32%</w:t>
      </w:r>
      <w:r>
        <w:rPr>
          <w:color w:val="000000"/>
          <w:spacing w:val="0"/>
          <w:w w:val="100"/>
          <w:position w:val="0"/>
        </w:rPr>
        <w:t xml:space="preserve">；近三年营业收入复合增长率为 </w:t>
      </w:r>
      <w:r>
        <w:rPr>
          <w:rFonts w:ascii="Times New Roman" w:eastAsia="Times New Roman" w:hAnsi="Times New Roman" w:cs="Times New Roman"/>
          <w:color w:val="000000"/>
          <w:spacing w:val="0"/>
          <w:w w:val="100"/>
          <w:position w:val="0"/>
        </w:rPr>
        <w:t>30.14%</w:t>
      </w:r>
      <w:r>
        <w:rPr>
          <w:color w:val="000000"/>
          <w:spacing w:val="0"/>
          <w:w w:val="100"/>
          <w:position w:val="0"/>
        </w:rPr>
        <w:t>，保持快速增长；实现归属上市公司股东的净利润</w:t>
      </w:r>
      <w:r>
        <w:rPr>
          <w:rFonts w:ascii="Times New Roman" w:eastAsia="Times New Roman" w:hAnsi="Times New Roman" w:cs="Times New Roman"/>
          <w:color w:val="000000"/>
          <w:spacing w:val="0"/>
          <w:w w:val="100"/>
          <w:position w:val="0"/>
        </w:rPr>
        <w:t>55,657,076.39</w:t>
      </w:r>
      <w:r>
        <w:rPr>
          <w:color w:val="000000"/>
          <w:spacing w:val="0"/>
          <w:w w:val="100"/>
          <w:position w:val="0"/>
        </w:rPr>
        <w:t>元，同比增长</w:t>
      </w:r>
      <w:r>
        <w:rPr>
          <w:rFonts w:ascii="Times New Roman" w:eastAsia="Times New Roman" w:hAnsi="Times New Roman" w:cs="Times New Roman"/>
          <w:color w:val="000000"/>
          <w:spacing w:val="0"/>
          <w:w w:val="100"/>
          <w:position w:val="0"/>
        </w:rPr>
        <w:t>2.19%</w:t>
      </w:r>
      <w:r>
        <w:rPr>
          <w:color w:val="000000"/>
          <w:spacing w:val="0"/>
          <w:w w:val="100"/>
          <w:position w:val="0"/>
        </w:rPr>
        <w:t>。报告期末， 公司总资产</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,008,213,719.67</w:t>
      </w:r>
      <w:r>
        <w:rPr>
          <w:color w:val="000000"/>
          <w:spacing w:val="0"/>
          <w:w w:val="100"/>
          <w:position w:val="0"/>
        </w:rPr>
        <w:t>元，同比本报告期初增长</w:t>
      </w:r>
      <w:r>
        <w:rPr>
          <w:rFonts w:ascii="Times New Roman" w:eastAsia="Times New Roman" w:hAnsi="Times New Roman" w:cs="Times New Roman"/>
          <w:color w:val="000000"/>
          <w:spacing w:val="0"/>
          <w:w w:val="100"/>
          <w:position w:val="0"/>
        </w:rPr>
        <w:t>119.43%</w:t>
      </w:r>
      <w:r>
        <w:rPr>
          <w:color w:val="000000"/>
          <w:spacing w:val="0"/>
          <w:w w:val="100"/>
          <w:position w:val="0"/>
        </w:rPr>
        <w:t>，主要系报告期内公司完成首次公开发行股 票并上市，收到募集资金所致。受益于此，公司资产结构得以优化，报告期末公司资产负债率为</w:t>
      </w:r>
      <w:r>
        <w:rPr>
          <w:rFonts w:ascii="Times New Roman" w:eastAsia="Times New Roman" w:hAnsi="Times New Roman" w:cs="Times New Roman"/>
          <w:color w:val="000000"/>
          <w:spacing w:val="0"/>
          <w:w w:val="100"/>
          <w:position w:val="0"/>
        </w:rPr>
        <w:t>18.82%</w:t>
      </w:r>
      <w:r>
        <w:rPr>
          <w:color w:val="000000"/>
          <w:spacing w:val="0"/>
          <w:w w:val="100"/>
          <w:position w:val="0"/>
        </w:rPr>
        <w:t>， 比报告期初下降</w:t>
      </w:r>
      <w:r>
        <w:rPr>
          <w:rFonts w:ascii="Times New Roman" w:eastAsia="Times New Roman" w:hAnsi="Times New Roman" w:cs="Times New Roman"/>
          <w:color w:val="000000"/>
          <w:spacing w:val="0"/>
          <w:w w:val="100"/>
          <w:position w:val="0"/>
        </w:rPr>
        <w:t>26</w:t>
      </w:r>
      <w:r>
        <w:rPr>
          <w:color w:val="000000"/>
          <w:spacing w:val="0"/>
          <w:w w:val="100"/>
          <w:position w:val="0"/>
        </w:rPr>
        <w:t>个百分点。</w:t>
      </w:r>
    </w:p>
    <w:p>
      <w:pPr>
        <w:pStyle w:val="Style31"/>
        <w:keepNext w:val="0"/>
        <w:keepLines w:val="0"/>
        <w:widowControl w:val="0"/>
        <w:shd w:val="clear" w:color="auto" w:fill="auto"/>
        <w:bidi w:val="0"/>
        <w:spacing w:before="0" w:after="160" w:line="307" w:lineRule="exact"/>
        <w:ind w:left="0" w:right="0" w:firstLine="440"/>
        <w:jc w:val="left"/>
      </w:pPr>
      <w:r>
        <w:rPr>
          <w:color w:val="000000"/>
          <w:spacing w:val="0"/>
          <w:w w:val="100"/>
          <w:position w:val="0"/>
        </w:rPr>
        <w:t>报告期内，公司继续深耕面向政务、教育、医疗为主的智慧城市建设领域，主营业务、主要产品及服 务与上一年度保持一致。公司智慧政务领域业务收入</w:t>
      </w:r>
      <w:r>
        <w:rPr>
          <w:rFonts w:ascii="Times New Roman" w:eastAsia="Times New Roman" w:hAnsi="Times New Roman" w:cs="Times New Roman"/>
          <w:color w:val="000000"/>
          <w:spacing w:val="0"/>
          <w:w w:val="100"/>
          <w:position w:val="0"/>
        </w:rPr>
        <w:t>286,253,150.32</w:t>
      </w:r>
      <w:r>
        <w:rPr>
          <w:color w:val="000000"/>
          <w:spacing w:val="0"/>
          <w:w w:val="100"/>
          <w:position w:val="0"/>
        </w:rPr>
        <w:t>元，同比增长</w:t>
      </w:r>
      <w:r>
        <w:rPr>
          <w:rFonts w:ascii="Times New Roman" w:eastAsia="Times New Roman" w:hAnsi="Times New Roman" w:cs="Times New Roman"/>
          <w:color w:val="000000"/>
          <w:spacing w:val="0"/>
          <w:w w:val="100"/>
          <w:position w:val="0"/>
        </w:rPr>
        <w:t>19.54%</w:t>
      </w:r>
      <w:r>
        <w:rPr>
          <w:color w:val="000000"/>
          <w:spacing w:val="0"/>
          <w:w w:val="100"/>
          <w:position w:val="0"/>
        </w:rPr>
        <w:t>；智慧教育领域业 务收入</w:t>
      </w:r>
      <w:r>
        <w:rPr>
          <w:rFonts w:ascii="Times New Roman" w:eastAsia="Times New Roman" w:hAnsi="Times New Roman" w:cs="Times New Roman"/>
          <w:color w:val="000000"/>
          <w:spacing w:val="0"/>
          <w:w w:val="100"/>
          <w:position w:val="0"/>
        </w:rPr>
        <w:t>111,951,773.39</w:t>
      </w:r>
      <w:r>
        <w:rPr>
          <w:color w:val="000000"/>
          <w:spacing w:val="0"/>
          <w:w w:val="100"/>
          <w:position w:val="0"/>
        </w:rPr>
        <w:t>元，同比增长</w:t>
      </w:r>
      <w:r>
        <w:rPr>
          <w:rFonts w:ascii="Times New Roman" w:eastAsia="Times New Roman" w:hAnsi="Times New Roman" w:cs="Times New Roman"/>
          <w:color w:val="000000"/>
          <w:spacing w:val="0"/>
          <w:w w:val="100"/>
          <w:position w:val="0"/>
        </w:rPr>
        <w:t>235.92%</w:t>
      </w:r>
      <w:r>
        <w:rPr>
          <w:color w:val="000000"/>
          <w:spacing w:val="0"/>
          <w:w w:val="100"/>
          <w:position w:val="0"/>
        </w:rPr>
        <w:t>；智慧医疗领域业务收入</w:t>
      </w:r>
      <w:r>
        <w:rPr>
          <w:rFonts w:ascii="Times New Roman" w:eastAsia="Times New Roman" w:hAnsi="Times New Roman" w:cs="Times New Roman"/>
          <w:color w:val="000000"/>
          <w:spacing w:val="0"/>
          <w:w w:val="100"/>
          <w:position w:val="0"/>
        </w:rPr>
        <w:t>32,871,914.4</w:t>
      </w:r>
      <w:r>
        <w:rPr>
          <w:rFonts w:ascii="Times New Roman" w:eastAsia="Times New Roman" w:hAnsi="Times New Roman" w:cs="Times New Roman"/>
          <w:color w:val="000000"/>
          <w:spacing w:val="0"/>
          <w:w w:val="100"/>
          <w:position w:val="0"/>
        </w:rPr>
        <w:t>2</w:t>
      </w:r>
      <w:r>
        <w:rPr>
          <w:color w:val="000000"/>
          <w:spacing w:val="0"/>
          <w:w w:val="100"/>
          <w:position w:val="0"/>
        </w:rPr>
        <w:t>元，同比增长</w:t>
      </w:r>
      <w:r>
        <w:rPr>
          <w:rFonts w:ascii="Times New Roman" w:eastAsia="Times New Roman" w:hAnsi="Times New Roman" w:cs="Times New Roman"/>
          <w:color w:val="000000"/>
          <w:spacing w:val="0"/>
          <w:w w:val="100"/>
          <w:position w:val="0"/>
        </w:rPr>
        <w:t>165.17%</w:t>
      </w:r>
      <w:r>
        <w:rPr>
          <w:color w:val="000000"/>
          <w:spacing w:val="0"/>
          <w:w w:val="100"/>
          <w:position w:val="0"/>
        </w:rPr>
        <w:t>。</w:t>
      </w:r>
    </w:p>
    <w:p>
      <w:pPr>
        <w:pStyle w:val="Style31"/>
        <w:keepNext w:val="0"/>
        <w:keepLines w:val="0"/>
        <w:widowControl w:val="0"/>
        <w:shd w:val="clear" w:color="auto" w:fill="auto"/>
        <w:bidi w:val="0"/>
        <w:spacing w:before="0" w:after="160" w:line="309" w:lineRule="exact"/>
        <w:ind w:left="0" w:right="0" w:firstLine="440"/>
        <w:jc w:val="left"/>
      </w:pPr>
      <w:r>
        <w:rPr>
          <w:color w:val="000000"/>
          <w:spacing w:val="0"/>
          <w:w w:val="100"/>
          <w:position w:val="0"/>
        </w:rPr>
        <w:t>报告期内，公司营业利润来自核心业务软件及技术服务业务，未发生重大变动。受上游供应商产品涨 价的影响，公司采购成本上涨较多，整体营业成本</w:t>
      </w:r>
      <w:r>
        <w:rPr>
          <w:rFonts w:ascii="Times New Roman" w:eastAsia="Times New Roman" w:hAnsi="Times New Roman" w:cs="Times New Roman"/>
          <w:color w:val="000000"/>
          <w:spacing w:val="0"/>
          <w:w w:val="100"/>
          <w:position w:val="0"/>
        </w:rPr>
        <w:t>349,471,575.5</w:t>
      </w:r>
      <w:r>
        <w:rPr>
          <w:rFonts w:ascii="Times New Roman" w:eastAsia="Times New Roman" w:hAnsi="Times New Roman" w:cs="Times New Roman"/>
          <w:color w:val="000000"/>
          <w:spacing w:val="0"/>
          <w:w w:val="100"/>
          <w:position w:val="0"/>
        </w:rPr>
        <w:t>2</w:t>
      </w:r>
      <w:r>
        <w:rPr>
          <w:color w:val="000000"/>
          <w:spacing w:val="0"/>
          <w:w w:val="100"/>
          <w:position w:val="0"/>
        </w:rPr>
        <w:t>元，同比上升</w:t>
      </w:r>
      <w:r>
        <w:rPr>
          <w:rFonts w:ascii="Times New Roman" w:eastAsia="Times New Roman" w:hAnsi="Times New Roman" w:cs="Times New Roman"/>
          <w:color w:val="000000"/>
          <w:spacing w:val="0"/>
          <w:w w:val="100"/>
          <w:position w:val="0"/>
        </w:rPr>
        <w:t>36.61%</w:t>
      </w:r>
      <w:r>
        <w:rPr>
          <w:color w:val="000000"/>
          <w:spacing w:val="0"/>
          <w:w w:val="100"/>
          <w:position w:val="0"/>
        </w:rPr>
        <w:t>。受此影响，报告期 内公司的主要业务信息系统集成业务营业收入</w:t>
      </w:r>
      <w:r>
        <w:rPr>
          <w:rFonts w:ascii="Times New Roman" w:eastAsia="Times New Roman" w:hAnsi="Times New Roman" w:cs="Times New Roman"/>
          <w:color w:val="000000"/>
          <w:spacing w:val="0"/>
          <w:w w:val="100"/>
          <w:position w:val="0"/>
        </w:rPr>
        <w:t>226,977,431.88</w:t>
      </w:r>
      <w:r>
        <w:rPr>
          <w:color w:val="000000"/>
          <w:spacing w:val="0"/>
          <w:w w:val="100"/>
          <w:position w:val="0"/>
        </w:rPr>
        <w:t>元，同比上涨</w:t>
      </w:r>
      <w:r>
        <w:rPr>
          <w:rFonts w:ascii="Times New Roman" w:eastAsia="Times New Roman" w:hAnsi="Times New Roman" w:cs="Times New Roman"/>
          <w:color w:val="000000"/>
          <w:spacing w:val="0"/>
          <w:w w:val="100"/>
          <w:position w:val="0"/>
        </w:rPr>
        <w:t>29.72%</w:t>
      </w:r>
      <w:r>
        <w:rPr>
          <w:color w:val="000000"/>
          <w:spacing w:val="0"/>
          <w:w w:val="100"/>
          <w:position w:val="0"/>
        </w:rPr>
        <w:t>；营业成本</w:t>
      </w:r>
      <w:r>
        <w:rPr>
          <w:rFonts w:ascii="Times New Roman" w:eastAsia="Times New Roman" w:hAnsi="Times New Roman" w:cs="Times New Roman"/>
          <w:color w:val="000000"/>
          <w:spacing w:val="0"/>
          <w:w w:val="100"/>
          <w:position w:val="0"/>
        </w:rPr>
        <w:t xml:space="preserve">158,031,461.33 </w:t>
      </w:r>
      <w:r>
        <w:rPr>
          <w:color w:val="000000"/>
          <w:spacing w:val="0"/>
          <w:w w:val="100"/>
          <w:position w:val="0"/>
        </w:rPr>
        <w:t>元，同比上涨</w:t>
      </w:r>
      <w:r>
        <w:rPr>
          <w:rFonts w:ascii="Times New Roman" w:eastAsia="Times New Roman" w:hAnsi="Times New Roman" w:cs="Times New Roman"/>
          <w:color w:val="000000"/>
          <w:spacing w:val="0"/>
          <w:w w:val="100"/>
          <w:position w:val="0"/>
        </w:rPr>
        <w:t>45.03%</w:t>
      </w:r>
      <w:r>
        <w:rPr>
          <w:color w:val="000000"/>
          <w:spacing w:val="0"/>
          <w:w w:val="100"/>
          <w:position w:val="0"/>
        </w:rPr>
        <w:t>；毛利率</w:t>
      </w:r>
      <w:r>
        <w:rPr>
          <w:rFonts w:ascii="Times New Roman" w:eastAsia="Times New Roman" w:hAnsi="Times New Roman" w:cs="Times New Roman"/>
          <w:color w:val="000000"/>
          <w:spacing w:val="0"/>
          <w:w w:val="100"/>
          <w:position w:val="0"/>
        </w:rPr>
        <w:t>30.38%</w:t>
      </w:r>
      <w:r>
        <w:rPr>
          <w:color w:val="000000"/>
          <w:spacing w:val="0"/>
          <w:w w:val="100"/>
          <w:position w:val="0"/>
        </w:rPr>
        <w:t>，同比下降</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.35</w:t>
      </w:r>
      <w:r>
        <w:rPr>
          <w:color w:val="000000"/>
          <w:spacing w:val="0"/>
          <w:w w:val="100"/>
          <w:position w:val="0"/>
        </w:rPr>
        <w:t>个百分点。整体毛利率下滑，全年利润增速较小。</w:t>
      </w:r>
    </w:p>
    <w:p>
      <w:pPr>
        <w:pStyle w:val="Style31"/>
        <w:keepNext w:val="0"/>
        <w:keepLines w:val="0"/>
        <w:widowControl w:val="0"/>
        <w:shd w:val="clear" w:color="auto" w:fill="auto"/>
        <w:bidi w:val="0"/>
        <w:spacing w:before="0" w:after="160" w:line="298" w:lineRule="exact"/>
        <w:ind w:left="0" w:right="0" w:firstLine="440"/>
        <w:jc w:val="left"/>
      </w:pPr>
      <w:r>
        <w:rPr>
          <w:color w:val="000000"/>
          <w:spacing w:val="0"/>
          <w:w w:val="100"/>
          <w:position w:val="0"/>
        </w:rPr>
        <w:t>公司保持研发投入，推进技术与产品创新，以优化业务结构，创造新的利润增长点。报告期内，公司 投入研发费用</w:t>
      </w:r>
      <w:r>
        <w:rPr>
          <w:rFonts w:ascii="Times New Roman" w:eastAsia="Times New Roman" w:hAnsi="Times New Roman" w:cs="Times New Roman"/>
          <w:color w:val="000000"/>
          <w:spacing w:val="0"/>
          <w:w w:val="100"/>
          <w:position w:val="0"/>
        </w:rPr>
        <w:t>17,501,476.13</w:t>
      </w:r>
      <w:r>
        <w:rPr>
          <w:color w:val="000000"/>
          <w:spacing w:val="0"/>
          <w:w w:val="100"/>
          <w:position w:val="0"/>
        </w:rPr>
        <w:t>元，同比上升</w:t>
      </w:r>
      <w:r>
        <w:rPr>
          <w:rFonts w:ascii="Times New Roman" w:eastAsia="Times New Roman" w:hAnsi="Times New Roman" w:cs="Times New Roman"/>
          <w:color w:val="000000"/>
          <w:spacing w:val="0"/>
          <w:w w:val="100"/>
          <w:position w:val="0"/>
        </w:rPr>
        <w:t>8.76%</w:t>
      </w:r>
      <w:r>
        <w:rPr>
          <w:color w:val="000000"/>
          <w:spacing w:val="0"/>
          <w:w w:val="100"/>
          <w:position w:val="0"/>
        </w:rPr>
        <w:t>。</w:t>
      </w:r>
    </w:p>
    <w:p>
      <w:pPr>
        <w:pStyle w:val="Style31"/>
        <w:keepNext w:val="0"/>
        <w:keepLines w:val="0"/>
        <w:widowControl w:val="0"/>
        <w:shd w:val="clear" w:color="auto" w:fill="auto"/>
        <w:bidi w:val="0"/>
        <w:spacing w:before="0" w:after="380" w:line="302" w:lineRule="exact"/>
        <w:ind w:left="0" w:right="0" w:firstLine="440"/>
        <w:jc w:val="left"/>
      </w:pPr>
      <w:r>
        <w:rPr>
          <w:color w:val="000000"/>
          <w:spacing w:val="0"/>
          <w:w w:val="100"/>
          <w:position w:val="0"/>
        </w:rPr>
        <w:t>公司持续推进内部管理规范，加强费用管控。报告期内，公司销售费用</w:t>
      </w:r>
      <w:r>
        <w:rPr>
          <w:rFonts w:ascii="Times New Roman" w:eastAsia="Times New Roman" w:hAnsi="Times New Roman" w:cs="Times New Roman"/>
          <w:color w:val="000000"/>
          <w:spacing w:val="0"/>
          <w:w w:val="100"/>
          <w:position w:val="0"/>
        </w:rPr>
        <w:t>18,662,216.66</w:t>
      </w:r>
      <w:r>
        <w:rPr>
          <w:color w:val="000000"/>
          <w:spacing w:val="0"/>
          <w:w w:val="100"/>
          <w:position w:val="0"/>
        </w:rPr>
        <w:t xml:space="preserve">元，同比增长 </w:t>
      </w:r>
      <w:r>
        <w:rPr>
          <w:rFonts w:ascii="Times New Roman" w:eastAsia="Times New Roman" w:hAnsi="Times New Roman" w:cs="Times New Roman"/>
          <w:color w:val="000000"/>
          <w:spacing w:val="0"/>
          <w:w w:val="100"/>
          <w:position w:val="0"/>
        </w:rPr>
        <w:t>13.01%</w:t>
      </w:r>
      <w:r>
        <w:rPr>
          <w:color w:val="000000"/>
          <w:spacing w:val="0"/>
          <w:w w:val="100"/>
          <w:position w:val="0"/>
        </w:rPr>
        <w:t>；管理费用</w:t>
      </w:r>
      <w:r>
        <w:rPr>
          <w:rFonts w:ascii="Times New Roman" w:eastAsia="Times New Roman" w:hAnsi="Times New Roman" w:cs="Times New Roman"/>
          <w:color w:val="000000"/>
          <w:spacing w:val="0"/>
          <w:w w:val="100"/>
          <w:position w:val="0"/>
          <w:sz w:val="18"/>
          <w:szCs w:val="18"/>
        </w:rPr>
        <w:t>16,175,581.45</w:t>
      </w:r>
      <w:r>
        <w:rPr>
          <w:color w:val="000000"/>
          <w:spacing w:val="0"/>
          <w:w w:val="100"/>
          <w:position w:val="0"/>
        </w:rPr>
        <w:t>元，同比增长</w:t>
      </w:r>
      <w:r>
        <w:rPr>
          <w:rFonts w:ascii="Times New Roman" w:eastAsia="Times New Roman" w:hAnsi="Times New Roman" w:cs="Times New Roman"/>
          <w:color w:val="000000"/>
          <w:spacing w:val="0"/>
          <w:w w:val="100"/>
          <w:position w:val="0"/>
        </w:rPr>
        <w:t>16.53%</w:t>
      </w:r>
      <w:r>
        <w:rPr>
          <w:color w:val="000000"/>
          <w:spacing w:val="0"/>
          <w:w w:val="100"/>
          <w:position w:val="0"/>
        </w:rPr>
        <w:t>，主要系公司在</w:t>
      </w:r>
      <w:r>
        <w:rPr>
          <w:rFonts w:ascii="Times New Roman" w:eastAsia="Times New Roman" w:hAnsi="Times New Roman" w:cs="Times New Roman"/>
          <w:color w:val="000000"/>
          <w:spacing w:val="0"/>
          <w:w w:val="100"/>
          <w:position w:val="0"/>
        </w:rPr>
        <w:t>IPO</w:t>
      </w:r>
      <w:r>
        <w:rPr>
          <w:color w:val="000000"/>
          <w:spacing w:val="0"/>
          <w:w w:val="100"/>
          <w:position w:val="0"/>
        </w:rPr>
        <w:t>期间相关费用有所增加所致。</w:t>
      </w:r>
    </w:p>
    <w:p>
      <w:pPr>
        <w:pStyle w:val="Style28"/>
        <w:keepNext/>
        <w:keepLines/>
        <w:widowControl w:val="0"/>
        <w:shd w:val="clear" w:color="auto" w:fill="auto"/>
        <w:tabs>
          <w:tab w:pos="345" w:val="left"/>
        </w:tabs>
        <w:bidi w:val="0"/>
        <w:spacing w:before="0" w:after="200" w:line="322" w:lineRule="auto"/>
        <w:ind w:left="0" w:right="0" w:firstLine="0"/>
        <w:jc w:val="left"/>
      </w:pPr>
      <w:bookmarkStart w:id="102" w:name="bookmark102"/>
      <w:bookmarkStart w:id="103" w:name="bookmark103"/>
      <w:bookmarkStart w:id="104" w:name="bookmark104"/>
      <w:bookmarkStart w:id="105" w:name="bookmark105"/>
      <w:r>
        <w:rPr>
          <w:rFonts w:ascii="Times New Roman" w:eastAsia="Times New Roman" w:hAnsi="Times New Roman" w:cs="Times New Roman"/>
          <w:color w:val="000000"/>
          <w:spacing w:val="0"/>
          <w:w w:val="100"/>
          <w:position w:val="0"/>
        </w:rPr>
        <w:t>2</w:t>
      </w:r>
      <w:bookmarkEnd w:id="104"/>
      <w:r>
        <w:rPr>
          <w:color w:val="000000"/>
          <w:spacing w:val="0"/>
          <w:w w:val="100"/>
          <w:position w:val="0"/>
        </w:rPr>
        <w:t>、</w:t>
        <w:tab/>
        <w:t>收入与成本</w:t>
      </w:r>
      <w:bookmarkEnd w:id="102"/>
      <w:bookmarkEnd w:id="103"/>
      <w:bookmarkEnd w:id="105"/>
    </w:p>
    <w:p>
      <w:pPr>
        <w:pStyle w:val="Style35"/>
        <w:keepNext/>
        <w:keepLines/>
        <w:widowControl w:val="0"/>
        <w:shd w:val="clear" w:color="auto" w:fill="auto"/>
        <w:bidi w:val="0"/>
        <w:spacing w:before="0" w:after="380" w:line="309" w:lineRule="exact"/>
        <w:ind w:left="0" w:right="0" w:firstLine="0"/>
        <w:jc w:val="left"/>
      </w:pPr>
      <w:bookmarkStart w:id="106" w:name="bookmark106"/>
      <w:bookmarkStart w:id="107" w:name="bookmark107"/>
      <w:bookmarkStart w:id="108" w:name="bookmark108"/>
      <w:bookmarkStart w:id="109" w:name="bookmark109"/>
      <w:r>
        <w:rPr>
          <w:color w:val="000000"/>
          <w:spacing w:val="0"/>
          <w:w w:val="100"/>
          <w:position w:val="0"/>
        </w:rPr>
        <w:t>（</w:t>
      </w:r>
      <w:bookmarkEnd w:id="108"/>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6"/>
      <w:bookmarkEnd w:id="107"/>
      <w:bookmarkEnd w:id="109"/>
    </w:p>
    <w:p>
      <w:pPr>
        <w:pStyle w:val="Style14"/>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营业收入整体情况</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467,129,176.10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366,896,926.99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智慧政务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286,253,150.32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239,467,307.44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35,653,630.43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81,502,066.73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智慧教育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111,951,773.39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33,326,794.13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32,871,914.42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12,396,513.41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398,707.54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204,245.28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95.21%</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226,977,431.88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174,968,170.41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软件及技术服务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39,106,433.96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40,366,162.83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信息系统运维服务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12,045,370.56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11,475,105.80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188,601,232.16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139,883,242.67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398,707.54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204,245.28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95.21%</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462,125,946.65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302,714,765.75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898,603.76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10,747,904.20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353,323.30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1,422,284.68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1,070,295.54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42,550,093.59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2,681,006.85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3,290,450.84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5,416,710.95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754,716.98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直销模式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467,129,176.10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366,896,926.99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w:t>
            </w:r>
          </w:p>
        </w:tc>
      </w:tr>
    </w:tbl>
    <w:p>
      <w:pPr>
        <w:widowControl w:val="0"/>
        <w:spacing w:after="59" w:line="1" w:lineRule="exact"/>
      </w:pP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15"/>
        <w:gridCol w:w="1090"/>
        <w:gridCol w:w="1090"/>
        <w:gridCol w:w="1171"/>
        <w:gridCol w:w="1181"/>
        <w:gridCol w:w="1090"/>
        <w:gridCol w:w="1090"/>
        <w:gridCol w:w="1094"/>
        <w:gridCol w:w="119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营业收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32,858,676.18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90,695,869.34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111,207,743.19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232,366,887.39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23,692,056.58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49,915,108.30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66,521,144.07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226,768,618.04</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归属于 上市公 司股东 的净利 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-804,516.25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6,831,274.84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8,664,589.27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40,965,728.53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-3,492,872.72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7,198,413.22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1,307,995.50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49,448,735.53</w:t>
            </w:r>
          </w:p>
        </w:tc>
      </w:tr>
    </w:tbl>
    <w:p>
      <w:pPr>
        <w:widowControl w:val="0"/>
        <w:spacing w:after="5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说明经营季节性（或周期性）发生的原因及波动风险</w:t>
      </w:r>
    </w:p>
    <w:p>
      <w:pPr>
        <w:pStyle w:val="Style31"/>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公司主要客户为政府机关及事业单位，上述客户受政府预算管理及执行政府采购流程的影响，项目验 收工作主要集中在下半年特别是第四季度，导致公司较多项目集中在下半年进行验收。由于公司信息系统 集成服务、软件开发及技术服务业务以验收为收入确认时点，因而公司营业收入较多在下半年确认，公司 收入存在较大季节性波动的风险。</w:t>
      </w:r>
    </w:p>
    <w:p>
      <w:pPr>
        <w:pStyle w:val="Style35"/>
        <w:keepNext/>
        <w:keepLines/>
        <w:widowControl w:val="0"/>
        <w:shd w:val="clear" w:color="auto" w:fill="auto"/>
        <w:bidi w:val="0"/>
        <w:spacing w:before="0" w:after="380" w:line="312" w:lineRule="exact"/>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0"/>
      <w:bookmarkEnd w:id="111"/>
      <w:bookmarkEnd w:id="113"/>
    </w:p>
    <w:p>
      <w:pPr>
        <w:pStyle w:val="Style31"/>
        <w:keepNext w:val="0"/>
        <w:keepLines w:val="0"/>
        <w:widowControl w:val="0"/>
        <w:shd w:val="clear" w:color="auto" w:fill="auto"/>
        <w:bidi w:val="0"/>
        <w:spacing w:before="0" w:after="60" w:line="326"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100" w:line="312" w:lineRule="exact"/>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智慧政务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286,253,150.32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208,636,764.69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智慧教育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111,951,773.39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89,574,796.70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226,977,431.88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158,031,461.33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软件及技术服务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39,106,433.96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14,661,482.07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188,601,232.16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170,622,053.31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-0.51%</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462,125,946.65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346,645,361.04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w:t>
            </w:r>
          </w:p>
        </w:tc>
      </w:tr>
    </w:tbl>
    <w:p>
      <w:pPr>
        <w:pStyle w:val="Style31"/>
        <w:keepNext w:val="0"/>
        <w:keepLines w:val="0"/>
        <w:widowControl w:val="0"/>
        <w:shd w:val="clear" w:color="auto" w:fill="auto"/>
        <w:bidi w:val="0"/>
        <w:spacing w:before="0" w:after="100" w:line="317"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 数据</w:t>
      </w:r>
    </w:p>
    <w:p>
      <w:pPr>
        <w:pStyle w:val="Style31"/>
        <w:keepNext w:val="0"/>
        <w:keepLines w:val="0"/>
        <w:widowControl w:val="0"/>
        <w:shd w:val="clear" w:color="auto" w:fill="auto"/>
        <w:bidi w:val="0"/>
        <w:spacing w:before="0" w:after="160" w:line="33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5"/>
        <w:keepNext/>
        <w:keepLines/>
        <w:widowControl w:val="0"/>
        <w:shd w:val="clear" w:color="auto" w:fill="auto"/>
        <w:tabs>
          <w:tab w:pos="493" w:val="left"/>
        </w:tabs>
        <w:bidi w:val="0"/>
        <w:spacing w:before="0" w:after="380" w:line="317" w:lineRule="exact"/>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4"/>
      <w:bookmarkEnd w:id="115"/>
      <w:bookmarkEnd w:id="117"/>
    </w:p>
    <w:p>
      <w:pPr>
        <w:pStyle w:val="Style31"/>
        <w:keepNext w:val="0"/>
        <w:keepLines w:val="0"/>
        <w:widowControl w:val="0"/>
        <w:shd w:val="clear" w:color="auto" w:fill="auto"/>
        <w:bidi w:val="0"/>
        <w:spacing w:before="0" w:after="160" w:line="33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35"/>
        <w:keepNext/>
        <w:keepLines/>
        <w:widowControl w:val="0"/>
        <w:shd w:val="clear" w:color="auto" w:fill="auto"/>
        <w:tabs>
          <w:tab w:pos="493" w:val="left"/>
        </w:tabs>
        <w:bidi w:val="0"/>
        <w:spacing w:before="0" w:after="380" w:line="317" w:lineRule="exact"/>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18"/>
      <w:bookmarkEnd w:id="119"/>
      <w:bookmarkEnd w:id="121"/>
    </w:p>
    <w:p>
      <w:pPr>
        <w:pStyle w:val="Style31"/>
        <w:keepNext w:val="0"/>
        <w:keepLines w:val="0"/>
        <w:widowControl w:val="0"/>
        <w:shd w:val="clear" w:color="auto" w:fill="auto"/>
        <w:bidi w:val="0"/>
        <w:spacing w:before="0" w:after="160" w:line="331"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5"/>
        <w:keepNext/>
        <w:keepLines/>
        <w:widowControl w:val="0"/>
        <w:shd w:val="clear" w:color="auto" w:fill="auto"/>
        <w:tabs>
          <w:tab w:pos="493" w:val="left"/>
        </w:tabs>
        <w:bidi w:val="0"/>
        <w:spacing w:before="0" w:after="300" w:line="317" w:lineRule="exact"/>
        <w:ind w:left="0" w:right="0" w:firstLine="0"/>
        <w:jc w:val="both"/>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2"/>
      <w:bookmarkEnd w:id="123"/>
      <w:bookmarkEnd w:id="125"/>
    </w:p>
    <w:p>
      <w:pPr>
        <w:pStyle w:val="Style31"/>
        <w:keepNext w:val="0"/>
        <w:keepLines w:val="0"/>
        <w:widowControl w:val="0"/>
        <w:shd w:val="clear" w:color="auto" w:fill="auto"/>
        <w:bidi w:val="0"/>
        <w:spacing w:before="0" w:after="100" w:line="317" w:lineRule="exact"/>
        <w:ind w:left="0" w:right="0" w:firstLine="0"/>
        <w:jc w:val="both"/>
      </w:pPr>
      <w:r>
        <w:rPr>
          <w:color w:val="000000"/>
          <w:spacing w:val="0"/>
          <w:w w:val="100"/>
          <w:position w:val="0"/>
        </w:rPr>
        <w:t>行业和产品分类</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22"/>
        <w:gridCol w:w="1618"/>
        <w:gridCol w:w="1618"/>
        <w:gridCol w:w="1613"/>
        <w:gridCol w:w="1613"/>
        <w:gridCol w:w="1627"/>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智慧政务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208,636,764.69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158,607,912.73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21,722,867.60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60,871,882.51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智慧教育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89,574,796.70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27,538,343.22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29,262,047.39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8,666,431.69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275,099.14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128,764.47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113.65%</w:t>
            </w:r>
          </w:p>
        </w:tc>
      </w:tr>
    </w:tbl>
    <w:p>
      <w:pPr>
        <w:widowControl w:val="0"/>
        <w:spacing w:after="99" w:line="1" w:lineRule="exact"/>
      </w:pP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22"/>
        <w:gridCol w:w="1618"/>
        <w:gridCol w:w="1618"/>
        <w:gridCol w:w="1613"/>
        <w:gridCol w:w="1613"/>
        <w:gridCol w:w="1627"/>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产品分类</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信息系统集成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158,031,461.33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108,962,901.85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45.03%</w:t>
            </w:r>
          </w:p>
        </w:tc>
      </w:tr>
    </w:tbl>
    <w:tbl>
      <w:tblPr>
        <w:tblOverlap w:val="never"/>
        <w:jc w:val="center"/>
        <w:tblLayout w:type="fixed"/>
      </w:tblPr>
      <w:tblGrid>
        <w:gridCol w:w="1622"/>
        <w:gridCol w:w="1618"/>
        <w:gridCol w:w="1618"/>
        <w:gridCol w:w="1613"/>
        <w:gridCol w:w="1613"/>
        <w:gridCol w:w="162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产品分类</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软件及技术服务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14,661,482.07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15,626,227.01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信息系统运维服务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5,881,479.67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5,264,175.34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170,622,053.31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125,831,265.95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275,099.14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128,764.47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113.65%</w:t>
            </w:r>
          </w:p>
        </w:tc>
      </w:tr>
    </w:tbl>
    <w:p>
      <w:pPr>
        <w:widowControl w:val="0"/>
        <w:spacing w:after="7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31"/>
        <w:keepNext w:val="0"/>
        <w:keepLines w:val="0"/>
        <w:widowControl w:val="0"/>
        <w:numPr>
          <w:ilvl w:val="0"/>
          <w:numId w:val="7"/>
        </w:numPr>
        <w:shd w:val="clear" w:color="auto" w:fill="auto"/>
        <w:tabs>
          <w:tab w:pos="805" w:val="left"/>
        </w:tabs>
        <w:bidi w:val="0"/>
        <w:spacing w:before="0" w:after="0" w:line="328" w:lineRule="exact"/>
        <w:ind w:left="0" w:right="0" w:firstLine="440"/>
        <w:jc w:val="left"/>
      </w:pPr>
      <w:bookmarkStart w:id="126" w:name="bookmark126"/>
      <w:bookmarkEnd w:id="126"/>
      <w:r>
        <w:rPr>
          <w:color w:val="000000"/>
          <w:spacing w:val="0"/>
          <w:w w:val="100"/>
          <w:position w:val="0"/>
        </w:rPr>
        <w:t>报告期内，信息系统集成业务营业成本为</w:t>
      </w:r>
      <w:r>
        <w:rPr>
          <w:rFonts w:ascii="Times New Roman" w:eastAsia="Times New Roman" w:hAnsi="Times New Roman" w:cs="Times New Roman"/>
          <w:color w:val="000000"/>
          <w:spacing w:val="0"/>
          <w:w w:val="100"/>
          <w:position w:val="0"/>
        </w:rPr>
        <w:t>158,031,461.33</w:t>
      </w:r>
      <w:r>
        <w:rPr>
          <w:color w:val="000000"/>
          <w:spacing w:val="0"/>
          <w:w w:val="100"/>
          <w:position w:val="0"/>
        </w:rPr>
        <w:t>元，同比增加</w:t>
      </w:r>
      <w:r>
        <w:rPr>
          <w:rFonts w:ascii="Times New Roman" w:eastAsia="Times New Roman" w:hAnsi="Times New Roman" w:cs="Times New Roman"/>
          <w:color w:val="000000"/>
          <w:spacing w:val="0"/>
          <w:w w:val="100"/>
          <w:position w:val="0"/>
        </w:rPr>
        <w:t>45.03%</w:t>
      </w:r>
      <w:r>
        <w:rPr>
          <w:color w:val="000000"/>
          <w:spacing w:val="0"/>
          <w:w w:val="100"/>
          <w:position w:val="0"/>
        </w:rPr>
        <w:t>，主要原因系随信 息系统集成业务销售收入增加，同时信息系统集成业务中的直接材料采购成本上涨所致。</w:t>
      </w:r>
    </w:p>
    <w:p>
      <w:pPr>
        <w:pStyle w:val="Style31"/>
        <w:keepNext w:val="0"/>
        <w:keepLines w:val="0"/>
        <w:widowControl w:val="0"/>
        <w:numPr>
          <w:ilvl w:val="0"/>
          <w:numId w:val="7"/>
        </w:numPr>
        <w:shd w:val="clear" w:color="auto" w:fill="auto"/>
        <w:tabs>
          <w:tab w:pos="795" w:val="left"/>
        </w:tabs>
        <w:bidi w:val="0"/>
        <w:spacing w:before="0" w:after="0" w:line="328" w:lineRule="exact"/>
        <w:ind w:left="0" w:right="0" w:firstLine="440"/>
        <w:jc w:val="left"/>
      </w:pPr>
      <w:bookmarkStart w:id="127" w:name="bookmark127"/>
      <w:bookmarkEnd w:id="127"/>
      <w:r>
        <w:rPr>
          <w:color w:val="000000"/>
          <w:spacing w:val="0"/>
          <w:w w:val="100"/>
          <w:position w:val="0"/>
        </w:rPr>
        <w:t>报告期内，硬件销售业务营业成本为</w:t>
      </w:r>
      <w:r>
        <w:rPr>
          <w:rFonts w:ascii="Times New Roman" w:eastAsia="Times New Roman" w:hAnsi="Times New Roman" w:cs="Times New Roman"/>
          <w:color w:val="000000"/>
          <w:spacing w:val="0"/>
          <w:w w:val="100"/>
          <w:position w:val="0"/>
        </w:rPr>
        <w:t>170,622,053.31</w:t>
      </w:r>
      <w:r>
        <w:rPr>
          <w:color w:val="000000"/>
          <w:spacing w:val="0"/>
          <w:w w:val="100"/>
          <w:position w:val="0"/>
        </w:rPr>
        <w:t>元，同比增加</w:t>
      </w:r>
      <w:r>
        <w:rPr>
          <w:rFonts w:ascii="Times New Roman" w:eastAsia="Times New Roman" w:hAnsi="Times New Roman" w:cs="Times New Roman"/>
          <w:color w:val="000000"/>
          <w:spacing w:val="0"/>
          <w:w w:val="100"/>
          <w:position w:val="0"/>
        </w:rPr>
        <w:t>35.60%</w:t>
      </w:r>
      <w:r>
        <w:rPr>
          <w:color w:val="000000"/>
          <w:spacing w:val="0"/>
          <w:w w:val="100"/>
          <w:position w:val="0"/>
        </w:rPr>
        <w:t>，主要原因系公司连续 中标广东省集采业务增加而增加。</w:t>
      </w:r>
    </w:p>
    <w:p>
      <w:pPr>
        <w:pStyle w:val="Style31"/>
        <w:keepNext w:val="0"/>
        <w:keepLines w:val="0"/>
        <w:widowControl w:val="0"/>
        <w:numPr>
          <w:ilvl w:val="0"/>
          <w:numId w:val="7"/>
        </w:numPr>
        <w:shd w:val="clear" w:color="auto" w:fill="auto"/>
        <w:tabs>
          <w:tab w:pos="810" w:val="left"/>
        </w:tabs>
        <w:bidi w:val="0"/>
        <w:spacing w:before="0" w:line="328" w:lineRule="exact"/>
        <w:ind w:left="0" w:right="0" w:firstLine="440"/>
        <w:jc w:val="left"/>
      </w:pPr>
      <w:bookmarkStart w:id="128" w:name="bookmark128"/>
      <w:bookmarkEnd w:id="128"/>
      <w:r>
        <w:rPr>
          <w:color w:val="000000"/>
          <w:spacing w:val="0"/>
          <w:w w:val="100"/>
          <w:position w:val="0"/>
        </w:rPr>
        <w:t>报告期内，其他业务成本为</w:t>
      </w:r>
      <w:r>
        <w:rPr>
          <w:rFonts w:ascii="Times New Roman" w:eastAsia="Times New Roman" w:hAnsi="Times New Roman" w:cs="Times New Roman"/>
          <w:color w:val="000000"/>
          <w:spacing w:val="0"/>
          <w:w w:val="100"/>
          <w:position w:val="0"/>
        </w:rPr>
        <w:t>275,099.14</w:t>
      </w:r>
      <w:r>
        <w:rPr>
          <w:color w:val="000000"/>
          <w:spacing w:val="0"/>
          <w:w w:val="100"/>
          <w:position w:val="0"/>
        </w:rPr>
        <w:t>元，主要由宣传片制作成本构成，同比上涨</w:t>
      </w:r>
      <w:r>
        <w:rPr>
          <w:rFonts w:ascii="Times New Roman" w:eastAsia="Times New Roman" w:hAnsi="Times New Roman" w:cs="Times New Roman"/>
          <w:color w:val="000000"/>
          <w:spacing w:val="0"/>
          <w:w w:val="100"/>
          <w:position w:val="0"/>
        </w:rPr>
        <w:t>113.65%</w:t>
      </w:r>
      <w:r>
        <w:rPr>
          <w:color w:val="000000"/>
          <w:spacing w:val="0"/>
          <w:w w:val="100"/>
          <w:position w:val="0"/>
        </w:rPr>
        <w:t>，主要 原因系随宣传片制作收入增加而增加。</w:t>
      </w:r>
    </w:p>
    <w:p>
      <w:pPr>
        <w:pStyle w:val="Style31"/>
        <w:keepNext w:val="0"/>
        <w:keepLines w:val="0"/>
        <w:widowControl w:val="0"/>
        <w:shd w:val="clear" w:color="auto" w:fill="auto"/>
        <w:bidi w:val="0"/>
        <w:spacing w:before="0" w:line="328" w:lineRule="exact"/>
        <w:ind w:left="0" w:right="0" w:firstLine="0"/>
        <w:jc w:val="left"/>
      </w:pPr>
      <w:r>
        <w:rPr>
          <w:color w:val="000000"/>
          <w:spacing w:val="0"/>
          <w:w w:val="100"/>
          <w:position w:val="0"/>
        </w:rPr>
        <w:t>主营业务成本构成</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308,177,947.35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210,509,230.18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10,014,516.54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8,959,340.02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29,872,001.90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34,891,357.85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1,407,109.73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1,453,406.57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r>
    </w:tbl>
    <w:p>
      <w:pPr>
        <w:widowControl w:val="0"/>
        <w:spacing w:after="359" w:line="1" w:lineRule="exact"/>
      </w:pPr>
    </w:p>
    <w:p>
      <w:pPr>
        <w:pStyle w:val="Style35"/>
        <w:keepNext/>
        <w:keepLines/>
        <w:widowControl w:val="0"/>
        <w:shd w:val="clear" w:color="auto" w:fill="auto"/>
        <w:tabs>
          <w:tab w:pos="493" w:val="left"/>
        </w:tabs>
        <w:bidi w:val="0"/>
        <w:spacing w:before="0" w:after="36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9"/>
      <w:bookmarkEnd w:id="130"/>
      <w:bookmarkEnd w:id="132"/>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5"/>
        <w:keepNext/>
        <w:keepLines/>
        <w:widowControl w:val="0"/>
        <w:shd w:val="clear" w:color="auto" w:fill="auto"/>
        <w:bidi w:val="0"/>
        <w:spacing w:before="0" w:after="36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33"/>
      <w:bookmarkEnd w:id="134"/>
      <w:bookmarkEnd w:id="136"/>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5"/>
        <w:keepNext/>
        <w:keepLines/>
        <w:widowControl w:val="0"/>
        <w:shd w:val="clear" w:color="auto" w:fill="auto"/>
        <w:tabs>
          <w:tab w:pos="493" w:val="left"/>
        </w:tabs>
        <w:bidi w:val="0"/>
        <w:spacing w:before="0" w:after="36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37"/>
      <w:bookmarkEnd w:id="138"/>
      <w:bookmarkEnd w:id="140"/>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161,002,344.52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r>
        <w:br w:type="page"/>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99,276,137.24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21,385,205.10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14,751,046.32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14,651,194.80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10,938,761.06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161,002,344.52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w:t>
            </w:r>
          </w:p>
        </w:tc>
      </w:tr>
    </w:tbl>
    <w:p>
      <w:pPr>
        <w:widowControl w:val="0"/>
        <w:spacing w:after="199" w:line="1" w:lineRule="exact"/>
      </w:pP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主要客户其他情况说明</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line="322" w:lineRule="exact"/>
        <w:ind w:left="0" w:right="0" w:firstLine="440"/>
        <w:jc w:val="both"/>
      </w:pPr>
      <w:r>
        <w:rPr>
          <w:color w:val="000000"/>
          <w:spacing w:val="0"/>
          <w:w w:val="100"/>
          <w:position w:val="0"/>
        </w:rPr>
        <w:t>上述客户与公司无关联关系，公司董事、监事、高级管理人员、核心技术人员、持股</w:t>
      </w:r>
      <w:r>
        <w:rPr>
          <w:rFonts w:ascii="Times New Roman" w:eastAsia="Times New Roman" w:hAnsi="Times New Roman" w:cs="Times New Roman"/>
          <w:color w:val="000000"/>
          <w:spacing w:val="0"/>
          <w:w w:val="100"/>
          <w:position w:val="0"/>
        </w:rPr>
        <w:t>5%</w:t>
      </w:r>
      <w:r>
        <w:rPr>
          <w:color w:val="000000"/>
          <w:spacing w:val="0"/>
          <w:w w:val="100"/>
          <w:position w:val="0"/>
        </w:rPr>
        <w:t>以上股东、 实际控制人和其他关联方在主要客户中未直接或者间接拥有权益。</w:t>
      </w:r>
    </w:p>
    <w:p>
      <w:pPr>
        <w:pStyle w:val="Style31"/>
        <w:keepNext w:val="0"/>
        <w:keepLines w:val="0"/>
        <w:widowControl w:val="0"/>
        <w:shd w:val="clear" w:color="auto" w:fill="auto"/>
        <w:bidi w:val="0"/>
        <w:spacing w:before="0" w:after="60" w:line="322" w:lineRule="exact"/>
        <w:ind w:left="0" w:right="0" w:firstLine="0"/>
        <w:jc w:val="left"/>
      </w:pPr>
      <w:r>
        <w:rPr>
          <w:color w:val="000000"/>
          <w:spacing w:val="0"/>
          <w:w w:val="100"/>
          <w:position w:val="0"/>
        </w:rPr>
        <w:t>公司主要供应商情况</w:t>
      </w:r>
    </w:p>
    <w:tbl>
      <w:tblPr>
        <w:tblOverlap w:val="never"/>
        <w:jc w:val="center"/>
        <w:tblLayout w:type="fixed"/>
      </w:tblPr>
      <w:tblGrid>
        <w:gridCol w:w="6384"/>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178,698,258.50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99" w:line="1" w:lineRule="exact"/>
      </w:pPr>
    </w:p>
    <w:p>
      <w:pPr>
        <w:pStyle w:val="Style31"/>
        <w:keepNext w:val="0"/>
        <w:keepLines w:val="0"/>
        <w:widowControl w:val="0"/>
        <w:shd w:val="clear" w:color="auto" w:fill="auto"/>
        <w:bidi w:val="0"/>
        <w:spacing w:before="0" w:after="60" w:line="240" w:lineRule="auto"/>
        <w:ind w:left="0" w:right="0" w:firstLine="44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4450"/>
        <w:gridCol w:w="1843"/>
        <w:gridCol w:w="234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合肥联想电子有限公司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联想（北京）电子科技有限公司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121,841,450.53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广州正道科技有限公司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22,210,968.06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戴尔（中国）有限公司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12,531,937.54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浙江大华科技有限公司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11,530,900.85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深圳市春旗跃动商贸股份有限公司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10,583,001.52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178,698,258.50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48.29%</w:t>
            </w:r>
          </w:p>
        </w:tc>
      </w:tr>
    </w:tbl>
    <w:p>
      <w:pPr>
        <w:widowControl w:val="0"/>
        <w:spacing w:after="199" w:line="1" w:lineRule="exact"/>
      </w:pPr>
    </w:p>
    <w:p>
      <w:pPr>
        <w:pStyle w:val="Style31"/>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主要供应商其他情况说明</w:t>
      </w:r>
    </w:p>
    <w:p>
      <w:pPr>
        <w:pStyle w:val="Style31"/>
        <w:keepNext w:val="0"/>
        <w:keepLines w:val="0"/>
        <w:widowControl w:val="0"/>
        <w:shd w:val="clear" w:color="auto" w:fill="auto"/>
        <w:bidi w:val="0"/>
        <w:spacing w:before="0" w:after="36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141" w:name="bookmark141"/>
      <w:bookmarkStart w:id="142" w:name="bookmark142"/>
      <w:bookmarkStart w:id="143" w:name="bookmark143"/>
      <w:bookmarkStart w:id="144" w:name="bookmark144"/>
      <w:r>
        <w:rPr>
          <w:rFonts w:ascii="Times New Roman" w:eastAsia="Times New Roman" w:hAnsi="Times New Roman" w:cs="Times New Roman"/>
          <w:color w:val="000000"/>
          <w:spacing w:val="0"/>
          <w:w w:val="100"/>
          <w:position w:val="0"/>
        </w:rPr>
        <w:t>3</w:t>
      </w:r>
      <w:bookmarkEnd w:id="143"/>
      <w:r>
        <w:rPr>
          <w:color w:val="000000"/>
          <w:spacing w:val="0"/>
          <w:w w:val="100"/>
          <w:position w:val="0"/>
        </w:rPr>
        <w:t>、费用</w:t>
      </w:r>
      <w:bookmarkEnd w:id="141"/>
      <w:bookmarkEnd w:id="142"/>
      <w:bookmarkEnd w:id="144"/>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27"/>
        <w:gridCol w:w="1699"/>
        <w:gridCol w:w="1987"/>
        <w:gridCol w:w="1560"/>
        <w:gridCol w:w="343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18,662,216.66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16,514,132.39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16,175,581.45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13,881,133.95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-3,317,388.28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-1,257,895.59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主要系各类型银行存款利息收入增加所致。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17,501,476.13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16,091,402.47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398" w:right="1023" w:bottom="1537" w:left="1086" w:header="0" w:footer="3" w:gutter="0"/>
          <w:cols w:space="720"/>
          <w:noEndnote/>
          <w:rtlGutter w:val="0"/>
          <w:docGrid w:linePitch="360"/>
        </w:sectPr>
      </w:pPr>
    </w:p>
    <w:p>
      <w:pPr>
        <w:pStyle w:val="Style28"/>
        <w:keepNext/>
        <w:keepLines/>
        <w:widowControl w:val="0"/>
        <w:shd w:val="clear" w:color="auto" w:fill="auto"/>
        <w:bidi w:val="0"/>
        <w:spacing w:before="0" w:line="240" w:lineRule="auto"/>
        <w:ind w:left="0" w:right="0" w:firstLine="0"/>
        <w:jc w:val="left"/>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4</w:t>
      </w:r>
      <w:bookmarkEnd w:id="147"/>
      <w:r>
        <w:rPr>
          <w:color w:val="000000"/>
          <w:spacing w:val="0"/>
          <w:w w:val="100"/>
          <w:position w:val="0"/>
        </w:rPr>
        <w:t>、研发投入</w:t>
      </w:r>
      <w:bookmarkEnd w:id="145"/>
      <w:bookmarkEnd w:id="146"/>
      <w:bookmarkEnd w:id="148"/>
    </w:p>
    <w:p>
      <w:pPr>
        <w:pStyle w:val="Style31"/>
        <w:keepNext w:val="0"/>
        <w:keepLines w:val="0"/>
        <w:widowControl w:val="0"/>
        <w:shd w:val="clear" w:color="auto" w:fill="auto"/>
        <w:bidi w:val="0"/>
        <w:spacing w:before="0" w:after="40" w:line="240" w:lineRule="auto"/>
        <w:ind w:left="0" w:right="0" w:firstLine="44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45"/>
        <w:gridCol w:w="3442"/>
        <w:gridCol w:w="994"/>
        <w:gridCol w:w="4181"/>
        <w:gridCol w:w="45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主要研发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60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数字政府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国务院要求加快推进“互联网+政务服 务”体系的建设，推进政务服务“一网通 办”和企业群众办事''只进一扇门”''最 多跑一次”，和政务信息系统整合共享、审 批服务便民化和建设一体化在线政务服务 平台等工作。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研发阶段</w:t>
            </w:r>
          </w:p>
        </w:tc>
        <w:tc>
          <w:tcPr>
            <w:tcBorders>
              <w:top w:val="single" w:sz="4"/>
              <w:left w:val="single" w:sz="4"/>
            </w:tcBorders>
            <w:shd w:val="clear" w:color="auto" w:fill="FFFFFF"/>
            <w:vAlign w:val="center"/>
          </w:tcPr>
          <w:p>
            <w:pPr>
              <w:pStyle w:val="Style2"/>
              <w:keepNext w:val="0"/>
              <w:keepLines w:val="0"/>
              <w:widowControl w:val="0"/>
              <w:numPr>
                <w:ilvl w:val="0"/>
                <w:numId w:val="9"/>
              </w:numPr>
              <w:shd w:val="clear" w:color="auto" w:fill="auto"/>
              <w:tabs>
                <w:tab w:pos="499" w:val="left"/>
              </w:tabs>
              <w:bidi w:val="0"/>
              <w:spacing w:before="0" w:after="0" w:line="313" w:lineRule="exact"/>
              <w:ind w:left="0" w:right="0" w:firstLine="380"/>
              <w:jc w:val="both"/>
            </w:pPr>
            <w:r>
              <w:rPr>
                <w:color w:val="000000"/>
                <w:spacing w:val="0"/>
                <w:w w:val="100"/>
                <w:position w:val="0"/>
              </w:rPr>
              <w:t>数字政府云平台包括身份验证（统一身份认证 中心、电子证照、社会信用公共平台）、政务服务（政 务服务门户、政务服务终端应用、微信平台、政务服 务事项申办受理和审批系统、智能客服）、政务管理</w:t>
            </w:r>
          </w:p>
          <w:p>
            <w:pPr>
              <w:pStyle w:val="Style2"/>
              <w:keepNext w:val="0"/>
              <w:keepLines w:val="0"/>
              <w:widowControl w:val="0"/>
              <w:shd w:val="clear" w:color="auto" w:fill="auto"/>
              <w:bidi w:val="0"/>
              <w:spacing w:before="0" w:after="40" w:line="313" w:lineRule="exact"/>
              <w:ind w:left="0" w:right="0" w:firstLine="0"/>
              <w:jc w:val="both"/>
            </w:pPr>
            <w:r>
              <w:rPr>
                <w:color w:val="000000"/>
                <w:spacing w:val="0"/>
                <w:w w:val="100"/>
                <w:position w:val="0"/>
              </w:rPr>
              <w:t>（经济、社会、资源、环境、公共服务）、政务决策 （数据管理、数据共享、数据分析、决策支持）、政 务办公（办公自动化、办公移动化）、系统管理（组 织架构、角色管理、授权管理、系统日志）等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个功 能模块。</w:t>
            </w:r>
          </w:p>
          <w:p>
            <w:pPr>
              <w:pStyle w:val="Style2"/>
              <w:keepNext w:val="0"/>
              <w:keepLines w:val="0"/>
              <w:widowControl w:val="0"/>
              <w:numPr>
                <w:ilvl w:val="0"/>
                <w:numId w:val="9"/>
              </w:numPr>
              <w:shd w:val="clear" w:color="auto" w:fill="auto"/>
              <w:tabs>
                <w:tab w:pos="499" w:val="left"/>
              </w:tabs>
              <w:bidi w:val="0"/>
              <w:spacing w:before="0" w:after="0" w:line="313" w:lineRule="exact"/>
              <w:ind w:left="0" w:right="0" w:firstLine="380"/>
              <w:jc w:val="both"/>
            </w:pPr>
            <w:r>
              <w:rPr>
                <w:color w:val="000000"/>
                <w:spacing w:val="0"/>
                <w:w w:val="100"/>
                <w:position w:val="0"/>
              </w:rPr>
              <w:t>数字政府云平台是遵循国家电子政务标准化体 系建设的，基于统一的技术架构构建的政府政务综合 管理信息服务平台，实现了内部资源整合和业务应用 整合；用信息技术对内部信息资源进行集中式管理， 实现高度整合和关联共享。既为政府工作人员提供信 息化办公环境，也为市民、企业提供全流程电子化的 办事服务。数字政务的模式极大地提高政府部门的办 事效率，为政府部门构建了一个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高效率、重法治、 可持续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的信息化支撑环境，全面提高政府部门依法 行政和公共服务的能力。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党的十九届三中全会做出了深化党和国家机构改革的 决定，提出要充分利用信息化技术手段，提高政府机构的 履职能力。国务院要求加快推进“互联网+政务服务”体系 的建设，推进政务服务“一网通办”和企业群众办事“只 进一扇门”“最多跑一次”，和政务信息系统整合共享、 审批服务便民化和建设一体化在线政务服务平台等工作。 推行政务公开是推行政务公开实践科学发展观，坚持立党 为公、执政为民、加强党的执政能力建设的具体体现；是 坚持和发展社会主义民主，建设社会主义政治文明、构建 社会主义和谐社会的必然要求；是落实依法治国的基本方 略，推进依法行政，建设法治政府的重要举措；是建立健 全惩治和预防腐败体系，形成行为规范、运转协调、公正 透明、廉洁高效的行政管理体制的重要内容。</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公共安全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应急指挥</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通过建设公共安全应急指挥平台，为建 立和健全统一指挥、功能完善、反应灵敏、 协调有序、运转高效的应急机制提供了基础 支撑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对全面提高各级政府应急管理能力，预 防和妥善应对自然灾害、事故灾难、公共卫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研发完成</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11"/>
              </w:numPr>
              <w:shd w:val="clear" w:color="auto" w:fill="auto"/>
              <w:tabs>
                <w:tab w:pos="504" w:val="left"/>
              </w:tabs>
              <w:bidi w:val="0"/>
              <w:spacing w:before="0" w:after="0" w:line="312" w:lineRule="exact"/>
              <w:ind w:left="0" w:right="0" w:firstLine="380"/>
              <w:jc w:val="both"/>
            </w:pPr>
            <w:r>
              <w:rPr>
                <w:color w:val="000000"/>
                <w:spacing w:val="0"/>
                <w:w w:val="100"/>
                <w:position w:val="0"/>
              </w:rPr>
              <w:t>公共安全应急指挥平台包括突发事件指挥、通 讯与信息、资源管理、后勤保障等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个模块。</w:t>
            </w:r>
          </w:p>
          <w:p>
            <w:pPr>
              <w:pStyle w:val="Style2"/>
              <w:keepNext w:val="0"/>
              <w:keepLines w:val="0"/>
              <w:widowControl w:val="0"/>
              <w:numPr>
                <w:ilvl w:val="0"/>
                <w:numId w:val="11"/>
              </w:numPr>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公共安全应急指挥平台是以地理信息系统、数 据分析系统、信息表示系统为手段</w:t>
            </w:r>
            <w:r>
              <w:rPr>
                <w:color w:val="000000"/>
                <w:spacing w:val="0"/>
                <w:w w:val="100"/>
                <w:position w:val="0"/>
                <w:sz w:val="18"/>
                <w:szCs w:val="18"/>
              </w:rPr>
              <w:t>，</w:t>
            </w:r>
            <w:r>
              <w:rPr>
                <w:color w:val="000000"/>
                <w:spacing w:val="0"/>
                <w:w w:val="100"/>
                <w:position w:val="0"/>
              </w:rPr>
              <w:t>实现对突发事件数 据的收集、分析、完成应急指挥的辅助决策、应急资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目前全国正处于突发公共事件高发时期，在未来很长 一段时间内还将面临突发公共事件所带来的严峻考验。因 此结合先进的计算机技术建设一个适合我国应急业务现 状，可以最大化的整合应急资源，提高城市的应急处置效 率，并且可以用于多种业务模式的公共安全应急指挥平台</w:t>
            </w:r>
          </w:p>
        </w:tc>
      </w:tr>
    </w:tbl>
    <w:p>
      <w:pPr>
        <w:spacing w:lineRule="exact" w:line="1"/>
        <w:rPr>
          <w:sz w:val="2"/>
          <w:szCs w:val="2"/>
        </w:rPr>
      </w:pPr>
      <w:r>
        <w:br w:type="page"/>
      </w:r>
    </w:p>
    <w:tbl>
      <w:tblPr>
        <w:tblOverlap w:val="never"/>
        <w:jc w:val="center"/>
        <w:tblLayout w:type="fixed"/>
      </w:tblPr>
      <w:tblGrid>
        <w:gridCol w:w="845"/>
        <w:gridCol w:w="3442"/>
        <w:gridCol w:w="994"/>
        <w:gridCol w:w="4181"/>
        <w:gridCol w:w="4570"/>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主要研发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19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生事件和社会安全事件等各类突发事件，减 少突发公共事件造成的经济损失和人民生 命财产的损失</w:t>
            </w:r>
            <w:r>
              <w:rPr>
                <w:color w:val="000000"/>
                <w:spacing w:val="0"/>
                <w:w w:val="100"/>
                <w:position w:val="0"/>
                <w:sz w:val="18"/>
                <w:szCs w:val="18"/>
              </w:rPr>
              <w:t>，</w:t>
            </w:r>
            <w:r>
              <w:rPr>
                <w:color w:val="000000"/>
                <w:spacing w:val="0"/>
                <w:w w:val="100"/>
                <w:position w:val="0"/>
              </w:rPr>
              <w:t>提供了有效的控制手段。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源的组织、协调和管理控制等指挥功能。公共安全应 急指挥平台提供预案知识库可供日常学习参考，并支 持即时通讯。平台将应急指挥系统的基础功能和特色 功能进行融合，应用在平台中，既满足日常公共安全 应急指挥所需，又提供特色功能供管理人员学习提高 自身能力。</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具有迫切性，也是这一类型的项目未来的发展趋势。</w:t>
            </w:r>
          </w:p>
        </w:tc>
      </w:tr>
      <w:tr>
        <w:trPr>
          <w:trHeight w:val="38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行政服务 自助终端 平台信息 技术应用 创新研发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80"/>
              <w:jc w:val="left"/>
            </w:pPr>
            <w:r>
              <w:rPr>
                <w:color w:val="000000"/>
                <w:spacing w:val="0"/>
                <w:w w:val="100"/>
                <w:position w:val="0"/>
              </w:rPr>
              <w:t>自助服务终端是通过影片、图片、文字、 音乐等多媒体数据库形成互动环境，从而专 门用来储存信息并提供各类信息查询、打 印、缴费以及产品贩售等服务功能的电子信 息设备。在信息技术飞速发展的社会背景 下，每天需要服务的人数及服务种类也随之 增多</w:t>
            </w:r>
            <w:r>
              <w:rPr>
                <w:color w:val="000000"/>
                <w:spacing w:val="0"/>
                <w:w w:val="100"/>
                <w:position w:val="0"/>
                <w:sz w:val="18"/>
                <w:szCs w:val="18"/>
              </w:rPr>
              <w:t>，</w:t>
            </w:r>
            <w:r>
              <w:rPr>
                <w:color w:val="000000"/>
                <w:spacing w:val="0"/>
                <w:w w:val="100"/>
                <w:position w:val="0"/>
              </w:rPr>
              <w:t>但是这些服务大多都需要用户在营业 厅窗口来办理，用户难以获得高效、方便、 及时的服务。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研发完成</w:t>
            </w:r>
          </w:p>
        </w:tc>
        <w:tc>
          <w:tcPr>
            <w:tcBorders>
              <w:top w:val="single" w:sz="4"/>
              <w:left w:val="single" w:sz="4"/>
            </w:tcBorders>
            <w:shd w:val="clear" w:color="auto" w:fill="FFFFFF"/>
            <w:vAlign w:val="center"/>
          </w:tcPr>
          <w:p>
            <w:pPr>
              <w:pStyle w:val="Style2"/>
              <w:keepNext w:val="0"/>
              <w:keepLines w:val="0"/>
              <w:widowControl w:val="0"/>
              <w:numPr>
                <w:ilvl w:val="0"/>
                <w:numId w:val="13"/>
              </w:numPr>
              <w:shd w:val="clear" w:color="auto" w:fill="auto"/>
              <w:tabs>
                <w:tab w:pos="504" w:val="left"/>
              </w:tabs>
              <w:bidi w:val="0"/>
              <w:spacing w:before="0" w:after="0" w:line="312" w:lineRule="exact"/>
              <w:ind w:left="0" w:right="0" w:firstLine="380"/>
              <w:jc w:val="both"/>
            </w:pPr>
            <w:r>
              <w:rPr>
                <w:color w:val="000000"/>
                <w:spacing w:val="0"/>
                <w:w w:val="100"/>
                <w:position w:val="0"/>
              </w:rPr>
              <w:t>行政服务自助终端平台信息技术应用创新研发 项目包括人像识别（自助服务人像识别、自助服务身 份核对、人像识别算法）、人机语音交互（自助服务 业务办理、自助服务业务咨询、语音识别、语音合成、 语义理解）、终端管理（浏览器集成、多媒体应用、 终端注册认证、终端设备监控）等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个模块。</w:t>
            </w:r>
          </w:p>
          <w:p>
            <w:pPr>
              <w:pStyle w:val="Style2"/>
              <w:keepNext w:val="0"/>
              <w:keepLines w:val="0"/>
              <w:widowControl w:val="0"/>
              <w:numPr>
                <w:ilvl w:val="0"/>
                <w:numId w:val="13"/>
              </w:numPr>
              <w:shd w:val="clear" w:color="auto" w:fill="auto"/>
              <w:bidi w:val="0"/>
              <w:spacing w:before="0" w:after="0" w:line="318" w:lineRule="exact"/>
              <w:ind w:left="0" w:right="0" w:firstLine="38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结合人工智能技术，包括人脸识别技术、人机 语音交互技术、大数据挖掘分析技术等，对传统行政 服务自助终端平台进行升级改造，助力行政服务自动 化实现跨越式升级，提升事项处理效率。</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15"/>
              </w:numPr>
              <w:shd w:val="clear" w:color="auto" w:fill="auto"/>
              <w:tabs>
                <w:tab w:pos="523" w:val="left"/>
              </w:tabs>
              <w:bidi w:val="0"/>
              <w:spacing w:before="0" w:after="0" w:line="314" w:lineRule="exact"/>
              <w:ind w:left="0" w:right="0" w:firstLine="380"/>
              <w:jc w:val="both"/>
            </w:pPr>
            <w:r>
              <w:rPr>
                <w:color w:val="000000"/>
                <w:spacing w:val="0"/>
                <w:w w:val="100"/>
                <w:position w:val="0"/>
              </w:rPr>
              <w:t>以推进政府行政改革、建设服务型政府、构建和谐 社会为宗旨，打通行政便民服务“最后一公里”为目标， 按照创新行政审批体制、推进行政服务网络化的思路，由 政府主导规划和建设的社区化、自助式、跨部门、综合性 的行政便民服务终端及支撑平台，具有行政审批、公共服 务事项申请、办理、查询等功能，实现方便办事群众、提 高行政效率、降低办事成本的目标。</w:t>
            </w:r>
          </w:p>
          <w:p>
            <w:pPr>
              <w:pStyle w:val="Style2"/>
              <w:keepNext w:val="0"/>
              <w:keepLines w:val="0"/>
              <w:widowControl w:val="0"/>
              <w:numPr>
                <w:ilvl w:val="0"/>
                <w:numId w:val="15"/>
              </w:numPr>
              <w:shd w:val="clear" w:color="auto" w:fill="auto"/>
              <w:tabs>
                <w:tab w:pos="504" w:val="left"/>
              </w:tabs>
              <w:bidi w:val="0"/>
              <w:spacing w:before="0" w:after="0" w:line="316" w:lineRule="exact"/>
              <w:ind w:left="0" w:right="0" w:firstLine="380"/>
              <w:jc w:val="both"/>
            </w:pPr>
            <w:r>
              <w:rPr>
                <w:color w:val="000000"/>
                <w:spacing w:val="0"/>
                <w:w w:val="100"/>
                <w:position w:val="0"/>
              </w:rPr>
              <w:t>运用创新信息技术的自助服务系统研发的自助服务 终端是以“</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小时自助服务”为系统设计理念，可以缓解 传统人力服务的人流量过大的问题，弥补原来营业时间上 的不足，避免用户花费大量等候时间，使用户事项办理不 受时间限制，是对传统行政服务的延伸与补充。</w:t>
            </w: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大数据审 计管理平 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380"/>
              <w:jc w:val="left"/>
            </w:pPr>
            <w:r>
              <w:rPr>
                <w:color w:val="000000"/>
                <w:spacing w:val="0"/>
                <w:w w:val="100"/>
                <w:position w:val="0"/>
              </w:rPr>
              <w:t>建设项目审计信息化管理平台，是推进 政府投资审计信息化的重要手段，可实现审 计大数据的实时和快速分析，奠定项目联网 审计基础，促进项目管理信息化标准建设。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研发完成</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17"/>
              </w:numPr>
              <w:shd w:val="clear" w:color="auto" w:fill="auto"/>
              <w:bidi w:val="0"/>
              <w:spacing w:before="0" w:after="40" w:line="305" w:lineRule="exact"/>
              <w:ind w:left="0" w:right="0" w:firstLine="38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大数据审计管理平台包括数据采集子平台、数 据处理子平台、数据分析子平台、数据管理子平台、 系统管理等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个模块。</w:t>
            </w:r>
          </w:p>
          <w:p>
            <w:pPr>
              <w:pStyle w:val="Style2"/>
              <w:keepNext w:val="0"/>
              <w:keepLines w:val="0"/>
              <w:widowControl w:val="0"/>
              <w:numPr>
                <w:ilvl w:val="0"/>
                <w:numId w:val="17"/>
              </w:numPr>
              <w:shd w:val="clear" w:color="auto" w:fill="auto"/>
              <w:tabs>
                <w:tab w:pos="504" w:val="left"/>
              </w:tabs>
              <w:bidi w:val="0"/>
              <w:spacing w:before="0" w:after="0" w:line="314" w:lineRule="exact"/>
              <w:ind w:left="0" w:right="0" w:firstLine="380"/>
              <w:jc w:val="both"/>
            </w:pPr>
            <w:r>
              <w:rPr>
                <w:color w:val="000000"/>
                <w:spacing w:val="0"/>
                <w:w w:val="100"/>
                <w:position w:val="0"/>
              </w:rPr>
              <w:t>大数据审计管理平台是一款对大数据平台进行 全面审计的系统。应对大数据平台分布式架构复杂， 海量数据高并发运行和交换，大数据组件自身安全架 构设计先天不足的特点，大数据审计管理平台采用大 数据通讯协议深度解析技术和高性能数据分析处理 引擎，并可根据审计需求采用相应审计模型对数据进</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大数据平台以信息资源全面消除被审计单位数据相对 独立的“信息孤岛”现象，审计资源最大程度的实现共享， 各基层职能部门之间、审计机关与市级审计机关、市级审 计机关与审计厅等形成有效的信息共享链，各层审计机关 开发的审计软件、审计模块得到共享，避免现有信息化资 源的浪费以及重复建设。通过计算机自动化管理实现审计 监督，提高审计数据采集和处理的实时性、可靠性、正确 性和规范性，减少人为干扰因素，能以较少的审计人员实 现大面积高质量的宏观审计监督，实现审计信息的快速反</w:t>
            </w:r>
          </w:p>
        </w:tc>
      </w:tr>
    </w:tbl>
    <w:p>
      <w:pPr>
        <w:spacing w:lineRule="exact" w:line="1"/>
        <w:rPr>
          <w:sz w:val="2"/>
          <w:szCs w:val="2"/>
        </w:rPr>
      </w:pPr>
      <w:r>
        <w:br w:type="page"/>
      </w:r>
    </w:p>
    <w:tbl>
      <w:tblPr>
        <w:tblOverlap w:val="never"/>
        <w:jc w:val="center"/>
        <w:tblLayout w:type="fixed"/>
      </w:tblPr>
      <w:tblGrid>
        <w:gridCol w:w="845"/>
        <w:gridCol w:w="3442"/>
        <w:gridCol w:w="994"/>
        <w:gridCol w:w="4181"/>
        <w:gridCol w:w="4570"/>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主要研发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行加工，得到用于管理决策的数据。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馈机制，从而促进经济效益和社会效益的提高。</w:t>
            </w:r>
          </w:p>
        </w:tc>
      </w:tr>
      <w:tr>
        <w:trPr>
          <w:trHeight w:val="35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农业农村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综合大数</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据平台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为充分发挥大数据在农业农村发展中 的重要功能和巨大潜力，有力支撑和服务农 业，发展农业农村大数据是破解农业发展难 题的迫切需要，因此农业农村大数据平台的 建设十分迫切。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研发完成</w:t>
            </w:r>
          </w:p>
        </w:tc>
        <w:tc>
          <w:tcPr>
            <w:tcBorders>
              <w:top w:val="single" w:sz="4"/>
              <w:left w:val="single" w:sz="4"/>
            </w:tcBorders>
            <w:shd w:val="clear" w:color="auto" w:fill="FFFFFF"/>
            <w:vAlign w:val="center"/>
          </w:tcPr>
          <w:p>
            <w:pPr>
              <w:pStyle w:val="Style2"/>
              <w:keepNext w:val="0"/>
              <w:keepLines w:val="0"/>
              <w:widowControl w:val="0"/>
              <w:numPr>
                <w:ilvl w:val="0"/>
                <w:numId w:val="19"/>
              </w:numPr>
              <w:shd w:val="clear" w:color="auto" w:fill="auto"/>
              <w:tabs>
                <w:tab w:pos="504" w:val="left"/>
              </w:tabs>
              <w:bidi w:val="0"/>
              <w:spacing w:before="0" w:after="40" w:line="312" w:lineRule="exact"/>
              <w:ind w:left="0" w:right="0" w:firstLine="380"/>
              <w:jc w:val="both"/>
            </w:pPr>
            <w:r>
              <w:rPr>
                <w:color w:val="000000"/>
                <w:spacing w:val="0"/>
                <w:w w:val="100"/>
                <w:position w:val="0"/>
              </w:rPr>
              <w:t>农业农村综合大数据包括农村农业门户信息、 农业信息子系统、林业信息子系统、畜牧信息子系统、 平台管理子系统等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个模块。</w:t>
            </w:r>
          </w:p>
          <w:p>
            <w:pPr>
              <w:pStyle w:val="Style2"/>
              <w:keepNext w:val="0"/>
              <w:keepLines w:val="0"/>
              <w:widowControl w:val="0"/>
              <w:numPr>
                <w:ilvl w:val="0"/>
                <w:numId w:val="19"/>
              </w:numPr>
              <w:shd w:val="clear" w:color="auto" w:fill="auto"/>
              <w:tabs>
                <w:tab w:pos="509" w:val="left"/>
              </w:tabs>
              <w:bidi w:val="0"/>
              <w:spacing w:before="0" w:after="0" w:line="315" w:lineRule="exact"/>
              <w:ind w:left="0" w:right="0" w:firstLine="380"/>
              <w:jc w:val="both"/>
            </w:pPr>
            <w:r>
              <w:rPr>
                <w:color w:val="000000"/>
                <w:spacing w:val="0"/>
                <w:w w:val="100"/>
                <w:position w:val="0"/>
              </w:rPr>
              <w:t>农业农村综合大数据运用大数据提高农业生产 精准化、智能化水平，推进农业资源利用方式转变， 提高农业全要素的利用效率，提升我国农业国际竞争 力，增强在国际市场上的话语权、定价权和影响力， 提升农业综合信息服务能力，让农民共同分享信息化 发展成果。推进政府治理能力现代化，需要运用大数 据增强农业农村经济运行信息及时性和准确性，加快 实现基于数据的科学决策。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农业农村综合大数据平台功能的建设，有效地解决了 我国农业农村由于数据历史长、数量大、类型多，且长期 存在底数不清、核心数据缺失、数据质量不高、共享开放 不足、开发利用不够等问题。随着农村网络基础设施建设 加快和网民人数的快速增长，农业农村数据载体和应用市 场的优势逐步显现，特别是移动互联网、云计算、大数据、 物联网等新一代信息技术的快速发展，各种类型的海量数 据快速形成，发展农业农村大数据具备良好基础和现实条 件，为解决我国农业农村大数据发展面临的困难和问题提 供了有效途径。</w:t>
            </w:r>
          </w:p>
        </w:tc>
      </w:tr>
      <w:tr>
        <w:trPr>
          <w:trHeight w:val="325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互联网行</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业大数据</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大数据平台整合省社会经济发展资源， 打造集数据采集、数据处理、监测管理、预 测预警、应急指挥、可视化平台于一体的大 数据平台，以信息化提升数据化管理与服务 能力，及时准确掌握社会经济发展情况，做 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用数据说话、用数据管理、用数据决策、 用数据创新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，牢牢把握社会经济发展主动 权和话语权。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研发完成</w:t>
            </w:r>
          </w:p>
        </w:tc>
        <w:tc>
          <w:tcPr>
            <w:tcBorders>
              <w:top w:val="single" w:sz="4"/>
              <w:left w:val="single" w:sz="4"/>
            </w:tcBorders>
            <w:shd w:val="clear" w:color="auto" w:fill="FFFFFF"/>
            <w:vAlign w:val="center"/>
          </w:tcPr>
          <w:p>
            <w:pPr>
              <w:pStyle w:val="Style2"/>
              <w:keepNext w:val="0"/>
              <w:keepLines w:val="0"/>
              <w:widowControl w:val="0"/>
              <w:numPr>
                <w:ilvl w:val="0"/>
                <w:numId w:val="21"/>
              </w:numPr>
              <w:shd w:val="clear" w:color="auto" w:fill="auto"/>
              <w:tabs>
                <w:tab w:pos="499" w:val="left"/>
              </w:tabs>
              <w:bidi w:val="0"/>
              <w:spacing w:before="0" w:after="0" w:line="312" w:lineRule="exact"/>
              <w:ind w:left="0" w:right="0" w:firstLine="380"/>
              <w:jc w:val="both"/>
            </w:pPr>
            <w:r>
              <w:rPr>
                <w:color w:val="000000"/>
                <w:spacing w:val="0"/>
                <w:w w:val="100"/>
                <w:position w:val="0"/>
              </w:rPr>
              <w:t>互联网行业大数据平台包括宏观经济监测预测 及可视化平台、行业信用监测预警服务平台、行业项</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目投资信息管理及可视化平台等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个模块。</w:t>
            </w:r>
          </w:p>
          <w:p>
            <w:pPr>
              <w:pStyle w:val="Style2"/>
              <w:keepNext w:val="0"/>
              <w:keepLines w:val="0"/>
              <w:widowControl w:val="0"/>
              <w:numPr>
                <w:ilvl w:val="0"/>
                <w:numId w:val="21"/>
              </w:numPr>
              <w:shd w:val="clear" w:color="auto" w:fill="auto"/>
              <w:tabs>
                <w:tab w:pos="504" w:val="left"/>
              </w:tabs>
              <w:bidi w:val="0"/>
              <w:spacing w:before="0" w:after="0" w:line="315" w:lineRule="exact"/>
              <w:ind w:left="0" w:right="0" w:firstLine="380"/>
              <w:jc w:val="both"/>
            </w:pPr>
            <w:r>
              <w:rPr>
                <w:color w:val="000000"/>
                <w:spacing w:val="0"/>
                <w:w w:val="100"/>
                <w:position w:val="0"/>
              </w:rPr>
              <w:t>互联网行业大数据平台是顺应目前信息化技术 水平发展、服务政府职能改革的架构平台。强化经济 运行监测分析，实现企业信用社会化监督，建立规范 化共建共享投资项目管理体系，推进政务数据共享和 业务协同，为决策提供及时、准确、可靠的信息依据， 提高政务工作的前瞻性和针对性，加大宏观调控力 度，促进经济持续健康发展。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大数据平台以信息资源整合为重点，以大数据应用为 核心，坚持“统筹规划、分步实施，整合资源、协同共享， 突出重点、注重实效、深化应用、创新驱动”的原则，在 大数据分析监测基础上，为政府把握各行业发展趋势、预 见各行业发展潜在问题、辅助决策提供基础支撑。全面提 升信息化建设水平，促进各行各业持续健康发展。</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生态环境 大数据一 体化管理 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实现生态环境公共服务便民化。利用大 数据支撑生态环境、信息公开、网上一体化 办事和综合信息服务，建立公平普惠、便捷 高效的生态环境公共服务体系，提高公共服 务共建能力和共享水平，发挥生态环境数据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研发完成</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23"/>
              </w:numPr>
              <w:shd w:val="clear" w:color="auto" w:fill="auto"/>
              <w:tabs>
                <w:tab w:pos="504" w:val="left"/>
              </w:tabs>
              <w:bidi w:val="0"/>
              <w:spacing w:before="0" w:after="0" w:line="309" w:lineRule="exact"/>
              <w:ind w:left="0" w:right="0" w:firstLine="380"/>
              <w:jc w:val="both"/>
            </w:pPr>
            <w:r>
              <w:rPr>
                <w:color w:val="000000"/>
                <w:spacing w:val="0"/>
                <w:w w:val="100"/>
                <w:position w:val="0"/>
              </w:rPr>
              <w:t xml:space="preserve">生态环境大数据一体化管理平台包括环境政务 管理平台、环境监管平台、环境监测管理平台、环境 监察管理平台、辅助决策支持平台、公众服务平台等 </w:t>
            </w:r>
            <w:r>
              <w:rPr>
                <w:rFonts w:ascii="Times New Roman" w:eastAsia="Times New Roman" w:hAnsi="Times New Roman" w:cs="Times New Roman"/>
                <w:i/>
                <w:iCs/>
                <w:color w:val="000000"/>
                <w:spacing w:val="0"/>
                <w:w w:val="100"/>
                <w:position w:val="0"/>
                <w:sz w:val="18"/>
                <w:szCs w:val="18"/>
              </w:rPr>
              <w:t>6</w:t>
            </w:r>
            <w:r>
              <w:rPr>
                <w:color w:val="000000"/>
                <w:spacing w:val="0"/>
                <w:w w:val="100"/>
                <w:position w:val="0"/>
              </w:rPr>
              <w:t>个模块。</w:t>
            </w:r>
          </w:p>
          <w:p>
            <w:pPr>
              <w:pStyle w:val="Style2"/>
              <w:keepNext w:val="0"/>
              <w:keepLines w:val="0"/>
              <w:widowControl w:val="0"/>
              <w:numPr>
                <w:ilvl w:val="0"/>
                <w:numId w:val="23"/>
              </w:numPr>
              <w:shd w:val="clear" w:color="auto" w:fill="auto"/>
              <w:bidi w:val="0"/>
              <w:spacing w:before="0" w:after="0" w:line="309" w:lineRule="exact"/>
              <w:ind w:left="0" w:right="0" w:firstLine="38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建设生态环境大数据一体化管理平台，通过大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生态环境大数据一体化管理平台结合多种大数据技 术，实现了环境政务、环境监管、环境监测、环境监察、 辅助决策支持和公众服务等多个生态环境管理功能，极大 提升了监管执法效率，开启了以技术支撑管理的新局面， 在一定程度上缓解了基层环境执法力量不足、监管范围广、</w:t>
            </w:r>
          </w:p>
        </w:tc>
      </w:tr>
    </w:tbl>
    <w:p>
      <w:pPr>
        <w:spacing w:lineRule="exact" w:line="1"/>
        <w:rPr>
          <w:sz w:val="2"/>
          <w:szCs w:val="2"/>
        </w:rPr>
      </w:pPr>
      <w:r>
        <w:br w:type="page"/>
      </w:r>
    </w:p>
    <w:tbl>
      <w:tblPr>
        <w:tblOverlap w:val="never"/>
        <w:jc w:val="center"/>
        <w:tblLayout w:type="fixed"/>
      </w:tblPr>
      <w:tblGrid>
        <w:gridCol w:w="845"/>
        <w:gridCol w:w="3442"/>
        <w:gridCol w:w="994"/>
        <w:gridCol w:w="4181"/>
        <w:gridCol w:w="4570"/>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主要研发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258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资源对人民群众生产、生活和经济社会活动 的服务作用。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数据和智慧化分析等先进计算机技术，帮助生态环境 治理管理部门了解环境污染成因，精准锁定污染源， 合理预测企业排污强度及污染源分布情况，判断污染 源对周围环境质量的影响，制定环境治理方案，有效 管理污染源企业；并通过大数据的虚拟化特征，降低 环境管理的风险，让管理措施做到有的放矢，提升公 众服务能力，为公众提供更多便利。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执法任务重的压力，有效推进环境执法智慧化，加强生态 环境质量变化预报预警能力，全面共享生态环境数据信息。</w:t>
            </w:r>
          </w:p>
          <w:p>
            <w:pPr>
              <w:pStyle w:val="Style2"/>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“生态环境大数据”是“数字环保”概念的延伸和 拓展，它是借助物联网技术，把感应器和装备嵌入到各种 环境监控对象（物体）中，通过超级计算机和云计算将环 保领域物联网整合起来，建立生态环境大数据库</w:t>
            </w:r>
            <w:r>
              <w:rPr>
                <w:color w:val="000000"/>
                <w:spacing w:val="0"/>
                <w:w w:val="100"/>
                <w:position w:val="0"/>
                <w:sz w:val="18"/>
                <w:szCs w:val="18"/>
              </w:rPr>
              <w:t>，</w:t>
            </w:r>
            <w:r>
              <w:rPr>
                <w:color w:val="000000"/>
                <w:spacing w:val="0"/>
                <w:w w:val="100"/>
                <w:position w:val="0"/>
              </w:rPr>
              <w:t>通过分析 生态环境大数据库的数据</w:t>
            </w:r>
            <w:r>
              <w:rPr>
                <w:color w:val="000000"/>
                <w:spacing w:val="0"/>
                <w:w w:val="100"/>
                <w:position w:val="0"/>
                <w:sz w:val="18"/>
                <w:szCs w:val="18"/>
              </w:rPr>
              <w:t>，</w:t>
            </w:r>
            <w:r>
              <w:rPr>
                <w:color w:val="000000"/>
                <w:spacing w:val="0"/>
                <w:w w:val="100"/>
                <w:position w:val="0"/>
              </w:rPr>
              <w:t>全面掌握生态环境问题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制定科 学有效的改善生态环境的办法。</w:t>
            </w:r>
          </w:p>
        </w:tc>
      </w:tr>
      <w:tr>
        <w:trPr>
          <w:trHeight w:val="293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一种计算 机网络接 口结构的 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一种可以有效解决现有技术中网络信 号转接结构单一，同时满足多种信号接口的 接入，改善传输距离受限的缺陷的新型计算 机网络接口，具有研究的迫切性。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研发完成</w:t>
            </w:r>
          </w:p>
        </w:tc>
        <w:tc>
          <w:tcPr>
            <w:tcBorders>
              <w:top w:val="single" w:sz="4"/>
              <w:left w:val="single" w:sz="4"/>
            </w:tcBorders>
            <w:shd w:val="clear" w:color="auto" w:fill="FFFFFF"/>
            <w:vAlign w:val="center"/>
          </w:tcPr>
          <w:p>
            <w:pPr>
              <w:pStyle w:val="Style2"/>
              <w:keepNext w:val="0"/>
              <w:keepLines w:val="0"/>
              <w:widowControl w:val="0"/>
              <w:numPr>
                <w:ilvl w:val="0"/>
                <w:numId w:val="25"/>
              </w:numPr>
              <w:shd w:val="clear" w:color="auto" w:fill="auto"/>
              <w:tabs>
                <w:tab w:pos="499" w:val="left"/>
              </w:tabs>
              <w:bidi w:val="0"/>
              <w:spacing w:before="0" w:after="40" w:line="312" w:lineRule="exact"/>
              <w:ind w:left="0" w:right="0" w:firstLine="380"/>
              <w:jc w:val="both"/>
            </w:pPr>
            <w:r>
              <w:rPr>
                <w:color w:val="000000"/>
                <w:spacing w:val="0"/>
                <w:w w:val="100"/>
                <w:position w:val="0"/>
              </w:rPr>
              <w:t>一种计算机网络接口的研究开发包括物理输入 接口、信号矫正单元、放大处理单元、信号数字转换 集成单元、网络输出接口、信号矫正单元的输出端连 接至放大处理单元的输入端、放大处理单元的输出端 连接至网络输出接口等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个功能模块。</w:t>
            </w:r>
          </w:p>
          <w:p>
            <w:pPr>
              <w:pStyle w:val="Style2"/>
              <w:keepNext w:val="0"/>
              <w:keepLines w:val="0"/>
              <w:widowControl w:val="0"/>
              <w:numPr>
                <w:ilvl w:val="0"/>
                <w:numId w:val="25"/>
              </w:numPr>
              <w:shd w:val="clear" w:color="auto" w:fill="auto"/>
              <w:tabs>
                <w:tab w:pos="499" w:val="left"/>
              </w:tabs>
              <w:bidi w:val="0"/>
              <w:spacing w:before="0" w:after="0" w:line="319" w:lineRule="exact"/>
              <w:ind w:left="0" w:right="0" w:firstLine="380"/>
              <w:jc w:val="both"/>
            </w:pPr>
            <w:r>
              <w:rPr>
                <w:color w:val="000000"/>
                <w:spacing w:val="0"/>
                <w:w w:val="100"/>
                <w:position w:val="0"/>
              </w:rPr>
              <w:t>一种计算机网络接口的研究开发通过对网络接 口、信号等的研究，开发出可以对网络信号进行矫正、 放大、数字转换等的接口结构。</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27"/>
              </w:numPr>
              <w:shd w:val="clear" w:color="auto" w:fill="auto"/>
              <w:tabs>
                <w:tab w:pos="504" w:val="left"/>
              </w:tabs>
              <w:bidi w:val="0"/>
              <w:spacing w:before="0" w:after="40" w:line="312" w:lineRule="exact"/>
              <w:ind w:left="0" w:right="0" w:firstLine="380"/>
              <w:jc w:val="both"/>
            </w:pPr>
            <w:r>
              <w:rPr>
                <w:color w:val="000000"/>
                <w:spacing w:val="0"/>
                <w:w w:val="100"/>
                <w:position w:val="0"/>
              </w:rPr>
              <w:t>随着计算机网络技术的发展，对影响网络传输效率 的因素进行分析，结合目前我国网络接口设计的现状，深 入地研究了计算机网络接口的设计和传输效率，能够给实 际的网络接口设计提供一定的参考。</w:t>
            </w:r>
          </w:p>
          <w:p>
            <w:pPr>
              <w:pStyle w:val="Style2"/>
              <w:keepNext w:val="0"/>
              <w:keepLines w:val="0"/>
              <w:widowControl w:val="0"/>
              <w:numPr>
                <w:ilvl w:val="0"/>
                <w:numId w:val="27"/>
              </w:numPr>
              <w:shd w:val="clear" w:color="auto" w:fill="auto"/>
              <w:tabs>
                <w:tab w:pos="494" w:val="left"/>
              </w:tabs>
              <w:bidi w:val="0"/>
              <w:spacing w:before="0" w:after="0" w:line="316" w:lineRule="exact"/>
              <w:ind w:left="0" w:right="0" w:firstLine="380"/>
              <w:jc w:val="both"/>
            </w:pPr>
            <w:r>
              <w:rPr>
                <w:color w:val="000000"/>
                <w:spacing w:val="0"/>
                <w:w w:val="100"/>
                <w:position w:val="0"/>
              </w:rPr>
              <w:t>在网络发展的基础上，通过对计算机网络接口的设 计与传输进行分析，解析其接口的设计对传输效率的影响 效果，研究开发出一种计算机网络接口结构，有效提高网 络传输的效率。因此，进行计算机网络接口的研究，既符 合国家政策又具有广阔的发展空间。</w:t>
            </w:r>
          </w:p>
        </w:tc>
      </w:tr>
      <w:tr>
        <w:trPr>
          <w:trHeight w:val="31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一种用于 视频图像 故障自动 巡检的方 法的研发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电子政务在给公众社会生活带来巨大 便利、提高政府部门工作效率的同时，在现 代计算机、网络通信等技术支撑下，政府部 门间的信息共建共享、政府实时信息发布、 各级政府间的远程视频会议等涉及终端维 护的工作缺仍需要投入大量人力进行现场 检修和维护。本项目旨在上述现有技术中对 终端视频巡检效率低、无法实现远程巡检的 缺陷，研发一种用于视频故障自动巡检的方 法，实现远程智能化巡检，减少人工巡检的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研发完成</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29"/>
              </w:numPr>
              <w:shd w:val="clear" w:color="auto" w:fill="auto"/>
              <w:tabs>
                <w:tab w:pos="494" w:val="left"/>
              </w:tabs>
              <w:bidi w:val="0"/>
              <w:spacing w:before="0" w:after="0" w:line="312" w:lineRule="exact"/>
              <w:ind w:left="0" w:right="0" w:firstLine="380"/>
              <w:jc w:val="both"/>
            </w:pPr>
            <w:r>
              <w:rPr>
                <w:color w:val="000000"/>
                <w:spacing w:val="0"/>
                <w:w w:val="100"/>
                <w:position w:val="0"/>
              </w:rPr>
              <w:t>一种用于视频故障自动巡检的方法的研究开 发，包括设置视频检测装置、神经网络故障判断模型、 智能报表等三大功能模块。</w:t>
            </w:r>
          </w:p>
          <w:p>
            <w:pPr>
              <w:pStyle w:val="Style2"/>
              <w:keepNext w:val="0"/>
              <w:keepLines w:val="0"/>
              <w:widowControl w:val="0"/>
              <w:numPr>
                <w:ilvl w:val="0"/>
                <w:numId w:val="29"/>
              </w:numPr>
              <w:shd w:val="clear" w:color="auto" w:fill="auto"/>
              <w:tabs>
                <w:tab w:pos="499" w:val="left"/>
              </w:tabs>
              <w:bidi w:val="0"/>
              <w:spacing w:before="0" w:after="0" w:line="316" w:lineRule="exact"/>
              <w:ind w:left="0" w:right="0" w:firstLine="380"/>
              <w:jc w:val="both"/>
            </w:pPr>
            <w:r>
              <w:rPr>
                <w:color w:val="000000"/>
                <w:spacing w:val="0"/>
                <w:w w:val="100"/>
                <w:position w:val="0"/>
              </w:rPr>
              <w:t>一种用于视频故障自动巡检的方法的研究开 发，通过视频检测装实时采集到的终端检测数据，发 送至后台管理服务器的神经网络故障判断模型进行 运算，并将检测分析结果和预警信号推送至管理终 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电子政务是国家实施政府职能转变，提高政府管理、 公共服务和应急能力的重要举措，有利于带动整个国民经 济和社会信息化的发展。政府机构日常办公、信息收集与 发布、公共管理等事务在数字化、网络化的环境下进行的， 国家对环境安全、信息安全等提出了更高的要求，因此， 进行用于视频故障自动巡检的方法的研究，既符合国家政 要求策又具有广阔的发展空间。</w:t>
            </w:r>
          </w:p>
        </w:tc>
      </w:tr>
    </w:tbl>
    <w:p>
      <w:pPr>
        <w:spacing w:lineRule="exact" w:line="1"/>
        <w:rPr>
          <w:sz w:val="2"/>
          <w:szCs w:val="2"/>
        </w:rPr>
      </w:pPr>
      <w:r>
        <w:br w:type="page"/>
      </w:r>
    </w:p>
    <w:tbl>
      <w:tblPr>
        <w:tblOverlap w:val="never"/>
        <w:jc w:val="center"/>
        <w:tblLayout w:type="fixed"/>
      </w:tblPr>
      <w:tblGrid>
        <w:gridCol w:w="845"/>
        <w:gridCol w:w="3442"/>
        <w:gridCol w:w="994"/>
        <w:gridCol w:w="4181"/>
        <w:gridCol w:w="4570"/>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主要研发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需求，提高巡检效率。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一种用于 电子政务 自助终端 的管理系 统及其管 理方法的 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近年来，随着中国电子政务建设的不断 推进和深入，电子政务在给公众社会生活带 来巨大便利、提高政府部门工作效率的同 时，也进一步刺激了公众的信息需求。公众 对信息服务提出了更高的要求，政务信息资 源服务需求呈现出区别于传统信息服务的 新特征。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研发完成</w:t>
            </w:r>
          </w:p>
        </w:tc>
        <w:tc>
          <w:tcPr>
            <w:tcBorders>
              <w:top w:val="single" w:sz="4"/>
              <w:left w:val="single" w:sz="4"/>
            </w:tcBorders>
            <w:shd w:val="clear" w:color="auto" w:fill="FFFFFF"/>
            <w:vAlign w:val="center"/>
          </w:tcPr>
          <w:p>
            <w:pPr>
              <w:pStyle w:val="Style2"/>
              <w:keepNext w:val="0"/>
              <w:keepLines w:val="0"/>
              <w:widowControl w:val="0"/>
              <w:numPr>
                <w:ilvl w:val="0"/>
                <w:numId w:val="31"/>
              </w:numPr>
              <w:shd w:val="clear" w:color="auto" w:fill="auto"/>
              <w:tabs>
                <w:tab w:pos="499" w:val="left"/>
              </w:tabs>
              <w:bidi w:val="0"/>
              <w:spacing w:before="0" w:after="0" w:line="312" w:lineRule="exact"/>
              <w:ind w:left="0" w:right="0" w:firstLine="380"/>
              <w:jc w:val="both"/>
            </w:pPr>
            <w:r>
              <w:rPr>
                <w:color w:val="000000"/>
                <w:spacing w:val="0"/>
                <w:w w:val="100"/>
                <w:position w:val="0"/>
              </w:rPr>
              <w:t>一种用于电子政务自助终端的管理系统及其管 理方法的研究开发，包括系统登录模块、手动更新模 块、设备管理模块、事项管理模块、业务管理模块、 报表统计模块、日志管理模块等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个功能模块。</w:t>
            </w:r>
          </w:p>
          <w:p>
            <w:pPr>
              <w:pStyle w:val="Style2"/>
              <w:keepNext w:val="0"/>
              <w:keepLines w:val="0"/>
              <w:widowControl w:val="0"/>
              <w:numPr>
                <w:ilvl w:val="0"/>
                <w:numId w:val="31"/>
              </w:numPr>
              <w:shd w:val="clear" w:color="auto" w:fill="auto"/>
              <w:tabs>
                <w:tab w:pos="499" w:val="left"/>
              </w:tabs>
              <w:bidi w:val="0"/>
              <w:spacing w:before="0" w:after="0" w:line="315" w:lineRule="exact"/>
              <w:ind w:left="0" w:right="0" w:firstLine="380"/>
              <w:jc w:val="both"/>
            </w:pPr>
            <w:r>
              <w:rPr>
                <w:color w:val="000000"/>
                <w:spacing w:val="0"/>
                <w:w w:val="100"/>
                <w:position w:val="0"/>
              </w:rPr>
              <w:t>本次研究为克服了现有技术开发的电子政务的 管理系统存在的交互不友好、操作麻烦等缺陷，提供 一种用于电子政务自助终端的管理系统及其管理方 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电子政务的社会化服务从面向内部业务协同的服务模 式转向了面向社会应用的服务模式，并带来了电子政务信 息资源从知晓性共享向应用性共享、从以业务为中心的共 享转向以用户为中心的共享的全面转型。用户信息需求多 元化、个性化的新特点，均要求政务信息资源体系的建设 以用户为中心的个性化应用方向发展，因此一种用于电子 政务自助终端的管理系统及其管理方法的研发具有市场需 求空间。</w:t>
            </w:r>
          </w:p>
        </w:tc>
      </w:tr>
      <w:tr>
        <w:trPr>
          <w:trHeight w:val="419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一种多功 能线路检 测装置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现有终端设备功能单一，只能对电力线 路本身的信息例如电压、电流等进行检测传 输，监控中心收到信息后确定故障地点，无 法直观地在故障发生的同时判断故障地点 的具体状况，工作人员到达故障地点附近 后，不能立刻就确定故障发生线路段，还是 需要查找检测终端的位置后来确定，使得工 作效率偏低。因此，有必要设计一种多功能 线路检测装置，满足现实生活中多方位的检 测需求。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研发完成</w:t>
            </w:r>
          </w:p>
        </w:tc>
        <w:tc>
          <w:tcPr>
            <w:tcBorders>
              <w:top w:val="single" w:sz="4"/>
              <w:left w:val="single" w:sz="4"/>
            </w:tcBorders>
            <w:shd w:val="clear" w:color="auto" w:fill="FFFFFF"/>
            <w:vAlign w:val="center"/>
          </w:tcPr>
          <w:p>
            <w:pPr>
              <w:pStyle w:val="Style2"/>
              <w:keepNext w:val="0"/>
              <w:keepLines w:val="0"/>
              <w:widowControl w:val="0"/>
              <w:numPr>
                <w:ilvl w:val="0"/>
                <w:numId w:val="33"/>
              </w:numPr>
              <w:shd w:val="clear" w:color="auto" w:fill="auto"/>
              <w:tabs>
                <w:tab w:pos="504" w:val="left"/>
              </w:tabs>
              <w:bidi w:val="0"/>
              <w:spacing w:before="0" w:after="0" w:line="313" w:lineRule="exact"/>
              <w:ind w:left="0" w:right="0" w:firstLine="380"/>
              <w:jc w:val="both"/>
            </w:pPr>
            <w:r>
              <w:rPr>
                <w:color w:val="000000"/>
                <w:spacing w:val="0"/>
                <w:w w:val="100"/>
                <w:position w:val="0"/>
              </w:rPr>
              <w:t>多功能线路检测装置的研究开发包括信号发射 器和信号接收器等两大模块，其中信号发射器包括控 制器模块、电流检测模块、电压检测模块、电阻检测 模块、线路短路检测模块、线路断点检测模块、功能 选择模块、信号发射模块、显示模块；信号接收器包 括信号控制模块、与信号控制模块呈电性连接的信号 接收模块、信号测量模块、信号输出模块。</w:t>
            </w:r>
          </w:p>
          <w:p>
            <w:pPr>
              <w:pStyle w:val="Style2"/>
              <w:keepNext w:val="0"/>
              <w:keepLines w:val="0"/>
              <w:widowControl w:val="0"/>
              <w:numPr>
                <w:ilvl w:val="0"/>
                <w:numId w:val="33"/>
              </w:numPr>
              <w:shd w:val="clear" w:color="auto" w:fill="auto"/>
              <w:tabs>
                <w:tab w:pos="504" w:val="left"/>
              </w:tabs>
              <w:bidi w:val="0"/>
              <w:spacing w:before="0" w:after="0" w:line="316" w:lineRule="exact"/>
              <w:ind w:left="0" w:right="0" w:firstLine="380"/>
              <w:jc w:val="both"/>
            </w:pPr>
            <w:r>
              <w:rPr>
                <w:color w:val="000000"/>
                <w:spacing w:val="0"/>
                <w:w w:val="100"/>
                <w:position w:val="0"/>
              </w:rPr>
              <w:t>多功能线路检测装置通过对信号发射器和接收 器设备进行相应的编程，使其可以对线路的多种参数 进行检测，包括电流、电压、电阻、断点等，并并将 测量数据传输到电脑中，装置功能全面、操作简单， 即提高了线路检测的自动化水平，也提高了检测效 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现代生活离不开电力，各行各业的各种设备运行、功 能的实现都离不开电力的供应，因此电力线路的管理，特 别是故障发生时的排查的恢复都尤为重要。结合计算机技 术对线路检测装置进行升级改造，协助对故障位点的定位， 提高故障排除效率，既符合国家政策又具有发展空间。</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一种用于 计算机设 备管理的 终端的研 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目前企业计算机管理大多采用管理人 员管理，浪费人力资源，且不能对计算机运 行状况进行及时记录，一旦出现泄密事故不 能够及时发现、报警，并进行相应处置，存 在极大的安全隐患。基于上述情况，设计一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研发完成</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35"/>
              </w:numPr>
              <w:shd w:val="clear" w:color="auto" w:fill="auto"/>
              <w:tabs>
                <w:tab w:pos="499" w:val="left"/>
              </w:tabs>
              <w:bidi w:val="0"/>
              <w:spacing w:before="0" w:after="0" w:line="312" w:lineRule="exact"/>
              <w:ind w:left="0" w:right="0" w:firstLine="380"/>
              <w:jc w:val="both"/>
            </w:pPr>
            <w:r>
              <w:rPr>
                <w:color w:val="000000"/>
                <w:spacing w:val="0"/>
                <w:w w:val="100"/>
                <w:position w:val="0"/>
              </w:rPr>
              <w:t>一种用于计算机设备管理的终端的研究开发包 括管控中心、计算机设备录入模块、计算机设备管理 模块、计算机设备信息查询模块、无线通信模块、数 据存储模块、系统维护模块等七个模块。</w:t>
            </w:r>
          </w:p>
          <w:p>
            <w:pPr>
              <w:pStyle w:val="Style2"/>
              <w:keepNext w:val="0"/>
              <w:keepLines w:val="0"/>
              <w:widowControl w:val="0"/>
              <w:numPr>
                <w:ilvl w:val="0"/>
                <w:numId w:val="35"/>
              </w:numPr>
              <w:shd w:val="clear" w:color="auto" w:fill="auto"/>
              <w:tabs>
                <w:tab w:pos="529" w:val="left"/>
              </w:tabs>
              <w:bidi w:val="0"/>
              <w:spacing w:before="0" w:after="0" w:line="312" w:lineRule="exact"/>
              <w:ind w:left="0" w:right="0" w:firstLine="380"/>
              <w:jc w:val="both"/>
            </w:pPr>
            <w:r>
              <w:rPr>
                <w:color w:val="000000"/>
                <w:spacing w:val="0"/>
                <w:w w:val="100"/>
                <w:position w:val="0"/>
              </w:rPr>
              <w:t>一种用于计算机设备管理的终端的研究开发通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为了加强对计算机设备的统一管理，规范系统设备、 设备数据的管理等，充分发挥计算机设备在日常工作中的 应用，展开用于计算机设备管理的终端的研究开发，既符 合国家政策又具有发展空间。</w:t>
            </w:r>
          </w:p>
        </w:tc>
      </w:tr>
    </w:tbl>
    <w:p>
      <w:pPr>
        <w:spacing w:lineRule="exact" w:line="1"/>
        <w:rPr>
          <w:sz w:val="2"/>
          <w:szCs w:val="2"/>
        </w:rPr>
      </w:pPr>
      <w:r>
        <w:br w:type="page"/>
      </w:r>
    </w:p>
    <w:tbl>
      <w:tblPr>
        <w:tblOverlap w:val="never"/>
        <w:jc w:val="center"/>
        <w:tblLayout w:type="fixed"/>
      </w:tblPr>
      <w:tblGrid>
        <w:gridCol w:w="845"/>
        <w:gridCol w:w="3442"/>
        <w:gridCol w:w="994"/>
        <w:gridCol w:w="4181"/>
        <w:gridCol w:w="4570"/>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主要研发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22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种用于计算机设备管理的终端，已成为当务 之急。本项目所研发的用于计算机设备管理 的终端，通过实现远程实时查看各台计算机 的工作信息、计算机桌面运行日志、数据迁 移信息等功能，并可对各台计算机进行资源 管控和调配，提升办公效率，防止公司商业 秘密泄露，降低公司的经营风险。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过加强对计算机设备的统一管理，规范系统设备、设 备数据的管理等，提高计算机设备、计算机存储信息 的安全性。</w:t>
            </w: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智能交通 指挥</w:t>
            </w:r>
            <w:r>
              <w:rPr>
                <w:rFonts w:ascii="Times New Roman" w:eastAsia="Times New Roman" w:hAnsi="Times New Roman" w:cs="Times New Roman"/>
                <w:color w:val="000000"/>
                <w:spacing w:val="0"/>
                <w:w w:val="100"/>
                <w:position w:val="0"/>
                <w:sz w:val="18"/>
                <w:szCs w:val="18"/>
              </w:rPr>
              <w:t xml:space="preserve">GIS </w:t>
            </w:r>
            <w:r>
              <w:rPr>
                <w:color w:val="000000"/>
                <w:spacing w:val="0"/>
                <w:w w:val="100"/>
                <w:position w:val="0"/>
              </w:rPr>
              <w:t>大数据管 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随着云计算、大数据技术和人工智能的 发展</w:t>
            </w:r>
            <w:r>
              <w:rPr>
                <w:color w:val="000000"/>
                <w:spacing w:val="0"/>
                <w:w w:val="100"/>
                <w:position w:val="0"/>
                <w:sz w:val="18"/>
                <w:szCs w:val="18"/>
              </w:rPr>
              <w:t>，</w:t>
            </w:r>
            <w:r>
              <w:rPr>
                <w:color w:val="000000"/>
                <w:spacing w:val="0"/>
                <w:w w:val="100"/>
                <w:position w:val="0"/>
              </w:rPr>
              <w:t>智能交通正在向智慧交通发展，公安智 能交通指挥系统也正在由被动感知向事先 预判转换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更加贴近实战。面对交通领域迅速 增长的海量数据，基于大数据技术可以充分 挖掘和利用数据背后的价值和意义，充分利 用智能交通管理系统的前端感知数据和资 源整合数据，将大数据的理论与方法结合起 来，为交通管理决策人员提供决策依据，改 善传统管理模式，带动城市交通管理现代 化，有效改善城市交通秩序、减少环境污染、 避免或减少交通事故、提高交通指挥系统的 分析能力和决策水平。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研发完成</w:t>
            </w:r>
          </w:p>
        </w:tc>
        <w:tc>
          <w:tcPr>
            <w:tcBorders>
              <w:top w:val="single" w:sz="4"/>
              <w:left w:val="single" w:sz="4"/>
            </w:tcBorders>
            <w:shd w:val="clear" w:color="auto" w:fill="FFFFFF"/>
            <w:vAlign w:val="center"/>
          </w:tcPr>
          <w:p>
            <w:pPr>
              <w:pStyle w:val="Style2"/>
              <w:keepNext w:val="0"/>
              <w:keepLines w:val="0"/>
              <w:widowControl w:val="0"/>
              <w:numPr>
                <w:ilvl w:val="0"/>
                <w:numId w:val="37"/>
              </w:numPr>
              <w:shd w:val="clear" w:color="auto" w:fill="auto"/>
              <w:tabs>
                <w:tab w:pos="504" w:val="left"/>
              </w:tabs>
              <w:bidi w:val="0"/>
              <w:spacing w:before="0" w:after="40" w:line="314" w:lineRule="exact"/>
              <w:ind w:left="0" w:right="0" w:firstLine="380"/>
              <w:jc w:val="both"/>
            </w:pPr>
            <w:r>
              <w:rPr>
                <w:color w:val="000000"/>
                <w:spacing w:val="0"/>
                <w:w w:val="100"/>
                <w:position w:val="0"/>
              </w:rPr>
              <w:t>智能交通指挥</w:t>
            </w: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大数据管理平台包括交通大 数据分析子平台、实时数据流处理子平台、资源管理 与调度子平台等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个模块。</w:t>
            </w:r>
          </w:p>
          <w:p>
            <w:pPr>
              <w:pStyle w:val="Style2"/>
              <w:keepNext w:val="0"/>
              <w:keepLines w:val="0"/>
              <w:widowControl w:val="0"/>
              <w:numPr>
                <w:ilvl w:val="0"/>
                <w:numId w:val="37"/>
              </w:numPr>
              <w:shd w:val="clear" w:color="auto" w:fill="auto"/>
              <w:tabs>
                <w:tab w:pos="499" w:val="left"/>
              </w:tabs>
              <w:bidi w:val="0"/>
              <w:spacing w:before="0" w:after="0" w:line="315" w:lineRule="exact"/>
              <w:ind w:left="0" w:right="0" w:firstLine="380"/>
              <w:jc w:val="both"/>
            </w:pPr>
            <w:r>
              <w:rPr>
                <w:color w:val="000000"/>
                <w:spacing w:val="0"/>
                <w:w w:val="100"/>
                <w:position w:val="0"/>
              </w:rPr>
              <w:t>建设智能交通指挥</w:t>
            </w: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大数据管理平台是面向 交通管理部门的综合性辅助决策平台，集成运营业务 管理、应急指挥调度、监测预警、分析研判于一身， 满足常态下监测监管、应急态下协同处置指挥调度的 需要，满足交通行业平急结合的应用需求，协助管理 者做到事前预警、事中指挥调度、事后分析研判，全 面提升交通管理部门智能化决策能力，更好发挥交通 资源效益。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智能交通指挥</w:t>
            </w: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大数据管理平台是针对交管平台专 门打造的地理信息平台，以交通网为基础，以电子地图为 核心，以地理信息技术为支撑，通过对智慧交通各业务系 统的集成与数据融合，实现系统间的关联与交互、信息共 享、集成联动以及数据的统一管理，同时结合交警业务， 实现智能交通大数据分析与交通指挥的业务模块功能</w:t>
            </w:r>
            <w:r>
              <w:rPr>
                <w:color w:val="000000"/>
                <w:spacing w:val="0"/>
                <w:w w:val="100"/>
                <w:position w:val="0"/>
                <w:sz w:val="18"/>
                <w:szCs w:val="18"/>
              </w:rPr>
              <w:t>，</w:t>
            </w:r>
            <w:r>
              <w:rPr>
                <w:color w:val="000000"/>
                <w:spacing w:val="0"/>
                <w:w w:val="100"/>
                <w:position w:val="0"/>
              </w:rPr>
              <w:t>在 交通管理业务中实现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缓堵保畅、治安防控、警力管控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 大建设目标，为交通指挥提供有力的智能化支撑，提升工 作效率。</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数字乡村 公共服务 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立足新时代国情农情，将数字乡村作为 数字中国建设的重要方面，助力加快信息化 发展，整体带动和提升农业农村现代化发 展。进一步解放和发展数字化生产力，注重 构建以知识更新、技术创新、数据驱动为一 体的乡村经济发展政策体系，注重建立层级 更高、结构更优、可持续性更好的乡村现代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研发完成</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39"/>
              </w:numPr>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数字乡村公共服务平台包括农业服务、生活服 务、农机管理、农村电商、魅力乡村、系统管理等</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个模块。</w:t>
            </w:r>
          </w:p>
          <w:p>
            <w:pPr>
              <w:pStyle w:val="Style2"/>
              <w:keepNext w:val="0"/>
              <w:keepLines w:val="0"/>
              <w:widowControl w:val="0"/>
              <w:numPr>
                <w:ilvl w:val="0"/>
                <w:numId w:val="39"/>
              </w:numPr>
              <w:shd w:val="clear" w:color="auto" w:fill="auto"/>
              <w:tabs>
                <w:tab w:pos="494" w:val="left"/>
              </w:tabs>
              <w:bidi w:val="0"/>
              <w:spacing w:before="0" w:after="0" w:line="326" w:lineRule="exact"/>
              <w:ind w:left="0" w:right="0" w:firstLine="380"/>
              <w:jc w:val="both"/>
            </w:pPr>
            <w:r>
              <w:rPr>
                <w:color w:val="000000"/>
                <w:spacing w:val="0"/>
                <w:w w:val="100"/>
                <w:position w:val="0"/>
              </w:rPr>
              <w:t>数字乡村公共服务系统的开发可以弥合城乡信 息不对称、缩小城乡差距、健全农村公共服务体系。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数字乡村公共服务体系是传统农村公共服务模式在新 时代乡村振兴过程中的升级版，在对长期以来我国农村公 共服务所面临的碎片化、区隔化和分散化瓶颈制约进行反 思的基础上，依循整体性治理的学理逻辑，前瞻数字乡村 治理新体系的未来图景，为构建中央与地方，城市与农村， 政府与社会，政府与企业，政府与村民共建共治共享的数 字乡村公共服务体系提供信息化支撑。</w:t>
            </w:r>
          </w:p>
        </w:tc>
      </w:tr>
    </w:tbl>
    <w:p>
      <w:pPr>
        <w:spacing w:lineRule="exact" w:line="1"/>
        <w:rPr>
          <w:sz w:val="2"/>
          <w:szCs w:val="2"/>
        </w:rPr>
      </w:pPr>
      <w:r>
        <w:br w:type="page"/>
      </w:r>
    </w:p>
    <w:tbl>
      <w:tblPr>
        <w:tblOverlap w:val="never"/>
        <w:jc w:val="center"/>
        <w:tblLayout w:type="fixed"/>
      </w:tblPr>
      <w:tblGrid>
        <w:gridCol w:w="845"/>
        <w:gridCol w:w="3442"/>
        <w:gridCol w:w="994"/>
        <w:gridCol w:w="4181"/>
        <w:gridCol w:w="4570"/>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主要研发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9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化经济体系，注重建立灵敏高效的现代乡村 社会治理体系，开启城乡融合发展和现代化 建设新局面。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智能人机</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交互系统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随着互联网、移动互联网等产业的发 展，产生了海量的大数据，加上</w:t>
            </w:r>
            <w:r>
              <w:rPr>
                <w:rFonts w:ascii="Times New Roman" w:eastAsia="Times New Roman" w:hAnsi="Times New Roman" w:cs="Times New Roman"/>
                <w:color w:val="000000"/>
                <w:spacing w:val="0"/>
                <w:w w:val="100"/>
                <w:position w:val="0"/>
                <w:sz w:val="18"/>
                <w:szCs w:val="18"/>
              </w:rPr>
              <w:t>GPU</w:t>
            </w:r>
            <w:r>
              <w:rPr>
                <w:color w:val="000000"/>
                <w:spacing w:val="0"/>
                <w:w w:val="100"/>
                <w:position w:val="0"/>
              </w:rPr>
              <w:t>等计 算机硬件技术和深度学习技术的突破性发 展，都给智能人机交互系统的发展带来了强 大的支撑。智能人机交互系统是人机环境系 统的自主耦合形成的一个认知智能，即信息 的流动过程，包括输入、处理、输出和反馈 等，通过输出或显示设备给人提供大量有关 信息及提示请示，用户再通过输入设备给机 器输入有关信息，回答问题及提示请示以完 成对系统的操作，是计算机用户界面设计中 的重要内容之一，其在相关产业中的应用可 提高系统处理错误的能力，以达到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用户自 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研发阶段</w:t>
            </w:r>
          </w:p>
        </w:tc>
        <w:tc>
          <w:tcPr>
            <w:tcBorders>
              <w:top w:val="single" w:sz="4"/>
              <w:left w:val="single" w:sz="4"/>
            </w:tcBorders>
            <w:shd w:val="clear" w:color="auto" w:fill="FFFFFF"/>
            <w:vAlign w:val="center"/>
          </w:tcPr>
          <w:p>
            <w:pPr>
              <w:pStyle w:val="Style2"/>
              <w:keepNext w:val="0"/>
              <w:keepLines w:val="0"/>
              <w:widowControl w:val="0"/>
              <w:numPr>
                <w:ilvl w:val="0"/>
                <w:numId w:val="41"/>
              </w:numPr>
              <w:shd w:val="clear" w:color="auto" w:fill="auto"/>
              <w:tabs>
                <w:tab w:pos="504" w:val="left"/>
              </w:tabs>
              <w:bidi w:val="0"/>
              <w:spacing w:before="0" w:after="40" w:line="312" w:lineRule="exact"/>
              <w:ind w:left="0" w:right="0" w:firstLine="380"/>
              <w:jc w:val="both"/>
            </w:pPr>
            <w:r>
              <w:rPr>
                <w:color w:val="000000"/>
                <w:spacing w:val="0"/>
                <w:w w:val="100"/>
                <w:position w:val="0"/>
              </w:rPr>
              <w:t>智能人机交互系统包括画面组态软件、</w:t>
            </w:r>
            <w:r>
              <w:rPr>
                <w:rFonts w:ascii="Times New Roman" w:eastAsia="Times New Roman" w:hAnsi="Times New Roman" w:cs="Times New Roman"/>
                <w:color w:val="000000"/>
                <w:spacing w:val="0"/>
                <w:w w:val="100"/>
                <w:position w:val="0"/>
                <w:sz w:val="18"/>
                <w:szCs w:val="18"/>
              </w:rPr>
              <w:t>OCR</w:t>
            </w:r>
            <w:r>
              <w:rPr>
                <w:color w:val="000000"/>
                <w:spacing w:val="0"/>
                <w:w w:val="100"/>
                <w:position w:val="0"/>
              </w:rPr>
              <w:t>内 容识别、系统软件等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个模块。</w:t>
            </w:r>
          </w:p>
          <w:p>
            <w:pPr>
              <w:pStyle w:val="Style2"/>
              <w:keepNext w:val="0"/>
              <w:keepLines w:val="0"/>
              <w:widowControl w:val="0"/>
              <w:numPr>
                <w:ilvl w:val="0"/>
                <w:numId w:val="41"/>
              </w:numPr>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建设智能人机交互系统，使用户可以利用显示 屏通过输入单元（如触摸屏、键盘、鼠标等）写入工 作参数或输入操作命令，实现信息的内部形式与人类 可以接受形式之间的转换。提供良好的人机交互操 作，使得用户可以快捷准确地理解程序的功能操作， 并准确操作自己想要的功能。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我国政府高度重视人工智能的技术进步与产业发展， 人工智能已上升国家战略。《新一代人工智能发展规划》提 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年，使中国成为世界主要人工智能创新中心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人工智能市场前景巨大，预计到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年人工智能应用市场 总值将达</w:t>
            </w:r>
            <w:r>
              <w:rPr>
                <w:rFonts w:ascii="Times New Roman" w:eastAsia="Times New Roman" w:hAnsi="Times New Roman" w:cs="Times New Roman"/>
                <w:color w:val="000000"/>
                <w:spacing w:val="0"/>
                <w:w w:val="100"/>
                <w:position w:val="0"/>
                <w:sz w:val="18"/>
                <w:szCs w:val="18"/>
              </w:rPr>
              <w:t>1270</w:t>
            </w:r>
            <w:r>
              <w:rPr>
                <w:color w:val="000000"/>
                <w:spacing w:val="0"/>
                <w:w w:val="100"/>
                <w:position w:val="0"/>
              </w:rPr>
              <w:t>亿美元。近年来，我国在人工智能领域密集 出台相关政策，更在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年连续三年的 政府工作报告中提到人工智能，可以看出在世界主要大国 纷纷在人工智能领域出台国家战略，抢占人工智能时代制 高点的环境下，中国政府把人工智能上升到国家战略的决 心。</w:t>
            </w:r>
          </w:p>
          <w:p>
            <w:pPr>
              <w:pStyle w:val="Style2"/>
              <w:keepNext w:val="0"/>
              <w:keepLines w:val="0"/>
              <w:widowControl w:val="0"/>
              <w:shd w:val="clear" w:color="auto" w:fill="auto"/>
              <w:bidi w:val="0"/>
              <w:spacing w:before="0" w:after="0" w:line="318"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月，全国已有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个省市发布人工智能 规划，其中</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个制定了具体的产业规模发展目标。通过一 系列政策与资金扶持，各省市不断强化当地人工智能的技 术研发与应用，为人工智能产业提供了广阔发展前景。</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智能语 言深度学 习与应用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随着新一代信息技术的发展，语音识别 在各个领域的应用越来越广泛，语音识别技 术也已经在很多应用领域取得重大进展，深 度学习技术在语音特征提取准确性、识别稳 定性、语言建模等方面可以很好的处理这些 问题。</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智能语言深度学习将计算机云计算 与丰富的语音数据相结合，直接对各种语音 数据进行处理，满足人们应用语音数据的需 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在公司自主研发的终端集成</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智能语音导航， 指引客户交办各项业务，提升客户交互体验，能实现 智能对话，分析语句含义，识别语音对象。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随着人工智能技术的快速发展，给全球互联网科技企 业带来了丰厚的营收，而基础研究的进步使得人工智能的 商业化得到了很好的支撑，为了更好的实现人工智能的广 阔应用前景，人工智能技术的快速发展以及各类型人工智 能初创公司更好的成长，中国不少省市也发布了诸多专业 针对人工智能产业的相关政策，进行</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智能相关项目的 研究，既符合国家政策又具有广阔的发展空间。</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网格化社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以街道、社区为基础，在管理辖区内，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网格化社会治理微服务体系的成果转化及产业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市域社会治安管理系统是结合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概念，实现网格</w:t>
            </w:r>
          </w:p>
        </w:tc>
      </w:tr>
    </w:tbl>
    <w:p>
      <w:pPr>
        <w:spacing w:lineRule="exact" w:line="1"/>
        <w:rPr>
          <w:sz w:val="2"/>
          <w:szCs w:val="2"/>
        </w:rPr>
      </w:pPr>
      <w:r>
        <w:br w:type="page"/>
      </w:r>
    </w:p>
    <w:tbl>
      <w:tblPr>
        <w:tblOverlap w:val="never"/>
        <w:jc w:val="center"/>
        <w:tblLayout w:type="fixed"/>
      </w:tblPr>
      <w:tblGrid>
        <w:gridCol w:w="845"/>
        <w:gridCol w:w="3442"/>
        <w:gridCol w:w="994"/>
        <w:gridCol w:w="4181"/>
        <w:gridCol w:w="4570"/>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主要研发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543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会治理微 服务体系 的成果转 化及产业 化项目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万平方米左右区域为基准划分单元网 格，建立网格化社会治理平台，对城市部件、 事件实施管理，实现市、区、专业处置部门 和网格监督员四级联动的管理模式和信息 资源共享系统。推行网格化管理，其目的在 于打破以往行政部门条块分割、各自为政、 推诿扯皮、责权利不明的种种弊端，将资源 重新整合，进一步下放事权，构建一个新的 社会管理体系。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化项目包括治安大数据研判系统应用（基层治理业务 协同子系统、管理服务子系统、安全服务子系统）和 市域治安管理系统（基础信息子系统、</w:t>
            </w: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网格地图 子系统、事件处理子系统、移动终端子系统、重点区 域管理、指挥调度子系统、大数据分析子系统、系统 管理子系统）等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个功能模块。</w:t>
            </w:r>
          </w:p>
          <w:p>
            <w:pPr>
              <w:pStyle w:val="Style2"/>
              <w:keepNext w:val="0"/>
              <w:keepLines w:val="0"/>
              <w:widowControl w:val="0"/>
              <w:numPr>
                <w:ilvl w:val="0"/>
                <w:numId w:val="43"/>
              </w:numPr>
              <w:shd w:val="clear" w:color="auto" w:fill="auto"/>
              <w:tabs>
                <w:tab w:pos="504" w:val="left"/>
              </w:tabs>
              <w:bidi w:val="0"/>
              <w:spacing w:before="0" w:after="40" w:line="316" w:lineRule="exact"/>
              <w:ind w:left="0" w:right="0" w:firstLine="380"/>
              <w:jc w:val="both"/>
            </w:pPr>
            <w:r>
              <w:rPr>
                <w:color w:val="000000"/>
                <w:spacing w:val="0"/>
                <w:w w:val="100"/>
                <w:position w:val="0"/>
              </w:rPr>
              <w:t>治安大数据研判系统采用大数据相关技术，具 有全新的思维模式和应用维度，利用新处理模式，能 够经济快速地处理海量的、多样化的数据资产，并通 过数据整合、挖掘获取目的信息，从而实现治安情况 分析，提高治安事件预判能力。</w:t>
            </w:r>
          </w:p>
          <w:p>
            <w:pPr>
              <w:pStyle w:val="Style2"/>
              <w:keepNext w:val="0"/>
              <w:keepLines w:val="0"/>
              <w:widowControl w:val="0"/>
              <w:numPr>
                <w:ilvl w:val="0"/>
                <w:numId w:val="43"/>
              </w:numPr>
              <w:shd w:val="clear" w:color="auto" w:fill="auto"/>
              <w:tabs>
                <w:tab w:pos="504" w:val="left"/>
              </w:tabs>
              <w:bidi w:val="0"/>
              <w:spacing w:before="0" w:after="40" w:line="315" w:lineRule="exact"/>
              <w:ind w:left="0" w:right="0" w:firstLine="380"/>
              <w:jc w:val="both"/>
            </w:pPr>
            <w:r>
              <w:rPr>
                <w:color w:val="000000"/>
                <w:spacing w:val="0"/>
                <w:w w:val="100"/>
                <w:position w:val="0"/>
              </w:rPr>
              <w:t>市域社会治安管理系统基于真实可量测的三维 空间数据，综合利用</w:t>
            </w:r>
            <w:r>
              <w:rPr>
                <w:rFonts w:ascii="Times New Roman" w:eastAsia="Times New Roman" w:hAnsi="Times New Roman" w:cs="Times New Roman"/>
                <w:color w:val="000000"/>
                <w:spacing w:val="0"/>
                <w:w w:val="100"/>
                <w:position w:val="0"/>
                <w:sz w:val="18"/>
                <w:szCs w:val="18"/>
              </w:rPr>
              <w:t>GPS</w:t>
            </w:r>
            <w:r>
              <w:rPr>
                <w:color w:val="000000"/>
                <w:spacing w:val="0"/>
                <w:w w:val="100"/>
                <w:position w:val="0"/>
              </w:rPr>
              <w:t>定位技术和无线通信技术等 高新技术，基于网格化管理办法，达到城市管理问题 由被动应对到主动发现，由开环处理到闭环管理，由 粗放执法到精确任务的突破，从而实现事前监督，事 中督办，事后评价的全流程一体化管理。</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化管理办法的信息化的平台。在社会的良性运转、社会稳 定、公民权利保障等方面，实现市域社会治理现代化，推 动社会治理和服务重心向基层下移，把更多资源下沉到基 层，更好提供精准化、精细化服务。</w:t>
            </w:r>
          </w:p>
        </w:tc>
      </w:tr>
      <w:tr>
        <w:trPr>
          <w:trHeight w:val="325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气象服务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近年来，在深入推进公共气象服务的进 程中，气象声讯、短信、网站、微信等信服 的服务方式应运而生，服务信息成倍增长， 受众面迅速扩大，日常业务中，这些气象信 息的加工处理与传输大多由单独的程序或 人工完成，由于时间时间集中，业务繁琐， 服务信息编辑发布不规范、不及时、不系统 的现象时有发生。为了解决这些问题，建了 基于计算机处理和网络传输一体化的气象 服务信息系统。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研发完成</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45"/>
              </w:numPr>
              <w:shd w:val="clear" w:color="auto" w:fill="auto"/>
              <w:tabs>
                <w:tab w:pos="499" w:val="left"/>
              </w:tabs>
              <w:bidi w:val="0"/>
              <w:spacing w:before="0" w:after="40" w:line="307" w:lineRule="exact"/>
              <w:ind w:left="0" w:right="0" w:firstLine="380"/>
              <w:jc w:val="both"/>
            </w:pPr>
            <w:r>
              <w:rPr>
                <w:color w:val="000000"/>
                <w:spacing w:val="0"/>
                <w:w w:val="100"/>
                <w:position w:val="0"/>
              </w:rPr>
              <w:t>气象服务信息系统包括服务注册、地图管理、 数据管理、产品管理、系统管理等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个模块。</w:t>
            </w:r>
          </w:p>
          <w:p>
            <w:pPr>
              <w:pStyle w:val="Style2"/>
              <w:keepNext w:val="0"/>
              <w:keepLines w:val="0"/>
              <w:widowControl w:val="0"/>
              <w:numPr>
                <w:ilvl w:val="0"/>
                <w:numId w:val="45"/>
              </w:numPr>
              <w:shd w:val="clear" w:color="auto" w:fill="auto"/>
              <w:tabs>
                <w:tab w:pos="504" w:val="left"/>
              </w:tabs>
              <w:bidi w:val="0"/>
              <w:spacing w:before="0" w:after="0" w:line="315" w:lineRule="exact"/>
              <w:ind w:left="0" w:right="0" w:firstLine="380"/>
              <w:jc w:val="both"/>
            </w:pPr>
            <w:r>
              <w:rPr>
                <w:color w:val="000000"/>
                <w:spacing w:val="0"/>
                <w:w w:val="100"/>
                <w:position w:val="0"/>
              </w:rPr>
              <w:t xml:space="preserve">气象信息关系着气象信息能否及时正确发布， 影响着人们对气象信息的正确获取，气象信息管理系 统的投入使用实现了各种气象服务的集成、和基于 </w:t>
            </w: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的地图数据、气象相关数据和气象产品数据的配 置管理，对于天气预报、灾害预报等具有十分重要的 现实意义。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47"/>
              </w:numPr>
              <w:shd w:val="clear" w:color="auto" w:fill="auto"/>
              <w:tabs>
                <w:tab w:pos="504" w:val="left"/>
              </w:tabs>
              <w:bidi w:val="0"/>
              <w:spacing w:before="0" w:after="0" w:line="313" w:lineRule="exact"/>
              <w:ind w:left="0" w:right="0" w:firstLine="380"/>
              <w:jc w:val="both"/>
            </w:pPr>
            <w:r>
              <w:rPr>
                <w:color w:val="000000"/>
                <w:spacing w:val="0"/>
                <w:w w:val="100"/>
                <w:position w:val="0"/>
              </w:rPr>
              <w:t>通过结合各类气象服务、气象信息和地图信息，从 传统的提供简单气象信息服务，转变为多方面的气象预报、 灾害提示等有助于经济建设和社会发展的信息系统，在人 民生活防灾减灾和气候变化应对方面都发挥着重要的作 用。</w:t>
            </w:r>
          </w:p>
          <w:p>
            <w:pPr>
              <w:pStyle w:val="Style2"/>
              <w:keepNext w:val="0"/>
              <w:keepLines w:val="0"/>
              <w:widowControl w:val="0"/>
              <w:numPr>
                <w:ilvl w:val="0"/>
                <w:numId w:val="47"/>
              </w:numPr>
              <w:shd w:val="clear" w:color="auto" w:fill="auto"/>
              <w:tabs>
                <w:tab w:pos="499" w:val="left"/>
              </w:tabs>
              <w:bidi w:val="0"/>
              <w:spacing w:before="0" w:after="0" w:line="316" w:lineRule="exact"/>
              <w:ind w:left="0" w:right="0" w:firstLine="380"/>
              <w:jc w:val="both"/>
            </w:pPr>
            <w:r>
              <w:rPr>
                <w:color w:val="000000"/>
                <w:spacing w:val="0"/>
                <w:w w:val="100"/>
                <w:position w:val="0"/>
              </w:rPr>
              <w:t>气象服务信息系统是利用计算机技术建设的，支持 个性化定制气象服务产品的信息系统，构建地图区域圈定 功能，大力推动精准气象服务，实现气象精准监测、预警、 预报，为政府部门在防灾、减灾、应急预警、决策指挥等 应用场景提供支持。</w:t>
            </w:r>
          </w:p>
        </w:tc>
      </w:tr>
    </w:tbl>
    <w:p>
      <w:pPr>
        <w:spacing w:lineRule="exact" w:line="1"/>
        <w:rPr>
          <w:sz w:val="2"/>
          <w:szCs w:val="2"/>
        </w:rPr>
      </w:pPr>
      <w:r>
        <w:br w:type="page"/>
      </w:r>
    </w:p>
    <w:tbl>
      <w:tblPr>
        <w:tblOverlap w:val="never"/>
        <w:jc w:val="center"/>
        <w:tblLayout w:type="fixed"/>
      </w:tblPr>
      <w:tblGrid>
        <w:gridCol w:w="845"/>
        <w:gridCol w:w="3442"/>
        <w:gridCol w:w="994"/>
        <w:gridCol w:w="4181"/>
        <w:gridCol w:w="4570"/>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主要研发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57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在线政务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支撑平台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当前，政务服务流程不断优化，全过程 留痕、全流程监管，政务数据资源有效汇聚、 充分共享，大数据服务能力显著增强。进一 步采用科学合理的思路与方法，使我国政务 信息化建设发挥出更高的行政管理效率，推 动体制创新。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研发阶段</w:t>
            </w:r>
          </w:p>
        </w:tc>
        <w:tc>
          <w:tcPr>
            <w:tcBorders>
              <w:top w:val="single" w:sz="4"/>
              <w:left w:val="single" w:sz="4"/>
            </w:tcBorders>
            <w:shd w:val="clear" w:color="auto" w:fill="FFFFFF"/>
            <w:vAlign w:val="center"/>
          </w:tcPr>
          <w:p>
            <w:pPr>
              <w:pStyle w:val="Style2"/>
              <w:keepNext w:val="0"/>
              <w:keepLines w:val="0"/>
              <w:widowControl w:val="0"/>
              <w:numPr>
                <w:ilvl w:val="0"/>
                <w:numId w:val="49"/>
              </w:numPr>
              <w:shd w:val="clear" w:color="auto" w:fill="auto"/>
              <w:tabs>
                <w:tab w:pos="505" w:val="left"/>
              </w:tabs>
              <w:bidi w:val="0"/>
              <w:spacing w:before="0" w:after="0" w:line="313" w:lineRule="exact"/>
              <w:ind w:left="0" w:right="0" w:firstLine="380"/>
              <w:jc w:val="left"/>
            </w:pPr>
            <w:r>
              <w:rPr>
                <w:color w:val="000000"/>
                <w:spacing w:val="0"/>
                <w:w w:val="100"/>
                <w:position w:val="0"/>
              </w:rPr>
              <w:t>在线政务支撑平台包括数据与权限管理系统</w:t>
            </w:r>
          </w:p>
          <w:p>
            <w:pPr>
              <w:pStyle w:val="Style2"/>
              <w:keepNext w:val="0"/>
              <w:keepLines w:val="0"/>
              <w:widowControl w:val="0"/>
              <w:shd w:val="clear" w:color="auto" w:fill="auto"/>
              <w:bidi w:val="0"/>
              <w:spacing w:before="0" w:after="40" w:line="313" w:lineRule="exact"/>
              <w:ind w:left="0" w:right="0" w:firstLine="0"/>
              <w:jc w:val="both"/>
            </w:pPr>
            <w:r>
              <w:rPr>
                <w:color w:val="000000"/>
                <w:spacing w:val="0"/>
                <w:w w:val="100"/>
                <w:position w:val="0"/>
              </w:rPr>
              <w:t>（目录管理、权限管理、人员管理、角色管理、接口 管理、系统消息管理）、信息公开管理系统（网站管 理、栏目管理、内容管理、轮播图管理、活动管理、 日志管理、通知中心）、政府在线大数据分析平台、 自助终端信息服务管理系统（终端设备管理、栏目管 理、页面管理、接口设置、视频管理）、督察督办系 统（收文管理、发文管理、我的公文、查询统计、消 息提醒、短信设置、系统管理）、政务</w:t>
            </w: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办公自动 化系统（公文模板管理、工作流审批、公文在线查看、 公文流转、电子印章管理等）、移动办公</w:t>
            </w:r>
            <w:r>
              <w:rPr>
                <w:rFonts w:ascii="Times New Roman" w:eastAsia="Times New Roman" w:hAnsi="Times New Roman" w:cs="Times New Roman"/>
                <w:color w:val="000000"/>
                <w:spacing w:val="0"/>
                <w:w w:val="100"/>
                <w:position w:val="0"/>
                <w:sz w:val="18"/>
                <w:szCs w:val="18"/>
              </w:rPr>
              <w:t xml:space="preserve">APP </w:t>
            </w:r>
            <w:r>
              <w:rPr>
                <w:color w:val="000000"/>
                <w:spacing w:val="0"/>
                <w:w w:val="100"/>
                <w:position w:val="0"/>
              </w:rPr>
              <w:t>（首页、 信息、共享、设置）、移动办公公众号（我的任务、 公告信息、资源共享、设置）等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个功能模块。</w:t>
            </w:r>
          </w:p>
          <w:p>
            <w:pPr>
              <w:pStyle w:val="Style2"/>
              <w:keepNext w:val="0"/>
              <w:keepLines w:val="0"/>
              <w:widowControl w:val="0"/>
              <w:numPr>
                <w:ilvl w:val="0"/>
                <w:numId w:val="49"/>
              </w:numPr>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建设在线政务支撑平台，优化政务平台管理分 散、办事繁琐、标准不一、共享不畅等问题，提高整 体效能，全面提升政务服务规范化、便利化水平，更 好为单位和群众提供全流程一体化在线服务，推进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放管服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改革，推动政府治理现代化。</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51"/>
              </w:numPr>
              <w:shd w:val="clear" w:color="auto" w:fill="auto"/>
              <w:tabs>
                <w:tab w:pos="509" w:val="left"/>
              </w:tabs>
              <w:bidi w:val="0"/>
              <w:spacing w:before="0" w:after="0" w:line="314" w:lineRule="exact"/>
              <w:ind w:left="0" w:right="0" w:firstLine="380"/>
              <w:jc w:val="both"/>
            </w:pPr>
            <w:r>
              <w:rPr>
                <w:color w:val="000000"/>
                <w:spacing w:val="0"/>
                <w:w w:val="100"/>
                <w:position w:val="0"/>
              </w:rPr>
              <w:t>建设在线政务支撑平台是建立廉洁政府、提高工作 效率和实现信息资源共享的重要手段之一，其主要目标是 通过利用计算机技术、信息技术和现代化管理技术等来整 合政府的信息资源并促进信息的有效流转，同时通过在线 政务支撑平台实现独立环节的政府办公，更有效地将各个 环节衔接起来，使得政府的业务过程实现自动化处理。</w:t>
            </w:r>
          </w:p>
          <w:p>
            <w:pPr>
              <w:pStyle w:val="Style2"/>
              <w:keepNext w:val="0"/>
              <w:keepLines w:val="0"/>
              <w:widowControl w:val="0"/>
              <w:numPr>
                <w:ilvl w:val="0"/>
                <w:numId w:val="51"/>
              </w:numPr>
              <w:shd w:val="clear" w:color="auto" w:fill="auto"/>
              <w:tabs>
                <w:tab w:pos="518" w:val="left"/>
              </w:tabs>
              <w:bidi w:val="0"/>
              <w:spacing w:before="0" w:after="0" w:line="314" w:lineRule="exact"/>
              <w:ind w:left="0" w:right="0" w:firstLine="380"/>
              <w:jc w:val="both"/>
            </w:pPr>
            <w:r>
              <w:rPr>
                <w:color w:val="000000"/>
                <w:spacing w:val="0"/>
                <w:w w:val="100"/>
                <w:position w:val="0"/>
              </w:rPr>
              <w:t>当前我国的政务信息化正处于迅速发展的阶段，以 技术手段优化政府工作流程，提高政府工作效率，增强政 府对社会的服务职能，提高政府工作的透明性和开放性； 以政务公开和行政审批为重点，实现统一规划，协同建设， 分级管理，资源共享。</w:t>
            </w: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地下管网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综合管理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近年来，随着城市快速发展，地下管线 建设规模不足、管理水平不高等问题凸显， 一些城市相继发生大雨内涝、管线泄漏爆 炸、路面塌陷等事件，严重影响了人民群众 生命财产安全和城市运行秩序。结合计算机 技术建设地下管网综合管理平台，配套数据 更新技术，保障地下管网数据库长效可用， 为政府决策、部门审批和突发事件处置提供 辅助手段。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研发阶段</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53"/>
              </w:numPr>
              <w:shd w:val="clear" w:color="auto" w:fill="auto"/>
              <w:tabs>
                <w:tab w:pos="504" w:val="left"/>
              </w:tabs>
              <w:bidi w:val="0"/>
              <w:spacing w:before="0" w:after="40" w:line="312" w:lineRule="exact"/>
              <w:ind w:left="0" w:right="0" w:firstLine="380"/>
              <w:jc w:val="both"/>
            </w:pPr>
            <w:r>
              <w:rPr>
                <w:color w:val="000000"/>
                <w:spacing w:val="0"/>
                <w:w w:val="100"/>
                <w:position w:val="0"/>
              </w:rPr>
              <w:t>地下管网综合管理平台包括基础设置数据系 统、统计分析系统、信息共享平台等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个功能模块。</w:t>
            </w:r>
          </w:p>
          <w:p>
            <w:pPr>
              <w:pStyle w:val="Style2"/>
              <w:keepNext w:val="0"/>
              <w:keepLines w:val="0"/>
              <w:widowControl w:val="0"/>
              <w:numPr>
                <w:ilvl w:val="0"/>
                <w:numId w:val="53"/>
              </w:numPr>
              <w:shd w:val="clear" w:color="auto" w:fill="auto"/>
              <w:tabs>
                <w:tab w:pos="504" w:val="left"/>
              </w:tabs>
              <w:bidi w:val="0"/>
              <w:spacing w:before="0" w:after="0" w:line="314" w:lineRule="exact"/>
              <w:ind w:left="0" w:right="0" w:firstLine="380"/>
              <w:jc w:val="both"/>
            </w:pPr>
            <w:r>
              <w:rPr>
                <w:color w:val="000000"/>
                <w:spacing w:val="0"/>
                <w:w w:val="100"/>
                <w:position w:val="0"/>
              </w:rPr>
              <w:t>实现了地下管线数据信息一体化，以及动态更 新与专业属性数据的整体同步。不仅有助于避免市政 建设过程中道路的多次开挖，而且还可大大降低施工 中地下设施的矛盾与事故隐患，提高管线工程规划设 计、施工与管理的准确性和科学性。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55"/>
              </w:numPr>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建设地下管网综合管理平台，有利于全面反映地下 管网的分布状况，便于观望的维护、检测，实现管网信息 从无序到有序化管理。此外将管网信息与城市基础地理信 息融合在一起，实现信息共享，为城市的施工建设提供准 确的资料，为科学管理提供辅助决策的依据。</w:t>
            </w:r>
          </w:p>
          <w:p>
            <w:pPr>
              <w:pStyle w:val="Style2"/>
              <w:keepNext w:val="0"/>
              <w:keepLines w:val="0"/>
              <w:widowControl w:val="0"/>
              <w:numPr>
                <w:ilvl w:val="0"/>
                <w:numId w:val="55"/>
              </w:numPr>
              <w:shd w:val="clear" w:color="auto" w:fill="auto"/>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全面、系统地掌握地下管网数据，合理开发、利用 地下空间，城市底下管网的科学管理对当今城市的快速发 展而言，是一项意义深远的工作。</w:t>
            </w:r>
          </w:p>
        </w:tc>
      </w:tr>
    </w:tbl>
    <w:p>
      <w:pPr>
        <w:spacing w:lineRule="exact" w:line="1"/>
        <w:rPr>
          <w:sz w:val="2"/>
          <w:szCs w:val="2"/>
        </w:rPr>
      </w:pPr>
      <w:r>
        <w:br w:type="page"/>
      </w:r>
    </w:p>
    <w:tbl>
      <w:tblPr>
        <w:tblOverlap w:val="never"/>
        <w:jc w:val="center"/>
        <w:tblLayout w:type="fixed"/>
      </w:tblPr>
      <w:tblGrid>
        <w:gridCol w:w="845"/>
        <w:gridCol w:w="3442"/>
        <w:gridCol w:w="994"/>
        <w:gridCol w:w="4181"/>
        <w:gridCol w:w="4570"/>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主要研发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38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智慧政务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综合应用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随着全球新一轮科技革命和我国深化 “放管服”改革的不断推进，政务服务数字 化不仅是个大趋势，更是提升数字政府治理 能力的重要手段。在电子政务进入数字化时 代的背景下，践行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服务政府治理，助力企 业发展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的发展理念，积极抢抓数字经济发 展新机遇，以新基建赋能高质量发展，立足 于改善民生和创新社会治理，帮助政府建设 现代化的社会治理体系、提供更加便捷高效 的监管服务及民生服务。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研发阶段</w:t>
            </w:r>
          </w:p>
        </w:tc>
        <w:tc>
          <w:tcPr>
            <w:tcBorders>
              <w:top w:val="single" w:sz="4"/>
              <w:left w:val="single" w:sz="4"/>
            </w:tcBorders>
            <w:shd w:val="clear" w:color="auto" w:fill="FFFFFF"/>
            <w:vAlign w:val="center"/>
          </w:tcPr>
          <w:p>
            <w:pPr>
              <w:pStyle w:val="Style2"/>
              <w:keepNext w:val="0"/>
              <w:keepLines w:val="0"/>
              <w:widowControl w:val="0"/>
              <w:numPr>
                <w:ilvl w:val="0"/>
                <w:numId w:val="57"/>
              </w:numPr>
              <w:shd w:val="clear" w:color="auto" w:fill="auto"/>
              <w:tabs>
                <w:tab w:pos="504" w:val="left"/>
              </w:tabs>
              <w:bidi w:val="0"/>
              <w:spacing w:before="0" w:after="0" w:line="315" w:lineRule="exact"/>
              <w:ind w:left="0" w:right="0" w:firstLine="380"/>
              <w:jc w:val="both"/>
            </w:pPr>
            <w:r>
              <w:rPr>
                <w:color w:val="000000"/>
                <w:spacing w:val="0"/>
                <w:w w:val="100"/>
                <w:position w:val="0"/>
              </w:rPr>
              <w:t>智慧政务综合应用平台包括电子政务门户管理 系统、电子政务大数据应用平台、党务数据管理系统、 智慧政务问答系统、政务服务智能留言平台等个功能 模块。</w:t>
            </w:r>
          </w:p>
          <w:p>
            <w:pPr>
              <w:pStyle w:val="Style2"/>
              <w:keepNext w:val="0"/>
              <w:keepLines w:val="0"/>
              <w:widowControl w:val="0"/>
              <w:numPr>
                <w:ilvl w:val="0"/>
                <w:numId w:val="57"/>
              </w:numPr>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运用信息和网络技术，整合、分析政务各平台 信息数据和事项数据，实现政务的智慧运行和管理， 以服务为民为切入点，处理市民服务需求的咨询、办 理和跟踪反馈等，实现服务需求的规范化受理、高效 率处置调度等，进一步提升社会服务和管理能力。</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59"/>
              </w:numPr>
              <w:shd w:val="clear" w:color="auto" w:fill="auto"/>
              <w:tabs>
                <w:tab w:pos="514" w:val="left"/>
              </w:tabs>
              <w:bidi w:val="0"/>
              <w:spacing w:before="0" w:after="0" w:line="313" w:lineRule="exact"/>
              <w:ind w:left="0" w:right="0" w:firstLine="380"/>
              <w:jc w:val="both"/>
            </w:pPr>
            <w:r>
              <w:rPr>
                <w:color w:val="000000"/>
                <w:spacing w:val="0"/>
                <w:w w:val="100"/>
                <w:position w:val="0"/>
              </w:rPr>
              <w:t>随着全球新一轮科技革命和我国深化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放管服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改革 的不断推进，政务服务数字化不仅是个大趋势，更是提升 数字政府治理能力的重要手段。在电子政务进入数字化时 代的背景下，根据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行业应用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的模式建设智慧政务 综合应用平台，面向企业和群众，实现数据搜索即搜即有、 办事问题智能问答等功能，进一步降低企业和群众办事的 复杂度。</w:t>
            </w:r>
          </w:p>
          <w:p>
            <w:pPr>
              <w:pStyle w:val="Style2"/>
              <w:keepNext w:val="0"/>
              <w:keepLines w:val="0"/>
              <w:widowControl w:val="0"/>
              <w:numPr>
                <w:ilvl w:val="0"/>
                <w:numId w:val="59"/>
              </w:numPr>
              <w:shd w:val="clear" w:color="auto" w:fill="auto"/>
              <w:tabs>
                <w:tab w:pos="509" w:val="left"/>
              </w:tabs>
              <w:bidi w:val="0"/>
              <w:spacing w:before="0" w:after="0" w:line="316" w:lineRule="exact"/>
              <w:ind w:left="0" w:right="0" w:firstLine="380"/>
              <w:jc w:val="both"/>
            </w:pPr>
            <w:r>
              <w:rPr>
                <w:color w:val="000000"/>
                <w:spacing w:val="0"/>
                <w:w w:val="100"/>
                <w:position w:val="0"/>
              </w:rPr>
              <w:t>智慧政务综合应用平台以服务对象为中心，以数据 共享为基础，强调作为平台的政府架构，并以此为基础实 现政府多方协同的公共价值塑造，让传统政府向廉洁、勤 政、务实和高效政府转变，提升政府内部工作效率，为企 业和公众的提供高效服务。</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智慧校园</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信息系统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升级项目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建设智慧校园信息系统升级项目，以先 进的计算机技术、网络技术对智慧校园信息 系统进行功能优化升级，使其适应新时代信 息数字化的需求，信息系统互联互通、教育 模式创新，推动优质教育资源的共享应用。 智慧校园信息系统升级项目利用先进的信 息化手段和工具，将现实校园的各项资源信 息化形成的一个数字化空间，使得现实校园 在时间和空间上延伸开来，以满足学校教育 和管理的需求，多层次、多家度地涵括了学 校课程、教材、学生管理等多项工作。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研发完成</w:t>
            </w:r>
          </w:p>
        </w:tc>
        <w:tc>
          <w:tcPr>
            <w:tcBorders>
              <w:top w:val="single" w:sz="4"/>
              <w:left w:val="single" w:sz="4"/>
            </w:tcBorders>
            <w:shd w:val="clear" w:color="auto" w:fill="FFFFFF"/>
            <w:vAlign w:val="center"/>
          </w:tcPr>
          <w:p>
            <w:pPr>
              <w:pStyle w:val="Style2"/>
              <w:keepNext w:val="0"/>
              <w:keepLines w:val="0"/>
              <w:widowControl w:val="0"/>
              <w:numPr>
                <w:ilvl w:val="0"/>
                <w:numId w:val="61"/>
              </w:numPr>
              <w:shd w:val="clear" w:color="auto" w:fill="auto"/>
              <w:tabs>
                <w:tab w:pos="499" w:val="left"/>
              </w:tabs>
              <w:bidi w:val="0"/>
              <w:spacing w:before="0" w:after="0" w:line="314" w:lineRule="exact"/>
              <w:ind w:left="0" w:right="0" w:firstLine="380"/>
              <w:jc w:val="both"/>
            </w:pPr>
            <w:r>
              <w:rPr>
                <w:color w:val="000000"/>
                <w:spacing w:val="0"/>
                <w:w w:val="100"/>
                <w:position w:val="0"/>
              </w:rPr>
              <w:t>智慧校园信息系统升级项目包括</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端的在线 学习平台、教材管理、学生活动轨迹等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个功能模块 和微信端的智慧校园等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个功能模块。</w:t>
            </w:r>
          </w:p>
          <w:p>
            <w:pPr>
              <w:pStyle w:val="Style2"/>
              <w:keepNext w:val="0"/>
              <w:keepLines w:val="0"/>
              <w:widowControl w:val="0"/>
              <w:numPr>
                <w:ilvl w:val="0"/>
                <w:numId w:val="61"/>
              </w:numPr>
              <w:shd w:val="clear" w:color="auto" w:fill="auto"/>
              <w:tabs>
                <w:tab w:pos="504" w:val="left"/>
              </w:tabs>
              <w:bidi w:val="0"/>
              <w:spacing w:before="0" w:after="0" w:line="315" w:lineRule="exact"/>
              <w:ind w:left="0" w:right="0" w:firstLine="380"/>
              <w:jc w:val="both"/>
            </w:pPr>
            <w:r>
              <w:rPr>
                <w:color w:val="000000"/>
                <w:spacing w:val="0"/>
                <w:w w:val="100"/>
                <w:position w:val="0"/>
              </w:rPr>
              <w:t>实现“互联网+教育”的学习方式，通过线上和 线下相结合的混合式的管理方式，使“教”和“学” 场所、时间不会被局限在一个固定的空间和时间内。 结合网络技术搭建的智慧校园信息系统是数字教育 资源交流共享的平台，是创新型教学方式的演练空 间，有助于个性化教育的发展。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近年来，全球掀起了以“智慧”为主题，以信息技术 为支撑的全行业变革。尤其是教育行业，时代变化的大背 景下，也在进行着全方位的变革。具有智慧技术、智慧应 用、智慧管理等特征的智慧校园信息系统已经成为教育信 息化新的建设热点。</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城市精细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化治理应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面向政府职能部门大屏可视化环境，具 备优秀的大数据显示性能以及多机协同管 理机制，可良好支持大屏、多屏、超大分辨 率等显示情景。支持整合城市各部门现有信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在线政务支撑平台包括数据与权限管理系统 （目录管理、权限管理、人员管理、角色管理、接口 管理、系统消息管理）、设备管理系统、行为感知监 测系统（行为异常监测、目标异常监测、场景变化监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城市大脑就像一个生命体一样，随着时间的推移而不 断积累，不断成长。若想让城市变得更加智慧，智慧城市 建设则成为不可或缺的一部分。城市化进程的加快使得城 市面临越来越多自然和人为问题，如何有效引导并协调城</w:t>
            </w:r>
          </w:p>
        </w:tc>
      </w:tr>
    </w:tbl>
    <w:p>
      <w:pPr>
        <w:spacing w:lineRule="exact" w:line="1"/>
        <w:rPr>
          <w:sz w:val="2"/>
          <w:szCs w:val="2"/>
        </w:rPr>
      </w:pPr>
      <w:r>
        <w:br w:type="page"/>
      </w:r>
    </w:p>
    <w:tbl>
      <w:tblPr>
        <w:tblOverlap w:val="never"/>
        <w:jc w:val="center"/>
        <w:tblLayout w:type="fixed"/>
      </w:tblPr>
      <w:tblGrid>
        <w:gridCol w:w="845"/>
        <w:gridCol w:w="3442"/>
        <w:gridCol w:w="994"/>
        <w:gridCol w:w="4181"/>
        <w:gridCol w:w="4570"/>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主要研发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352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息系统的数据资源，覆盖各业务领域，凭借 先进的人机交互方式，实现城市运行态势监 测、建设规划成果展示、应急监测指挥支持 等多种功能，可广泛应用于监测指挥、分析 研判、展示汇报等场景。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9" w:lineRule="exact"/>
              <w:ind w:left="0" w:right="0" w:firstLine="0"/>
              <w:jc w:val="both"/>
            </w:pPr>
            <w:r>
              <w:rPr>
                <w:color w:val="000000"/>
                <w:spacing w:val="0"/>
                <w:w w:val="100"/>
                <w:position w:val="0"/>
              </w:rPr>
              <w:t>测）、</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目标提取（建筑物提取、大棚提取、路网提 取、地块提取、水体提取、舰船提取、飞机提取、运 动场提取）、大数据辅助侦查系统等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个功能模块。</w:t>
            </w:r>
          </w:p>
          <w:p>
            <w:pPr>
              <w:pStyle w:val="Style2"/>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面向政府职能部门大屏可视化环境，具备优秀 的大数据显示性能以及多机协同管理机制，可良好支 持大屏、多屏、超大分辨率等显示情景。支持整合城 市各部门现有信息系统的数据资源，覆盖各业务领 域，凭借先进的人机交互方式，实现城市运行态势监 测、建设规划成果展示、应急监测指挥支持等多种功 能，可广泛应用于监测指挥、分析研判、展示汇报等 场景。</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市内各部门数据共享、智慧决策、及时有效的预防和应对 极端事件，成为了城市管理部门的首要研究课题。</w:t>
            </w:r>
          </w:p>
        </w:tc>
      </w:tr>
      <w:tr>
        <w:trPr>
          <w:trHeight w:val="38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社区公共</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服务综合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依托社区信息化手段和标准化建设，整 合社区公共服务信息资源，应用窗口服务、 电话服务和网络服务等形式，建设面向社区 居民的社区公共服务综合信息平台，更好地 发挥信息技术优势，全面提升办事服务功能 和管理服务功能、流程服务功能、资源共享 和整合服务功能、延伸服务功能等总体功能 等的规范性、便捷性、扩展性、前瞻性、安 全性，推动基层社会治理和服务创新。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研发完成</w:t>
            </w:r>
          </w:p>
        </w:tc>
        <w:tc>
          <w:tcPr>
            <w:tcBorders>
              <w:top w:val="single" w:sz="4"/>
              <w:left w:val="single" w:sz="4"/>
            </w:tcBorders>
            <w:shd w:val="clear" w:color="auto" w:fill="FFFFFF"/>
            <w:vAlign w:val="center"/>
          </w:tcPr>
          <w:p>
            <w:pPr>
              <w:pStyle w:val="Style2"/>
              <w:keepNext w:val="0"/>
              <w:keepLines w:val="0"/>
              <w:widowControl w:val="0"/>
              <w:numPr>
                <w:ilvl w:val="0"/>
                <w:numId w:val="63"/>
              </w:numPr>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社区公共服务综合信息平台包括管理平台（网 格化信息管理、网上事项办理、信息发布、在线咨询）、 服务平台（网格服务、热线呼叫）、审批平台（业务 受理平台、自助服务平台）等功能。</w:t>
            </w:r>
          </w:p>
          <w:p>
            <w:pPr>
              <w:pStyle w:val="Style2"/>
              <w:keepNext w:val="0"/>
              <w:keepLines w:val="0"/>
              <w:widowControl w:val="0"/>
              <w:numPr>
                <w:ilvl w:val="0"/>
                <w:numId w:val="63"/>
              </w:numPr>
              <w:shd w:val="clear" w:color="auto" w:fill="auto"/>
              <w:tabs>
                <w:tab w:pos="499" w:val="left"/>
              </w:tabs>
              <w:bidi w:val="0"/>
              <w:spacing w:before="0" w:after="0" w:line="317" w:lineRule="exact"/>
              <w:ind w:left="0" w:right="0" w:firstLine="380"/>
              <w:jc w:val="both"/>
            </w:pPr>
            <w:r>
              <w:rPr>
                <w:color w:val="000000"/>
                <w:spacing w:val="0"/>
                <w:w w:val="100"/>
                <w:position w:val="0"/>
              </w:rPr>
              <w:t>社区公共服务综合信息平台依托信息化手段和 标准化建设，整合公共服务信息资源，采取窗口服务、 电话服务和网络服务等形式，面向社区居民提供基本 公共服务的平台。</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65"/>
              </w:numPr>
              <w:shd w:val="clear" w:color="auto" w:fill="auto"/>
              <w:tabs>
                <w:tab w:pos="499" w:val="left"/>
              </w:tabs>
              <w:bidi w:val="0"/>
              <w:spacing w:before="0" w:after="0" w:line="314" w:lineRule="exact"/>
              <w:ind w:left="0" w:right="0" w:firstLine="380"/>
              <w:jc w:val="left"/>
            </w:pPr>
            <w:r>
              <w:rPr>
                <w:color w:val="000000"/>
                <w:spacing w:val="0"/>
                <w:w w:val="100"/>
                <w:position w:val="0"/>
              </w:rPr>
              <w:t>社区公共服务综合信息平台是利用先进计算机技术 结合地理信息系统等建设的信息化系统，有效解决社区信 息化统筹规划薄弱、建设经费投入分散、跨部门业务协同 和信息共享不足等长期制约社区信息化发展的瓶颈问题。</w:t>
            </w:r>
          </w:p>
          <w:p>
            <w:pPr>
              <w:pStyle w:val="Style2"/>
              <w:keepNext w:val="0"/>
              <w:keepLines w:val="0"/>
              <w:widowControl w:val="0"/>
              <w:numPr>
                <w:ilvl w:val="0"/>
                <w:numId w:val="65"/>
              </w:numPr>
              <w:shd w:val="clear" w:color="auto" w:fill="auto"/>
              <w:tabs>
                <w:tab w:pos="504" w:val="left"/>
              </w:tabs>
              <w:bidi w:val="0"/>
              <w:spacing w:before="0" w:after="0" w:line="313" w:lineRule="exact"/>
              <w:ind w:left="0" w:right="0" w:firstLine="380"/>
              <w:jc w:val="left"/>
            </w:pPr>
            <w:r>
              <w:rPr>
                <w:color w:val="000000"/>
                <w:spacing w:val="0"/>
                <w:w w:val="100"/>
                <w:position w:val="0"/>
              </w:rPr>
              <w:t>社区公共服务综合信息平台的投入使用，有利于扩 大政务信息共享，降低行政管理成本，增强行政运行效能， 推动基层政府向服务型政府转型；有利于减轻社区组织的 工作负担，改善社区组织的工作条件，优化社区自治环境， 提升社区服务和管理能力；有利于保障基本公共服务均等 供给，改进基本公共服务提供方式，拓展社区服务内容和 领域，为建立多元化、多层次的社区服务体系打下良好基 础。</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数字乡村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综合管理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数字乡村是数字化在农业农村经济社 会发展中的应用，既是乡村振兴的战略方 向，也是建设数字中国的重要内容。数字乡 村建设可以有效提升乡村治理水平。乡村治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研发阶段</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67"/>
              </w:numPr>
              <w:shd w:val="clear" w:color="auto" w:fill="auto"/>
              <w:tabs>
                <w:tab w:pos="494" w:val="left"/>
              </w:tabs>
              <w:bidi w:val="0"/>
              <w:spacing w:before="0" w:after="40" w:line="312" w:lineRule="exact"/>
              <w:ind w:left="0" w:right="0" w:firstLine="380"/>
              <w:jc w:val="both"/>
            </w:pPr>
            <w:r>
              <w:rPr>
                <w:color w:val="000000"/>
                <w:spacing w:val="0"/>
                <w:w w:val="100"/>
                <w:position w:val="0"/>
              </w:rPr>
              <w:t>数字乡村综合管理项目包括乡村信息公开管理 系统、乡村生态管理系统、乡村综合治理管理系统、 乡村教育培训管理系统等功能。</w:t>
            </w:r>
          </w:p>
          <w:p>
            <w:pPr>
              <w:pStyle w:val="Style2"/>
              <w:keepNext w:val="0"/>
              <w:keepLines w:val="0"/>
              <w:widowControl w:val="0"/>
              <w:numPr>
                <w:ilvl w:val="0"/>
                <w:numId w:val="67"/>
              </w:numPr>
              <w:shd w:val="clear" w:color="auto" w:fill="auto"/>
              <w:tabs>
                <w:tab w:pos="529" w:val="left"/>
              </w:tabs>
              <w:bidi w:val="0"/>
              <w:spacing w:before="0" w:after="0" w:line="312" w:lineRule="exact"/>
              <w:ind w:left="0" w:right="0" w:firstLine="380"/>
              <w:jc w:val="both"/>
            </w:pPr>
            <w:r>
              <w:rPr>
                <w:color w:val="000000"/>
                <w:spacing w:val="0"/>
                <w:w w:val="100"/>
                <w:position w:val="0"/>
              </w:rPr>
              <w:t>数字乡村综合管理项目借助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伴随网络化、信息化和数字化在农业农村经济社会 发展中的应用，以及农民现代信息技能的提高而产生的农 业农村现代化发展和转型进程，既是乡村振兴的战略方向， 也是建设数字中国的重要内容。数字乡村综合管理项目的</w:t>
            </w:r>
          </w:p>
        </w:tc>
      </w:tr>
    </w:tbl>
    <w:p>
      <w:pPr>
        <w:spacing w:lineRule="exact" w:line="1"/>
        <w:rPr>
          <w:sz w:val="2"/>
          <w:szCs w:val="2"/>
        </w:rPr>
      </w:pPr>
      <w:r>
        <w:br w:type="page"/>
      </w:r>
    </w:p>
    <w:tbl>
      <w:tblPr>
        <w:tblOverlap w:val="never"/>
        <w:jc w:val="center"/>
        <w:tblLayout w:type="fixed"/>
      </w:tblPr>
      <w:tblGrid>
        <w:gridCol w:w="845"/>
        <w:gridCol w:w="3442"/>
        <w:gridCol w:w="994"/>
        <w:gridCol w:w="4181"/>
        <w:gridCol w:w="4570"/>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主要研发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258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理是国家治理的基础，是源头治理、综合治 理的重要组成部分。运用物联网思维与技 术，将有利于实现治理手段技术化、治理方 式规范化、治理内容多元化、治理主体协同 化，完善乡村治理体系。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立健全乡村治理体制机制，充分发挥村民协商形式的 积极作用；加强对农村基层干部监督管理，规范小微 权力行使，深化法治乡村创建。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建设推动农村产业发展壮大，进一步优化乡村产业布局。</w:t>
            </w:r>
          </w:p>
          <w:p>
            <w:pPr>
              <w:pStyle w:val="Style2"/>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通过数字乡村综合管理项目建设，加快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 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向乡村延伸，为实现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自治、共治、他治、民治、 智治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提供助力，推进基层治理现代化，也为村居环境改善、 乡村经营状况提升、乡村治理智慧化等全方位工作带来改 变，引领基层治理模式变革。全面建成数字乡村，助力乡 村全面振兴，全面实现农业强、农村美、农民富，是农业 农村发展的重要内容。</w:t>
            </w: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数据采集 与可视化 应用管理 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传统的城市管理手段和方式与城市建 设相比明显落后，严重制约城市的发展，阻 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信息化城市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的建设步伐。新的城市管理 方法</w:t>
            </w:r>
            <w:r>
              <w:rPr>
                <w:color w:val="000000"/>
                <w:spacing w:val="0"/>
                <w:w w:val="100"/>
                <w:position w:val="0"/>
                <w:sz w:val="18"/>
                <w:szCs w:val="18"/>
              </w:rPr>
              <w:t>一</w:t>
            </w:r>
            <w:r>
              <w:rPr>
                <w:color w:val="000000"/>
                <w:spacing w:val="0"/>
                <w:w w:val="100"/>
                <w:position w:val="0"/>
              </w:rPr>
              <w:t>一城市网格化管理</w:t>
            </w:r>
            <w:r>
              <w:rPr>
                <w:color w:val="000000"/>
                <w:spacing w:val="0"/>
                <w:w w:val="100"/>
                <w:position w:val="0"/>
                <w:sz w:val="18"/>
                <w:szCs w:val="18"/>
              </w:rPr>
              <w:t>，</w:t>
            </w:r>
            <w:r>
              <w:rPr>
                <w:color w:val="000000"/>
                <w:spacing w:val="0"/>
                <w:w w:val="100"/>
                <w:position w:val="0"/>
              </w:rPr>
              <w:t>可大大提高城市 管理效率，将是</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世纪城市管理的主导模 式。网格化图层采集管理是城市网格化管理 系统运行的前提及基础，因此要建立一个高 效的城市网格化管理系统就必须进行图层 数据的采集与处理，区域采集的准确性将直 接影响到城市网格化管理系统的效果。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研发阶段</w:t>
            </w:r>
          </w:p>
        </w:tc>
        <w:tc>
          <w:tcPr>
            <w:tcBorders>
              <w:top w:val="single" w:sz="4"/>
              <w:left w:val="single" w:sz="4"/>
            </w:tcBorders>
            <w:shd w:val="clear" w:color="auto" w:fill="FFFFFF"/>
            <w:vAlign w:val="center"/>
          </w:tcPr>
          <w:p>
            <w:pPr>
              <w:pStyle w:val="Style2"/>
              <w:keepNext w:val="0"/>
              <w:keepLines w:val="0"/>
              <w:widowControl w:val="0"/>
              <w:numPr>
                <w:ilvl w:val="0"/>
                <w:numId w:val="69"/>
              </w:numPr>
              <w:shd w:val="clear" w:color="auto" w:fill="auto"/>
              <w:tabs>
                <w:tab w:pos="494" w:val="left"/>
              </w:tabs>
              <w:bidi w:val="0"/>
              <w:spacing w:before="0" w:after="0" w:line="314" w:lineRule="exact"/>
              <w:ind w:left="0" w:right="0" w:firstLine="380"/>
              <w:jc w:val="both"/>
            </w:pPr>
            <w:r>
              <w:rPr>
                <w:color w:val="000000"/>
                <w:spacing w:val="0"/>
                <w:w w:val="100"/>
                <w:position w:val="0"/>
              </w:rPr>
              <w:t>数据采集与可视化应用管理项目包括图层采集 管理系统、工作流程配置系统、数据可视化配置系统 等功能。</w:t>
            </w:r>
          </w:p>
          <w:p>
            <w:pPr>
              <w:pStyle w:val="Style2"/>
              <w:keepNext w:val="0"/>
              <w:keepLines w:val="0"/>
              <w:widowControl w:val="0"/>
              <w:numPr>
                <w:ilvl w:val="0"/>
                <w:numId w:val="69"/>
              </w:numPr>
              <w:shd w:val="clear" w:color="auto" w:fill="auto"/>
              <w:tabs>
                <w:tab w:pos="514" w:val="left"/>
              </w:tabs>
              <w:bidi w:val="0"/>
              <w:spacing w:before="0" w:after="0" w:line="315" w:lineRule="exact"/>
              <w:ind w:left="0" w:right="0" w:firstLine="380"/>
              <w:jc w:val="both"/>
            </w:pPr>
            <w:r>
              <w:rPr>
                <w:color w:val="000000"/>
                <w:spacing w:val="0"/>
                <w:w w:val="100"/>
                <w:position w:val="0"/>
              </w:rPr>
              <w:t>数据采集与可视化应用管理项目借助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互联网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技术，建立起灵活高效的社区网格管理组织对其进 行管理，建立精细化、全覆盖、高效率的社区管理模 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随着社区网格化的普及，社区办事效率普遍提高；信 息碎片化严重，部门与部门之间采集信息规范不一致，信 息传达速度慢，容易失真等问题。如何提高网格内事务处 理效率，成为社区网格化管理的关键。</w:t>
            </w:r>
          </w:p>
        </w:tc>
      </w:tr>
      <w:tr>
        <w:trPr>
          <w:trHeight w:val="290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乡村振兴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促发展管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理平台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数字乡村是数字化在农业农村经济社 会发展中的应用，既是乡村振兴的战略方 向，也是建设数字中国的重要内容。数字乡 村建设可以有效提升乡村治理水平。乡村治 理是国家治理的基础，是源头治理、综合治 理的重要组成部分。运用物联网思维与技 术，将有利于实现治理手段技术化、治理方 式规范化、治理内容多元化、治理主体协同 化，完善乡村治理体系。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研发阶段</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71"/>
              </w:numPr>
              <w:shd w:val="clear" w:color="auto" w:fill="auto"/>
              <w:tabs>
                <w:tab w:pos="509" w:val="left"/>
              </w:tabs>
              <w:bidi w:val="0"/>
              <w:spacing w:before="0" w:after="0" w:line="312" w:lineRule="exact"/>
              <w:ind w:left="0" w:right="0" w:firstLine="380"/>
              <w:jc w:val="both"/>
            </w:pPr>
            <w:r>
              <w:rPr>
                <w:color w:val="000000"/>
                <w:spacing w:val="0"/>
                <w:w w:val="100"/>
                <w:position w:val="0"/>
              </w:rPr>
              <w:t>乡村振兴促发展管理平台包括包含功能就业管 理、环境整治管理、精准扶贫管理、党建管理、乡村 文化管理、养老管理、基础建设管理等功能模块。</w:t>
            </w:r>
          </w:p>
          <w:p>
            <w:pPr>
              <w:pStyle w:val="Style2"/>
              <w:keepNext w:val="0"/>
              <w:keepLines w:val="0"/>
              <w:widowControl w:val="0"/>
              <w:numPr>
                <w:ilvl w:val="0"/>
                <w:numId w:val="71"/>
              </w:numPr>
              <w:shd w:val="clear" w:color="auto" w:fill="auto"/>
              <w:tabs>
                <w:tab w:pos="499" w:val="left"/>
              </w:tabs>
              <w:bidi w:val="0"/>
              <w:spacing w:before="0" w:after="0" w:line="314" w:lineRule="exact"/>
              <w:ind w:left="0" w:right="0" w:firstLine="380"/>
              <w:jc w:val="both"/>
            </w:pPr>
            <w:r>
              <w:rPr>
                <w:color w:val="000000"/>
                <w:spacing w:val="0"/>
                <w:w w:val="100"/>
                <w:position w:val="0"/>
              </w:rPr>
              <w:t>数字乡村是数字化在农业农村经济社会发展中 的应用，既是乡村振兴的战略方向，也是建设数字中 国的重要内容。数字乡村建设可以有效提升乡村治理 水平。乡村治理是国家治理的基础，是源头治理、综 合治理的重要组成部分。运用物联网思维与技术，将 有利于实现治理手段技术化、治理方式规范化、治理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年，中国数字乡村建设加快推进，发布《数字农 业农村发展规划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年数字乡村发展 工作要点》，浙江、河北、江苏、山东、湖南、广东等</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个省份相继出台数字乡村发展政策文件，政策体系更加完 善，统筹协调、整体推进的工作格局初步形成。全面建成 数字乡村，助力乡村全面振兴，全面实现农业强、农村美、 农民富，是农业农村发展的重要内容。</w:t>
            </w:r>
          </w:p>
        </w:tc>
      </w:tr>
    </w:tbl>
    <w:p>
      <w:pPr>
        <w:spacing w:lineRule="exact" w:line="1"/>
        <w:rPr>
          <w:sz w:val="2"/>
          <w:szCs w:val="2"/>
        </w:rPr>
      </w:pPr>
      <w:r>
        <w:br w:type="page"/>
      </w:r>
    </w:p>
    <w:tbl>
      <w:tblPr>
        <w:tblOverlap w:val="never"/>
        <w:jc w:val="center"/>
        <w:tblLayout w:type="fixed"/>
      </w:tblPr>
      <w:tblGrid>
        <w:gridCol w:w="845"/>
        <w:gridCol w:w="3442"/>
        <w:gridCol w:w="994"/>
        <w:gridCol w:w="4181"/>
        <w:gridCol w:w="4570"/>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主要研发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内容多元化、治理主体协同化，完善乡村治理体系。</w:t>
            </w:r>
          </w:p>
        </w:tc>
        <w:tc>
          <w:tcPr>
            <w:tcBorders>
              <w:top w:val="single" w:sz="4"/>
              <w:left w:val="single" w:sz="4"/>
              <w:right w:val="single" w:sz="4"/>
            </w:tcBorders>
            <w:shd w:val="clear" w:color="auto" w:fill="FFFFFF"/>
            <w:vAlign w:val="top"/>
          </w:tcPr>
          <w:p>
            <w:pPr>
              <w:widowControl w:val="0"/>
              <w:rPr>
                <w:sz w:val="10"/>
                <w:szCs w:val="10"/>
              </w:rPr>
            </w:pPr>
          </w:p>
        </w:tc>
      </w:tr>
      <w:tr>
        <w:trPr>
          <w:trHeight w:val="266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基于视频 通讯的多 级指挥实 时调度应 用系统与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结合当前的音视频技术发展趋势以及 应急部门实际的应用诉求，建设基于视频通 讯的多级指挥实时调度应用系统，为应急决 策各部门提供更加丰富的现场信息、救援资 源信息。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研发完成</w:t>
            </w:r>
          </w:p>
        </w:tc>
        <w:tc>
          <w:tcPr>
            <w:tcBorders>
              <w:top w:val="single" w:sz="4"/>
              <w:left w:val="single" w:sz="4"/>
            </w:tcBorders>
            <w:shd w:val="clear" w:color="auto" w:fill="FFFFFF"/>
            <w:vAlign w:val="center"/>
          </w:tcPr>
          <w:p>
            <w:pPr>
              <w:pStyle w:val="Style2"/>
              <w:keepNext w:val="0"/>
              <w:keepLines w:val="0"/>
              <w:widowControl w:val="0"/>
              <w:numPr>
                <w:ilvl w:val="0"/>
                <w:numId w:val="73"/>
              </w:numPr>
              <w:shd w:val="clear" w:color="auto" w:fill="auto"/>
              <w:tabs>
                <w:tab w:pos="504" w:val="left"/>
              </w:tabs>
              <w:bidi w:val="0"/>
              <w:spacing w:before="0" w:after="0" w:line="319" w:lineRule="exact"/>
              <w:ind w:left="0" w:right="0" w:firstLine="380"/>
              <w:jc w:val="both"/>
            </w:pPr>
            <w:r>
              <w:rPr>
                <w:color w:val="000000"/>
                <w:spacing w:val="0"/>
                <w:w w:val="100"/>
                <w:position w:val="0"/>
              </w:rPr>
              <w:t>构建实时通讯平台，实现多人实时在线视频通 讯，富媒体交流通讯，进一步提升系统通讯能力和响 应速度。</w:t>
            </w:r>
          </w:p>
          <w:p>
            <w:pPr>
              <w:pStyle w:val="Style2"/>
              <w:keepNext w:val="0"/>
              <w:keepLines w:val="0"/>
              <w:widowControl w:val="0"/>
              <w:numPr>
                <w:ilvl w:val="0"/>
                <w:numId w:val="73"/>
              </w:numPr>
              <w:shd w:val="clear" w:color="auto" w:fill="auto"/>
              <w:tabs>
                <w:tab w:pos="494" w:val="left"/>
              </w:tabs>
              <w:bidi w:val="0"/>
              <w:spacing w:before="0" w:after="0" w:line="319" w:lineRule="exact"/>
              <w:ind w:left="0" w:right="0" w:firstLine="380"/>
              <w:jc w:val="both"/>
            </w:pPr>
            <w:r>
              <w:rPr>
                <w:color w:val="000000"/>
                <w:spacing w:val="0"/>
                <w:w w:val="100"/>
                <w:position w:val="0"/>
              </w:rPr>
              <w:t>提升系统存储能力，提供视频存储与读取功能， 构建视频云平台。</w:t>
            </w:r>
          </w:p>
          <w:p>
            <w:pPr>
              <w:pStyle w:val="Style2"/>
              <w:keepNext w:val="0"/>
              <w:keepLines w:val="0"/>
              <w:widowControl w:val="0"/>
              <w:numPr>
                <w:ilvl w:val="0"/>
                <w:numId w:val="73"/>
              </w:numPr>
              <w:shd w:val="clear" w:color="auto" w:fill="auto"/>
              <w:tabs>
                <w:tab w:pos="499" w:val="left"/>
              </w:tabs>
              <w:bidi w:val="0"/>
              <w:spacing w:before="0" w:after="0" w:line="319" w:lineRule="exact"/>
              <w:ind w:left="0" w:right="0" w:firstLine="380"/>
              <w:jc w:val="both"/>
            </w:pPr>
            <w:r>
              <w:rPr>
                <w:color w:val="000000"/>
                <w:spacing w:val="0"/>
                <w:w w:val="100"/>
                <w:position w:val="0"/>
              </w:rPr>
              <w:t>针对系统不同角色用户进行分级管理，实现多 级实时指挥调度，提升系统调度沟通的性能体验，确 保系统信息安全与办事效率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380"/>
              <w:jc w:val="both"/>
            </w:pPr>
            <w:r>
              <w:rPr>
                <w:color w:val="000000"/>
                <w:spacing w:val="0"/>
                <w:w w:val="100"/>
                <w:position w:val="0"/>
              </w:rPr>
              <w:t>顺应移动互联网和人工智能技术发展趋势，打造内容 管理高效安全的信息平台，优化系统架构，提升系统对于 治理数据存储的安全性和保密性。借助区块链的零信任无 中心化，数据真实不可篡改且隐私安全等特点，重新打造 系统数据的信用系统，为客户提供更安全的便利服务</w:t>
            </w:r>
          </w:p>
        </w:tc>
      </w:tr>
      <w:tr>
        <w:trPr>
          <w:trHeight w:val="26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图形 单体化的 深度学习 与技术应 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图形单体化的深度学习与技术应用 将配套的二维矢量面与倾斜摄影模型加载 到同一场景中，在渲染模型数据时把矢量面 贴到倾斜模型对象表面，然后设置矢量面的 颜色和透明度，从而实现可以单独选中地物 的效果。并将</w:t>
            </w: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图形单体化的研究成果与 城市大数据运营结合起来，升级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城市大脑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平台，为城市治理提供信息化支撑。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研发完成</w:t>
            </w:r>
          </w:p>
        </w:tc>
        <w:tc>
          <w:tcPr>
            <w:tcBorders>
              <w:top w:val="single" w:sz="4"/>
              <w:left w:val="single" w:sz="4"/>
            </w:tcBorders>
            <w:shd w:val="clear" w:color="auto" w:fill="FFFFFF"/>
            <w:vAlign w:val="center"/>
          </w:tcPr>
          <w:p>
            <w:pPr>
              <w:pStyle w:val="Style2"/>
              <w:keepNext w:val="0"/>
              <w:keepLines w:val="0"/>
              <w:widowControl w:val="0"/>
              <w:numPr>
                <w:ilvl w:val="0"/>
                <w:numId w:val="75"/>
              </w:numPr>
              <w:shd w:val="clear" w:color="auto" w:fill="auto"/>
              <w:tabs>
                <w:tab w:pos="499" w:val="left"/>
              </w:tabs>
              <w:bidi w:val="0"/>
              <w:spacing w:before="0" w:after="0" w:line="322" w:lineRule="exact"/>
              <w:ind w:left="0" w:right="0" w:firstLine="380"/>
              <w:jc w:val="both"/>
            </w:pPr>
            <w:r>
              <w:rPr>
                <w:color w:val="000000"/>
                <w:spacing w:val="0"/>
                <w:w w:val="100"/>
                <w:position w:val="0"/>
              </w:rPr>
              <w:t>优化系统架构，构建平台</w:t>
            </w: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数据库，提升数据 库资源利用能力。</w:t>
            </w:r>
          </w:p>
          <w:p>
            <w:pPr>
              <w:pStyle w:val="Style2"/>
              <w:keepNext w:val="0"/>
              <w:keepLines w:val="0"/>
              <w:widowControl w:val="0"/>
              <w:numPr>
                <w:ilvl w:val="0"/>
                <w:numId w:val="75"/>
              </w:numPr>
              <w:shd w:val="clear" w:color="auto" w:fill="auto"/>
              <w:tabs>
                <w:tab w:pos="504" w:val="left"/>
              </w:tabs>
              <w:bidi w:val="0"/>
              <w:spacing w:before="0" w:after="0" w:line="317" w:lineRule="exact"/>
              <w:ind w:left="0" w:right="0" w:firstLine="380"/>
              <w:jc w:val="both"/>
            </w:pPr>
            <w:r>
              <w:rPr>
                <w:color w:val="000000"/>
                <w:spacing w:val="0"/>
                <w:w w:val="100"/>
                <w:position w:val="0"/>
              </w:rPr>
              <w:t>实现建筑模型动态单体化，并与智慧城市、智 慧交通、智慧医疗等系统深度结合起来，实现用户数 据的精准匹配和高效利用。</w:t>
            </w:r>
          </w:p>
          <w:p>
            <w:pPr>
              <w:pStyle w:val="Style2"/>
              <w:keepNext w:val="0"/>
              <w:keepLines w:val="0"/>
              <w:widowControl w:val="0"/>
              <w:numPr>
                <w:ilvl w:val="0"/>
                <w:numId w:val="75"/>
              </w:numPr>
              <w:shd w:val="clear" w:color="auto" w:fill="auto"/>
              <w:tabs>
                <w:tab w:pos="499" w:val="left"/>
              </w:tabs>
              <w:bidi w:val="0"/>
              <w:spacing w:before="0" w:after="0" w:line="322" w:lineRule="exact"/>
              <w:ind w:left="0" w:right="0" w:firstLine="380"/>
              <w:jc w:val="both"/>
            </w:pPr>
            <w:r>
              <w:rPr>
                <w:color w:val="000000"/>
                <w:spacing w:val="0"/>
                <w:w w:val="100"/>
                <w:position w:val="0"/>
              </w:rPr>
              <w:t>利用深度学习检测道路并转换为地理要素，提 升用户地理数据的治理与利用效率。</w:t>
            </w: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77"/>
              </w:numPr>
              <w:shd w:val="clear" w:color="auto" w:fill="auto"/>
              <w:tabs>
                <w:tab w:pos="499" w:val="left"/>
              </w:tabs>
              <w:bidi w:val="0"/>
              <w:spacing w:before="0" w:after="0" w:line="318" w:lineRule="exact"/>
              <w:ind w:left="0" w:right="0" w:firstLine="380"/>
              <w:jc w:val="both"/>
            </w:pP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图形单体化的深度学习与技术应用功能模块的 研究开发，包括建筑模型动态单体化子平台、地图热区收 集整理清洗子平台、数据挖掘深度学习子平台、基础信息 大数据分析子平台、城市大脑运营数据分析子平台、城市 大数据运营预警子平台、系统管理子系统等。</w:t>
            </w:r>
          </w:p>
          <w:p>
            <w:pPr>
              <w:pStyle w:val="Style2"/>
              <w:keepNext w:val="0"/>
              <w:keepLines w:val="0"/>
              <w:widowControl w:val="0"/>
              <w:numPr>
                <w:ilvl w:val="0"/>
                <w:numId w:val="77"/>
              </w:numPr>
              <w:shd w:val="clear" w:color="auto" w:fill="auto"/>
              <w:tabs>
                <w:tab w:pos="504" w:val="left"/>
              </w:tabs>
              <w:bidi w:val="0"/>
              <w:spacing w:before="0" w:after="0" w:line="318" w:lineRule="exact"/>
              <w:ind w:left="0" w:right="0" w:firstLine="380"/>
              <w:jc w:val="both"/>
            </w:pPr>
            <w:r>
              <w:rPr>
                <w:color w:val="000000"/>
                <w:spacing w:val="0"/>
                <w:w w:val="100"/>
                <w:position w:val="0"/>
              </w:rPr>
              <w:t>实现建筑模型动态单体化，并与智慧城市、智慧交 通、智慧医疗等系统深度结合起来，实现用户数据的精准 匹配和高效利用</w:t>
            </w:r>
          </w:p>
        </w:tc>
      </w:tr>
      <w:tr>
        <w:trPr>
          <w:trHeight w:val="317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区块链的 主体数据 技术与应</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用</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79"/>
              </w:numPr>
              <w:shd w:val="clear" w:color="auto" w:fill="auto"/>
              <w:tabs>
                <w:tab w:pos="504" w:val="left"/>
              </w:tabs>
              <w:bidi w:val="0"/>
              <w:spacing w:before="0" w:after="0" w:line="313" w:lineRule="exact"/>
              <w:ind w:left="0" w:right="0" w:firstLine="380"/>
              <w:jc w:val="both"/>
            </w:pP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区块链的主体数据技术与应 用功能模块的研究开发，包括统一工作台子 平台、数据挖掘子平台、综治数据管理子平 台、综治数据加密子平台、综治数据维护子 平台、系统管理系统等。</w:t>
            </w:r>
          </w:p>
          <w:p>
            <w:pPr>
              <w:pStyle w:val="Style2"/>
              <w:keepNext w:val="0"/>
              <w:keepLines w:val="0"/>
              <w:widowControl w:val="0"/>
              <w:numPr>
                <w:ilvl w:val="0"/>
                <w:numId w:val="79"/>
              </w:numPr>
              <w:shd w:val="clear" w:color="auto" w:fill="auto"/>
              <w:tabs>
                <w:tab w:pos="494" w:val="left"/>
              </w:tabs>
              <w:bidi w:val="0"/>
              <w:spacing w:before="0" w:after="0" w:line="317" w:lineRule="exact"/>
              <w:ind w:left="0" w:right="0" w:firstLine="380"/>
              <w:jc w:val="both"/>
            </w:pPr>
            <w:r>
              <w:rPr>
                <w:color w:val="000000"/>
                <w:spacing w:val="0"/>
                <w:w w:val="100"/>
                <w:position w:val="0"/>
              </w:rPr>
              <w:t>借助区块链的零信任无中心化，数据 真实不可篡改且隐私安全等特点，重新打造 系统数据的信用系统，为客户提供更安全的 便利服务。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研发完成</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81"/>
              </w:numPr>
              <w:shd w:val="clear" w:color="auto" w:fill="auto"/>
              <w:tabs>
                <w:tab w:pos="499" w:val="left"/>
              </w:tabs>
              <w:bidi w:val="0"/>
              <w:spacing w:before="0" w:after="0" w:line="312" w:lineRule="exact"/>
              <w:ind w:left="0" w:right="0" w:firstLine="380"/>
              <w:jc w:val="both"/>
            </w:pPr>
            <w:r>
              <w:rPr>
                <w:color w:val="000000"/>
                <w:spacing w:val="0"/>
                <w:w w:val="100"/>
                <w:position w:val="0"/>
              </w:rPr>
              <w:t>顺应移动互联网和人工智能技术发展趋势，打 造内容管理高效安全的信息平台，优化系统架构，提 升系统对于治理数据存储的安全性和保密性。</w:t>
            </w:r>
          </w:p>
          <w:p>
            <w:pPr>
              <w:pStyle w:val="Style2"/>
              <w:keepNext w:val="0"/>
              <w:keepLines w:val="0"/>
              <w:widowControl w:val="0"/>
              <w:numPr>
                <w:ilvl w:val="0"/>
                <w:numId w:val="81"/>
              </w:numPr>
              <w:shd w:val="clear" w:color="auto" w:fill="auto"/>
              <w:tabs>
                <w:tab w:pos="494" w:val="left"/>
              </w:tabs>
              <w:bidi w:val="0"/>
              <w:spacing w:before="0" w:after="0" w:line="319" w:lineRule="exact"/>
              <w:ind w:left="0" w:right="0" w:firstLine="380"/>
              <w:jc w:val="both"/>
            </w:pPr>
            <w:r>
              <w:rPr>
                <w:color w:val="000000"/>
                <w:spacing w:val="0"/>
                <w:w w:val="100"/>
                <w:position w:val="0"/>
              </w:rPr>
              <w:t>借助区块链的去中心化、数据真实不可篡改且 隐私安全等特点，重新打造系统数据的信用系统，为 客户提供更安全的数据管理。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伴随着大数据技术的发展完善以及企业数据分析意 识的提升，越来越多的行业尝试利用大数据技术指导生产 服务，深度挖掘用户数据价值，提升个性化服务的质量。 与大数据结合紧密的行业逐步从广告、营销领域向政务、 金融、医疗、教育、交通等领域广泛渗透，大数据正逐步 实现向全行业的拓展。区块链作为自动执行、开放透明的 去中心化网络协议，将确保价值互联网的规则被可信的执 行，并将带来一个新型契约时代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大数据作为数字经济时代 的核心生产资料，将决定了未来经济的发展质量，二者的 融合，不光将实现这两大产业的变迁，同时也将急剧加速</w:t>
            </w:r>
          </w:p>
        </w:tc>
      </w:tr>
    </w:tbl>
    <w:p>
      <w:pPr>
        <w:spacing w:lineRule="exact" w:line="1"/>
        <w:rPr>
          <w:sz w:val="2"/>
          <w:szCs w:val="2"/>
        </w:rPr>
      </w:pPr>
      <w:r>
        <w:br w:type="page"/>
      </w:r>
    </w:p>
    <w:tbl>
      <w:tblPr>
        <w:tblOverlap w:val="never"/>
        <w:jc w:val="center"/>
        <w:tblLayout w:type="fixed"/>
      </w:tblPr>
      <w:tblGrid>
        <w:gridCol w:w="845"/>
        <w:gridCol w:w="3442"/>
        <w:gridCol w:w="994"/>
        <w:gridCol w:w="4181"/>
        <w:gridCol w:w="4570"/>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主要研发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数字经济时代的到来。</w:t>
            </w: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社区村网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格化产品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通过社区村网格化产品的应用，形成及 时发现问题、协调有序、处置有力、监督有 效、事件快速响应、服务到位的完善服务运 行机制。使得社区服务管理力量下沉、及时 响应、资源整合、运转高效、实现社区服务 “零距离”、社区管理全“覆盖”、居民诉 求“全响应”，促进经济又好又快发展。建 立社区内部管理工作流程、网格员责任考 核、考评奖罚等配套制度。在网格员的监督 考核上，部分地区采取居民评议、街道奖惩 的办法，建立起工作奖罚和自然退出机制， 形成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社区有网、网中有格、格中定人、人 负其责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的网格化管理格局。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研发完成</w:t>
            </w:r>
          </w:p>
        </w:tc>
        <w:tc>
          <w:tcPr>
            <w:tcBorders>
              <w:top w:val="single" w:sz="4"/>
              <w:left w:val="single" w:sz="4"/>
            </w:tcBorders>
            <w:shd w:val="clear" w:color="auto" w:fill="FFFFFF"/>
            <w:vAlign w:val="center"/>
          </w:tcPr>
          <w:p>
            <w:pPr>
              <w:pStyle w:val="Style2"/>
              <w:keepNext w:val="0"/>
              <w:keepLines w:val="0"/>
              <w:widowControl w:val="0"/>
              <w:numPr>
                <w:ilvl w:val="0"/>
                <w:numId w:val="83"/>
              </w:numPr>
              <w:shd w:val="clear" w:color="auto" w:fill="auto"/>
              <w:tabs>
                <w:tab w:pos="499" w:val="left"/>
              </w:tabs>
              <w:bidi w:val="0"/>
              <w:spacing w:before="0" w:after="0" w:line="310" w:lineRule="exact"/>
              <w:ind w:left="0" w:right="0" w:firstLine="380"/>
              <w:jc w:val="both"/>
            </w:pPr>
            <w:r>
              <w:rPr>
                <w:color w:val="000000"/>
                <w:spacing w:val="0"/>
                <w:w w:val="100"/>
                <w:position w:val="0"/>
              </w:rPr>
              <w:t>社区村网格化产品实现了工作台子系统、实有 人口子系统、经济单位子系统、城市部件子系统、网 格一张图子系统、数据分析子系统、工作日志子系统、 实时监控子系统、系统管理子系统等</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个功能模块。</w:t>
            </w:r>
          </w:p>
          <w:p>
            <w:pPr>
              <w:pStyle w:val="Style2"/>
              <w:keepNext w:val="0"/>
              <w:keepLines w:val="0"/>
              <w:widowControl w:val="0"/>
              <w:numPr>
                <w:ilvl w:val="0"/>
                <w:numId w:val="83"/>
              </w:numPr>
              <w:shd w:val="clear" w:color="auto" w:fill="auto"/>
              <w:tabs>
                <w:tab w:pos="499" w:val="left"/>
              </w:tabs>
              <w:bidi w:val="0"/>
              <w:spacing w:before="0" w:after="0" w:line="326" w:lineRule="exact"/>
              <w:ind w:left="0" w:right="0" w:firstLine="380"/>
              <w:jc w:val="both"/>
            </w:pPr>
            <w:r>
              <w:rPr>
                <w:color w:val="000000"/>
                <w:spacing w:val="0"/>
                <w:w w:val="100"/>
                <w:position w:val="0"/>
              </w:rPr>
              <w:t>通过对社区管理的深入理解，开发了社区综合 信息管理应用系统、社区服务应用系统。</w:t>
            </w:r>
          </w:p>
          <w:p>
            <w:pPr>
              <w:pStyle w:val="Style2"/>
              <w:keepNext w:val="0"/>
              <w:keepLines w:val="0"/>
              <w:widowControl w:val="0"/>
              <w:numPr>
                <w:ilvl w:val="0"/>
                <w:numId w:val="83"/>
              </w:numPr>
              <w:shd w:val="clear" w:color="auto" w:fill="auto"/>
              <w:tabs>
                <w:tab w:pos="504" w:val="left"/>
              </w:tabs>
              <w:bidi w:val="0"/>
              <w:spacing w:before="0" w:after="0" w:line="318" w:lineRule="exact"/>
              <w:ind w:left="0" w:right="0" w:firstLine="380"/>
              <w:jc w:val="both"/>
            </w:pPr>
            <w:r>
              <w:rPr>
                <w:color w:val="000000"/>
                <w:spacing w:val="0"/>
                <w:w w:val="100"/>
                <w:position w:val="0"/>
              </w:rPr>
              <w:t>通过社区网格化产品协助网格化管理，有助于 及时掌握社区动态，及时更新数据，做到管理、维护 双到位，大大改善了过去摸底不清、情况不明的问题， 实现了社区村的不漏管、不失控。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社会网格化管理是一项社会管理创新工程，做实、做 精、做细，社区以“三活”“四清”为内容，健全服务网 络，强化服务功能，改善社区管理，提高工作效能，实现 社区服务管理的全覆盖、全天候、零距离。</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城市治理</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组件开发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及应用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目前，基层普遍存在执法人员紧缺的问 题，满足不了日常巡查和执法的需求，迫切 需求科技手段做支撑，遍布在大街小巷和重 点点位的视频取证设备是对执法力量不足 的最大补充，</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小时不间断的运行，使我们 队员可以通过视频平台实时了解掌握区域 环境秩序情况，合理调配执法力量，对违法 行为进行准确打击。如果能对视频信息进行 智能分析，明确出视频信息中的违法形态， 将部分解放城管执法队员的巡查任务，减负 基层，提高环境秩序感知能力。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实现卡片识别、文件识别、人脸识别等模块组件。 </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视频分析识别的介入减少了人为因素的干扰，让城 市治理更加透明高效的同时，也可以帮助城市管理者 对城市治理事项进行分析汇总，寻找城市治理的规 律，推动治理走向精细化。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与城市监控融合，在全市范围内通过摄像头自动识别 问题并进行案件上报，并实时将案件自动派遣至基层处置 单位。利用</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等技术实现不间断巡查、及时发现上报并 处理问题正成为城市管理主要方向。</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社会信用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体系平台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对医疗卫生机构、从业人员等进行信用 等级评价，进一步加强医疗卫生监督管理，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将医疗卫生机构信用管理、医务人员信用管理、 人口计生领域信用管理等信息建立“企事业单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进一步明确卫生计生行业诚信标准，完善重点领域、 部门和单位信用信息记录，进一步完善卫生计生系统信用</w:t>
            </w:r>
          </w:p>
        </w:tc>
      </w:tr>
    </w:tbl>
    <w:p>
      <w:pPr>
        <w:spacing w:lineRule="exact" w:line="1"/>
        <w:rPr>
          <w:sz w:val="2"/>
          <w:szCs w:val="2"/>
        </w:rPr>
      </w:pPr>
      <w:r>
        <w:br w:type="page"/>
      </w:r>
    </w:p>
    <w:tbl>
      <w:tblPr>
        <w:tblOverlap w:val="never"/>
        <w:jc w:val="center"/>
        <w:tblLayout w:type="fixed"/>
      </w:tblPr>
      <w:tblGrid>
        <w:gridCol w:w="845"/>
        <w:gridCol w:w="3442"/>
        <w:gridCol w:w="994"/>
        <w:gridCol w:w="4181"/>
        <w:gridCol w:w="4570"/>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主要研发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192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的研发</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规范执业行为。对信用较好的信息主体，坚 持自律为主、监管为辅的原则，在信用等级 有效期内，享受激励措施。对信用较差的信 息主体，将加强监管。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432" w:val="left"/>
              </w:tabs>
              <w:bidi w:val="0"/>
              <w:spacing w:before="0" w:after="0" w:line="313" w:lineRule="exact"/>
              <w:ind w:left="0" w:right="0" w:firstLine="0"/>
              <w:jc w:val="both"/>
            </w:pPr>
            <w:r>
              <w:rPr>
                <w:color w:val="000000"/>
                <w:spacing w:val="0"/>
                <w:w w:val="100"/>
                <w:position w:val="0"/>
              </w:rPr>
              <w:t>位”</w:t>
              <w:tab/>
              <w:t>“社会组织”、“个人”的信用档案，实现根据</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计划生育违法</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大类、医疗卫生违法</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大类、违规尚 未违法</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大类不同的征信数据的新增、录入、修改、 删除、审核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包含违法类流程步骤开发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、撤销、查询、 详情功能。更便捷的为基层对失信数据进行服务管 理。</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信息激励和惩戒机制，加大卫生计生行业监管力度，力争 在治理商业贿赂重点领域、重要方面的具体工作中全面使 用信用报告，全面实行市场准入制度，以此促进市场经济 环境的不断优化，促进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守信者荣、失信者忧、无信者耻</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良好社会风尚的逐步形成。</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应用运维</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工具建设</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信息化开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运维工具系统就像一个问题追踪器，能 很清晰的追踪，处理和归档内外的问题事务 请求，标准化服务追踪用户。一般被广泛用 于客户帮助支持服务、客户售后服务、企业 </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支持服务、呼叫中心等，用来创建、挂起、 解决用户、客户、合作伙伴或企业内部职员 提交的事务请求。规范化、统一化和清晰化 的处理和管理事务。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380"/>
              <w:jc w:val="both"/>
            </w:pPr>
            <w:r>
              <w:rPr>
                <w:color w:val="000000"/>
                <w:spacing w:val="0"/>
                <w:w w:val="100"/>
                <w:position w:val="0"/>
              </w:rPr>
              <w:t>运维工具提供系统化、标准化的工作处理流程。</w:t>
            </w:r>
          </w:p>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用于企业间和企业内部的工作协作，具有批量性、时 效性、绩效性的特点。业务流程通过简单配置字段和 触发机制即可完成高度自定义，无需代码，提升服务 效率。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随着互联网的发展，越来越多企业加快了互联网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 进程，这时，企业运维也变得越来越重要。应用运维工具 系统可以根据不同组织，部门和外部客户的需求，来有针 对的管理，维护和追踪一系列的问题和请求。</w:t>
            </w:r>
          </w:p>
        </w:tc>
      </w:tr>
      <w:tr>
        <w:trPr>
          <w:trHeight w:val="352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城管综合 治理平台 的研发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在城市管理方面，以改革创新为动力， 加速推进城市化进程。按照城管工作实现数 字化、现代化、法制化的要求，坚持以人为 本促和谐、改革创新促发展、依法行政促规 范，实现城管工作更好更快发展，为“全面 达小康，建设新城市”创造整洁、优美、有 序的市容环境。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城管综合治理平台综合运用现代数字信息技术， 以数字地图和单元网格划分为基础，集成基础地理、 地理编码、市政及社区服务部件事件的多种数据资 源，以城市监管员和市民服务热线为信息收集渠道， 创建城市管理和市民服务综合指挥系统，通过多部门 信息共享、协同工作，构建起沟通快捷、责任到位、 处置及时、运转高效的城市管理、公共服务的监督和 处置新机制，全面提高城市管理和政府公共服务水 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数字城管与传统城管相比，可产生五大效益：一是促 进了城管工作效率的提升（高效政府）。二是推动了城管体 制的深刻变革。创立了以监督指挥中心为“监督点”的新 的城管体制，形成齐抓共管的“大城管”格局。三是促进 各种资源整合，实现资源共享。使各级、各部门实现互联 互通，形成“四级”网络；使各部门、各管理层次的人、 财、物、信息、职能等管理资源实现整合和共享；使各种 指挥、应急系统和监测、监控系统真正实现优化组合和共 享，从而大大提高城市管理乃至整个社会管理的整体效能。 四是人民群众的满意程度明显提高。五是可带来巨大的经 济效益，引致城市设施保值增值和招商引资收益增量。</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网格化地</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理信息系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380"/>
              <w:jc w:val="both"/>
            </w:pPr>
            <w:r>
              <w:rPr>
                <w:color w:val="000000"/>
                <w:spacing w:val="0"/>
                <w:w w:val="100"/>
                <w:position w:val="0"/>
              </w:rPr>
              <w:t>为了进一步创新服务方式，健全服务网 络，激活社区（村）资源，强化服务功能，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网格责任人负责信息收集、便民服务、简易问 题处理等；成立社区（村）受理中心，由社区（村）</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通过建立国内技术领先的基于三维技术的社区（村） 人口管理系统，实现数据采集、信息管理、分析和领导决</w:t>
            </w:r>
          </w:p>
        </w:tc>
      </w:tr>
    </w:tbl>
    <w:p>
      <w:pPr>
        <w:spacing w:lineRule="exact" w:line="1"/>
        <w:rPr>
          <w:sz w:val="2"/>
          <w:szCs w:val="2"/>
        </w:rPr>
      </w:pPr>
      <w:r>
        <w:br w:type="page"/>
      </w:r>
    </w:p>
    <w:tbl>
      <w:tblPr>
        <w:tblOverlap w:val="never"/>
        <w:jc w:val="center"/>
        <w:tblLayout w:type="fixed"/>
      </w:tblPr>
      <w:tblGrid>
        <w:gridCol w:w="845"/>
        <w:gridCol w:w="3442"/>
        <w:gridCol w:w="994"/>
        <w:gridCol w:w="4181"/>
        <w:gridCol w:w="4570"/>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主要研发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379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统的研发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改进社区管理服务，提高工作效能，结合各 社区（村）实际，建立科学的分工协作机制、 高效的工作运行机制、规范的监督考核机 制，实现社区（村）管理的扁平化、精细化、 信息化，社区（村）服务的全覆盖、全天候、 零距离。网格化管理实行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人员、职责、任 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三落实。社区网格责任人承办民政、计 生、就业、社保等社会事务，协办党建、创 建、综治、安全生产等工作任务；村网格责 任人的管理和服务内容要贴近农民的生产 生活实际，重点做好发展生产、民生保障、 计划生育、综合治理、教育培训等服务管理。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负责人和有关工作人员（可轮值）组成，负责社区（村） 事务的综合、分析、初审、公示、调处问题、窗口服 务等；镇行政服务中心（相关办公室）负责业务范围 内的审核、公示、上传下达、执法、处置等。</w:t>
            </w:r>
          </w:p>
          <w:p>
            <w:pPr>
              <w:pStyle w:val="Style2"/>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以地理信息系统平台为载体，与社区（村）现 有各类信息数据建立充分关联，实现社区（村）人口 信息的数字化管理工作。通过三维城市实现辖区内单 位、人口、楼宇、计生、物业、社区等相关信息的可 视化管理，提高城市社区（村）人口管理水平，提高 居民参与城市管理的积极性。</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策系统的图形化和可视化。解决一般社区管理系统平台</w:t>
            </w:r>
          </w:p>
          <w:p>
            <w:pPr>
              <w:pStyle w:val="Style2"/>
              <w:keepNext w:val="0"/>
              <w:keepLines w:val="0"/>
              <w:widowControl w:val="0"/>
              <w:shd w:val="clear" w:color="auto" w:fill="auto"/>
              <w:tabs>
                <w:tab w:pos="1075" w:val="left"/>
              </w:tabs>
              <w:bidi w:val="0"/>
              <w:spacing w:before="0" w:after="0" w:line="240" w:lineRule="auto"/>
              <w:ind w:left="0" w:right="0" w:firstLine="0"/>
              <w:jc w:val="both"/>
            </w:pPr>
            <w:r>
              <w:rPr>
                <w:color w:val="000000"/>
                <w:spacing w:val="0"/>
                <w:w w:val="100"/>
                <w:position w:val="0"/>
              </w:rPr>
              <w:t>“人” “物”</w:t>
              <w:tab/>
              <w:t>“房”分离问题。社区（村）网格化管理三</w:t>
            </w:r>
          </w:p>
          <w:p>
            <w:pPr>
              <w:pStyle w:val="Style2"/>
              <w:keepNext w:val="0"/>
              <w:keepLines w:val="0"/>
              <w:widowControl w:val="0"/>
              <w:shd w:val="clear" w:color="auto" w:fill="auto"/>
              <w:bidi w:val="0"/>
              <w:spacing w:before="0" w:after="40" w:line="317" w:lineRule="exact"/>
              <w:ind w:left="0" w:right="0" w:firstLine="0"/>
              <w:jc w:val="both"/>
            </w:pPr>
            <w:r>
              <w:rPr>
                <w:color w:val="000000"/>
                <w:spacing w:val="0"/>
                <w:w w:val="100"/>
                <w:position w:val="0"/>
              </w:rPr>
              <w:t>维可视系统的建立，将会进一步完善和补充城市基础地理 信息系统的基础数据和服务功能，更好满足“数字城市” 应用系统的建设。</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大数据分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析与挖掘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从大量数据（包括文本）中分析及挖掘 出隐含的、未知的、对决策有潜在价值的关 系、模式和趋势，并用这些知识和规则建立 用于决策支持的模型，提供预测性决策支持 的方法、工具和过程；是利用各种分析工具 在海量数据中发现模型和数据之间关系的 过程。这些模型和关系可以被用来分析风 险、预测未来。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研发阶段</w:t>
            </w:r>
          </w:p>
        </w:tc>
        <w:tc>
          <w:tcPr>
            <w:tcBorders>
              <w:top w:val="single" w:sz="4"/>
              <w:left w:val="single" w:sz="4"/>
            </w:tcBorders>
            <w:shd w:val="clear" w:color="auto" w:fill="FFFFFF"/>
            <w:vAlign w:val="center"/>
          </w:tcPr>
          <w:p>
            <w:pPr>
              <w:pStyle w:val="Style2"/>
              <w:keepNext w:val="0"/>
              <w:keepLines w:val="0"/>
              <w:widowControl w:val="0"/>
              <w:numPr>
                <w:ilvl w:val="0"/>
                <w:numId w:val="85"/>
              </w:numPr>
              <w:shd w:val="clear" w:color="auto" w:fill="auto"/>
              <w:tabs>
                <w:tab w:pos="510" w:val="left"/>
              </w:tabs>
              <w:bidi w:val="0"/>
              <w:spacing w:before="0" w:after="0" w:line="329" w:lineRule="exact"/>
              <w:ind w:left="0" w:right="0" w:firstLine="380"/>
              <w:jc w:val="both"/>
            </w:pPr>
            <w:r>
              <w:rPr>
                <w:color w:val="000000"/>
                <w:spacing w:val="0"/>
                <w:w w:val="100"/>
                <w:position w:val="0"/>
              </w:rPr>
              <w:t>数据数据库适配管理。</w:t>
            </w:r>
          </w:p>
          <w:p>
            <w:pPr>
              <w:pStyle w:val="Style2"/>
              <w:keepNext w:val="0"/>
              <w:keepLines w:val="0"/>
              <w:widowControl w:val="0"/>
              <w:numPr>
                <w:ilvl w:val="0"/>
                <w:numId w:val="85"/>
              </w:numPr>
              <w:shd w:val="clear" w:color="auto" w:fill="auto"/>
              <w:bidi w:val="0"/>
              <w:spacing w:before="0" w:after="0" w:line="329" w:lineRule="exact"/>
              <w:ind w:left="0" w:right="0" w:firstLine="38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数据处理：数据采样、清洗、拆分、数据分析、 深度学习。</w:t>
            </w:r>
          </w:p>
          <w:p>
            <w:pPr>
              <w:pStyle w:val="Style2"/>
              <w:keepNext w:val="0"/>
              <w:keepLines w:val="0"/>
              <w:widowControl w:val="0"/>
              <w:numPr>
                <w:ilvl w:val="0"/>
                <w:numId w:val="85"/>
              </w:numPr>
              <w:shd w:val="clear" w:color="auto" w:fill="auto"/>
              <w:bidi w:val="0"/>
              <w:spacing w:before="0" w:after="0" w:line="329" w:lineRule="exact"/>
              <w:ind w:left="0" w:right="0" w:firstLine="38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数据挖掘与分析：相关性分析、数据可视化、 数据配置。</w:t>
            </w:r>
          </w:p>
          <w:p>
            <w:pPr>
              <w:pStyle w:val="Style2"/>
              <w:keepNext w:val="0"/>
              <w:keepLines w:val="0"/>
              <w:widowControl w:val="0"/>
              <w:numPr>
                <w:ilvl w:val="0"/>
                <w:numId w:val="85"/>
              </w:numPr>
              <w:shd w:val="clear" w:color="auto" w:fill="auto"/>
              <w:bidi w:val="0"/>
              <w:spacing w:before="0" w:after="0" w:line="329" w:lineRule="exact"/>
              <w:ind w:left="0" w:right="0" w:firstLine="38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数据共享管理，接口管理。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开发基于</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的数据挖掘与分析平台，基于人工智 能、机器学习、模式识别、统计学、数据库、可视化技术 等，高度自动化地分析数据，作出归纳性的推理，从中挖 掘出潜在的模式，帮助决策者调整策略，减少风险，作出 正确的决策。获取的信息和知识可以广泛用于各种应用， 包括商务管理、生产控制、市场分析、工程设计和科学探 索等。</w:t>
            </w:r>
          </w:p>
        </w:tc>
      </w:tr>
      <w:tr>
        <w:trPr>
          <w:trHeight w:val="22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智慧科研 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智慧科研平台是应用于各个科研院所 及高校等研究机构进行科研项目管理、科研 成果管理及科研考核管理等全方位科研管 理的一套信息化系统，适应于学术活动登 记、科研项目申报、科研工作审批、科研成 果审核、项目事项查询等管理所需的要求。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智慧科研平台实现了委员会设置（评委会组织 架构、评委会名单）、课题管理（课题设置、课题申 报、课题初审、课题评审、查询与统计）、调研管理 （调研登记、调研管理、查询与统计）、论文管理（论 文登记、论文初审、评委会评审、查询与统计）、学 术活动（学术会议登记、学术会议管理、查询与统计、 学术团体登记、学术团体管理、查询与统计）、科研</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随着社会的不断发展和随着计算机应用水平的提高和 科研管理的规范化和制度化，科研水平逐渐成为衡量科研 院所及高校等研究机构实力的重要指标，如何对研究机构 大量的科研信息、科研成果等进行保存、处理、统计、加 工等一系列管理工作，将日常的科研管理工作变得更加规 范化、科学化，高效化，因而建立一套适用于科研院所及 高校等研究机构的科研管理工作管理信息系统是各大的科</w:t>
            </w:r>
          </w:p>
        </w:tc>
      </w:tr>
    </w:tbl>
    <w:p>
      <w:pPr>
        <w:spacing w:lineRule="exact" w:line="1"/>
        <w:rPr>
          <w:sz w:val="2"/>
          <w:szCs w:val="2"/>
        </w:rPr>
      </w:pPr>
      <w:r>
        <w:br w:type="page"/>
      </w:r>
    </w:p>
    <w:tbl>
      <w:tblPr>
        <w:tblOverlap w:val="never"/>
        <w:jc w:val="center"/>
        <w:tblLayout w:type="fixed"/>
      </w:tblPr>
      <w:tblGrid>
        <w:gridCol w:w="845"/>
        <w:gridCol w:w="3442"/>
        <w:gridCol w:w="994"/>
        <w:gridCol w:w="4181"/>
        <w:gridCol w:w="4570"/>
      </w:tblGrid>
      <w:tr>
        <w:trPr>
          <w:trHeight w:val="7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主要研发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290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工作审批（请示管理、审批管理、查询与统计）、科 研考核（方案配置、规则配置、项目成果考核、成员 考核）、移动科研（科研通知、待办事项、项目查询、 到账经费、成果查询）等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个功能模块。</w:t>
            </w:r>
          </w:p>
          <w:p>
            <w:pPr>
              <w:pStyle w:val="Style2"/>
              <w:keepNext w:val="0"/>
              <w:keepLines w:val="0"/>
              <w:widowControl w:val="0"/>
              <w:shd w:val="clear" w:color="auto" w:fill="auto"/>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建立一套适用于科研院所及高校等研究机构的 科研管理工作的智慧科研平台，对研究机构大量的科 研信息、科研成果等进行保存、处理、统计、加工等 一系列管理工作，将日常的科研管理工作变得更加规 范化、科学化，高效化。</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研院所较为迫切的需求。</w:t>
            </w:r>
          </w:p>
        </w:tc>
      </w:tr>
    </w:tbl>
    <w:p>
      <w:pPr>
        <w:sectPr>
          <w:footnotePr>
            <w:pos w:val="pageBottom"/>
            <w:numFmt w:val="decimal"/>
            <w:numRestart w:val="continuous"/>
          </w:footnotePr>
          <w:pgSz w:w="16840" w:h="11900" w:orient="landscape"/>
          <w:pgMar w:top="1106" w:right="1402" w:bottom="1213" w:left="1407" w:header="0" w:footer="3" w:gutter="0"/>
          <w:cols w:space="720"/>
          <w:noEndnote/>
          <w:rtlGutter w:val="0"/>
          <w:docGrid w:linePitch="360"/>
        </w:sectPr>
      </w:pPr>
    </w:p>
    <w:p>
      <w:pPr>
        <w:pStyle w:val="Style31"/>
        <w:keepNext w:val="0"/>
        <w:keepLines w:val="0"/>
        <w:widowControl w:val="0"/>
        <w:shd w:val="clear" w:color="auto" w:fill="auto"/>
        <w:bidi w:val="0"/>
        <w:spacing w:before="180" w:after="60" w:line="240" w:lineRule="auto"/>
        <w:ind w:left="0" w:right="0" w:firstLine="440"/>
        <w:jc w:val="left"/>
      </w:pPr>
      <w:r>
        <w:rPr>
          <w:color w:val="000000"/>
          <w:spacing w:val="0"/>
          <w:w w:val="100"/>
          <w:position w:val="0"/>
        </w:rPr>
        <w:t>公司研发人员情况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w:t>
            </w:r>
          </w:p>
        </w:tc>
      </w:tr>
    </w:tbl>
    <w:p>
      <w:pPr>
        <w:widowControl w:val="0"/>
        <w:spacing w:after="59" w:line="1" w:lineRule="exact"/>
      </w:pP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17,501,476.13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16,091,402.47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15,523,710.56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19" w:line="1" w:lineRule="exact"/>
      </w:pPr>
    </w:p>
    <w:p>
      <w:pPr>
        <w:pStyle w:val="Style31"/>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公司研发人员构成发生重大变化的原因及影响</w:t>
      </w:r>
    </w:p>
    <w:p>
      <w:pPr>
        <w:pStyle w:val="Style31"/>
        <w:keepNext w:val="0"/>
        <w:keepLines w:val="0"/>
        <w:widowControl w:val="0"/>
        <w:shd w:val="clear" w:color="auto" w:fill="auto"/>
        <w:bidi w:val="0"/>
        <w:spacing w:before="0" w:after="220" w:line="240" w:lineRule="auto"/>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研发投入总额占营业收入的比重较上年发生显著变化的原因</w:t>
      </w:r>
    </w:p>
    <w:p>
      <w:pPr>
        <w:pStyle w:val="Style31"/>
        <w:keepNext w:val="0"/>
        <w:keepLines w:val="0"/>
        <w:widowControl w:val="0"/>
        <w:shd w:val="clear" w:color="auto" w:fill="auto"/>
        <w:bidi w:val="0"/>
        <w:spacing w:before="0" w:after="22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1"/>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研发投入资本化率大幅变动的原因及其合理性说明</w:t>
      </w:r>
    </w:p>
    <w:p>
      <w:pPr>
        <w:pStyle w:val="Style31"/>
        <w:keepNext w:val="0"/>
        <w:keepLines w:val="0"/>
        <w:widowControl w:val="0"/>
        <w:shd w:val="clear" w:color="auto" w:fill="auto"/>
        <w:bidi w:val="0"/>
        <w:spacing w:before="0" w:after="22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公司不存在研发投入资本化情形。</w:t>
      </w:r>
    </w:p>
    <w:p>
      <w:pPr>
        <w:pStyle w:val="Style28"/>
        <w:keepNext/>
        <w:keepLines/>
        <w:widowControl w:val="0"/>
        <w:shd w:val="clear" w:color="auto" w:fill="auto"/>
        <w:bidi w:val="0"/>
        <w:spacing w:before="0" w:after="38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5</w:t>
      </w:r>
      <w:bookmarkEnd w:id="151"/>
      <w:r>
        <w:rPr>
          <w:color w:val="000000"/>
          <w:spacing w:val="0"/>
          <w:w w:val="100"/>
          <w:position w:val="0"/>
        </w:rPr>
        <w:t>、现金流</w:t>
      </w:r>
      <w:bookmarkEnd w:id="149"/>
      <w:bookmarkEnd w:id="150"/>
      <w:bookmarkEnd w:id="152"/>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232"/>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459,283,874.58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417,048,118.61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w:t>
            </w:r>
          </w:p>
        </w:tc>
      </w:tr>
    </w:tbl>
    <w:tbl>
      <w:tblPr>
        <w:tblOverlap w:val="never"/>
        <w:jc w:val="center"/>
        <w:tblLayout w:type="fixed"/>
      </w:tblPr>
      <w:tblGrid>
        <w:gridCol w:w="2558"/>
        <w:gridCol w:w="2232"/>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492,938,475.26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323,722,486.97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-33,654,600.68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93,325,631.64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8,279,638.06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-193,579.00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-8,279,638.06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584,954,768.21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25,950,000.00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75,744,727.99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45,441,647.51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509,210,040.22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-19,491,647.51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475,385,192.62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65,486,645.95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625.93%</w:t>
            </w:r>
          </w:p>
        </w:tc>
      </w:tr>
    </w:tbl>
    <w:p>
      <w:pPr>
        <w:widowControl w:val="0"/>
        <w:spacing w:after="139" w:line="1" w:lineRule="exact"/>
      </w:pPr>
    </w:p>
    <w:p>
      <w:pPr>
        <w:pStyle w:val="Style31"/>
        <w:keepNext w:val="0"/>
        <w:keepLines w:val="0"/>
        <w:widowControl w:val="0"/>
        <w:shd w:val="clear" w:color="auto" w:fill="auto"/>
        <w:bidi w:val="0"/>
        <w:spacing w:before="0" w:after="220" w:line="314" w:lineRule="exact"/>
        <w:ind w:left="0" w:right="0" w:firstLine="440"/>
        <w:jc w:val="left"/>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after="40"/>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numPr>
          <w:ilvl w:val="0"/>
          <w:numId w:val="87"/>
        </w:numPr>
        <w:shd w:val="clear" w:color="auto" w:fill="auto"/>
        <w:tabs>
          <w:tab w:pos="810" w:val="left"/>
        </w:tabs>
        <w:bidi w:val="0"/>
        <w:spacing w:before="0" w:after="180" w:line="317" w:lineRule="exact"/>
        <w:ind w:left="0" w:right="0" w:firstLine="440"/>
        <w:jc w:val="both"/>
      </w:pPr>
      <w:bookmarkStart w:id="153" w:name="bookmark153"/>
      <w:bookmarkEnd w:id="153"/>
      <w:r>
        <w:rPr>
          <w:color w:val="000000"/>
          <w:spacing w:val="0"/>
          <w:w w:val="100"/>
          <w:position w:val="0"/>
        </w:rPr>
        <w:t>经营活动现金流出小计较上年同期增加</w:t>
      </w:r>
      <w:r>
        <w:rPr>
          <w:rFonts w:ascii="Times New Roman" w:eastAsia="Times New Roman" w:hAnsi="Times New Roman" w:cs="Times New Roman"/>
          <w:color w:val="000000"/>
          <w:spacing w:val="0"/>
          <w:w w:val="100"/>
          <w:position w:val="0"/>
        </w:rPr>
        <w:t>52.27%</w:t>
      </w:r>
      <w:r>
        <w:rPr>
          <w:color w:val="000000"/>
          <w:spacing w:val="0"/>
          <w:w w:val="100"/>
          <w:position w:val="0"/>
        </w:rPr>
        <w:t>，主要原因为：报告期支付采购货款较上年同期大 幅增加所致；</w:t>
      </w:r>
    </w:p>
    <w:p>
      <w:pPr>
        <w:pStyle w:val="Style31"/>
        <w:keepNext w:val="0"/>
        <w:keepLines w:val="0"/>
        <w:widowControl w:val="0"/>
        <w:numPr>
          <w:ilvl w:val="0"/>
          <w:numId w:val="87"/>
        </w:numPr>
        <w:shd w:val="clear" w:color="auto" w:fill="auto"/>
        <w:tabs>
          <w:tab w:pos="795" w:val="left"/>
        </w:tabs>
        <w:bidi w:val="0"/>
        <w:spacing w:before="0" w:after="180" w:line="302" w:lineRule="exact"/>
        <w:ind w:left="0" w:right="0" w:firstLine="440"/>
        <w:jc w:val="both"/>
      </w:pPr>
      <w:bookmarkStart w:id="154" w:name="bookmark154"/>
      <w:bookmarkEnd w:id="154"/>
      <w:r>
        <w:rPr>
          <w:color w:val="000000"/>
          <w:spacing w:val="0"/>
          <w:w w:val="100"/>
          <w:position w:val="0"/>
        </w:rPr>
        <w:t>经营活动产生的现金流量净额较上年同期减少</w:t>
      </w:r>
      <w:r>
        <w:rPr>
          <w:rFonts w:ascii="Times New Roman" w:eastAsia="Times New Roman" w:hAnsi="Times New Roman" w:cs="Times New Roman"/>
          <w:color w:val="000000"/>
          <w:spacing w:val="0"/>
          <w:w w:val="100"/>
          <w:position w:val="0"/>
        </w:rPr>
        <w:t>136.06%</w:t>
      </w:r>
      <w:r>
        <w:rPr>
          <w:color w:val="000000"/>
          <w:spacing w:val="0"/>
          <w:w w:val="100"/>
          <w:position w:val="0"/>
        </w:rPr>
        <w:t>，主要原因为：报告期支付采购货款较上年 同期大幅增加所致；</w:t>
      </w:r>
    </w:p>
    <w:p>
      <w:pPr>
        <w:pStyle w:val="Style31"/>
        <w:keepNext w:val="0"/>
        <w:keepLines w:val="0"/>
        <w:widowControl w:val="0"/>
        <w:numPr>
          <w:ilvl w:val="0"/>
          <w:numId w:val="87"/>
        </w:numPr>
        <w:shd w:val="clear" w:color="auto" w:fill="auto"/>
        <w:tabs>
          <w:tab w:pos="814" w:val="left"/>
        </w:tabs>
        <w:bidi w:val="0"/>
        <w:spacing w:before="0" w:after="180" w:line="302" w:lineRule="exact"/>
        <w:ind w:left="0" w:right="0" w:firstLine="440"/>
        <w:jc w:val="both"/>
      </w:pPr>
      <w:bookmarkStart w:id="155" w:name="bookmark155"/>
      <w:bookmarkEnd w:id="155"/>
      <w:r>
        <w:rPr>
          <w:color w:val="000000"/>
          <w:spacing w:val="0"/>
          <w:w w:val="100"/>
          <w:position w:val="0"/>
        </w:rPr>
        <w:t>投资活动现金流出小计较上年同期减少</w:t>
      </w:r>
      <w:r>
        <w:rPr>
          <w:rFonts w:ascii="Times New Roman" w:eastAsia="Times New Roman" w:hAnsi="Times New Roman" w:cs="Times New Roman"/>
          <w:color w:val="000000"/>
          <w:spacing w:val="0"/>
          <w:w w:val="100"/>
          <w:position w:val="0"/>
        </w:rPr>
        <w:t>97.66%</w:t>
      </w:r>
      <w:r>
        <w:rPr>
          <w:color w:val="000000"/>
          <w:spacing w:val="0"/>
          <w:w w:val="100"/>
          <w:position w:val="0"/>
        </w:rPr>
        <w:t>，主要原因为：报告期购建固定资产较上年同期减 少所致；</w:t>
      </w:r>
    </w:p>
    <w:p>
      <w:pPr>
        <w:pStyle w:val="Style31"/>
        <w:keepNext w:val="0"/>
        <w:keepLines w:val="0"/>
        <w:widowControl w:val="0"/>
        <w:numPr>
          <w:ilvl w:val="0"/>
          <w:numId w:val="87"/>
        </w:numPr>
        <w:shd w:val="clear" w:color="auto" w:fill="auto"/>
        <w:tabs>
          <w:tab w:pos="837" w:val="left"/>
        </w:tabs>
        <w:bidi w:val="0"/>
        <w:spacing w:before="0" w:line="314" w:lineRule="exact"/>
        <w:ind w:left="0" w:right="0" w:firstLine="440"/>
        <w:jc w:val="left"/>
      </w:pPr>
      <w:bookmarkStart w:id="156" w:name="bookmark156"/>
      <w:bookmarkEnd w:id="156"/>
      <w:r>
        <w:rPr>
          <w:color w:val="000000"/>
          <w:spacing w:val="0"/>
          <w:w w:val="100"/>
          <w:position w:val="0"/>
        </w:rPr>
        <w:t>筹资活动现金流入小计较上年同期增加</w:t>
      </w:r>
      <w:r>
        <w:rPr>
          <w:rFonts w:ascii="Times New Roman" w:eastAsia="Times New Roman" w:hAnsi="Times New Roman" w:cs="Times New Roman"/>
          <w:color w:val="000000"/>
          <w:spacing w:val="0"/>
          <w:w w:val="100"/>
          <w:position w:val="0"/>
        </w:rPr>
        <w:t>2,154.16%</w:t>
      </w:r>
      <w:r>
        <w:rPr>
          <w:color w:val="000000"/>
          <w:spacing w:val="0"/>
          <w:w w:val="100"/>
          <w:position w:val="0"/>
        </w:rPr>
        <w:t>，主要原因为：收到发行股票募集资金；</w:t>
      </w:r>
    </w:p>
    <w:p>
      <w:pPr>
        <w:pStyle w:val="Style31"/>
        <w:keepNext w:val="0"/>
        <w:keepLines w:val="0"/>
        <w:widowControl w:val="0"/>
        <w:numPr>
          <w:ilvl w:val="0"/>
          <w:numId w:val="87"/>
        </w:numPr>
        <w:shd w:val="clear" w:color="auto" w:fill="auto"/>
        <w:tabs>
          <w:tab w:pos="1259" w:val="left"/>
        </w:tabs>
        <w:bidi w:val="0"/>
        <w:spacing w:before="0" w:after="0" w:line="314" w:lineRule="exact"/>
        <w:ind w:left="0" w:right="0" w:firstLine="440"/>
        <w:jc w:val="left"/>
      </w:pPr>
      <w:bookmarkStart w:id="157" w:name="bookmark157"/>
      <w:bookmarkEnd w:id="157"/>
      <w:r>
        <w:rPr>
          <w:color w:val="000000"/>
          <w:spacing w:val="0"/>
          <w:w w:val="100"/>
          <w:position w:val="0"/>
          <w:shd w:val="clear" w:color="auto" w:fill="FFFFFF"/>
        </w:rPr>
        <w:t>筹资活动现金流出小计较上年同期增加</w:t>
      </w:r>
      <w:r>
        <w:rPr>
          <w:rFonts w:ascii="Times New Roman" w:eastAsia="Times New Roman" w:hAnsi="Times New Roman" w:cs="Times New Roman"/>
          <w:color w:val="000000"/>
          <w:spacing w:val="0"/>
          <w:w w:val="100"/>
          <w:position w:val="0"/>
          <w:shd w:val="clear" w:color="auto" w:fill="FFFFFF"/>
        </w:rPr>
        <w:t>66.69%</w:t>
      </w:r>
      <w:r>
        <w:rPr>
          <w:color w:val="000000"/>
          <w:spacing w:val="0"/>
          <w:w w:val="100"/>
          <w:position w:val="0"/>
          <w:shd w:val="clear" w:color="auto" w:fill="FFFFFF"/>
        </w:rPr>
        <w:t>，主要原因为：</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）报告期偿还贷款比上年同期增加;</w:t>
      </w:r>
    </w:p>
    <w:p>
      <w:pPr>
        <w:pStyle w:val="Style31"/>
        <w:keepNext w:val="0"/>
        <w:keepLines w:val="0"/>
        <w:widowControl w:val="0"/>
        <w:shd w:val="clear" w:color="auto" w:fill="auto"/>
        <w:tabs>
          <w:tab w:pos="749" w:val="left"/>
        </w:tabs>
        <w:bidi w:val="0"/>
        <w:spacing w:before="0" w:line="314" w:lineRule="exact"/>
        <w:ind w:left="0" w:right="0" w:firstLine="0"/>
        <w:jc w:val="left"/>
      </w:pPr>
      <w:bookmarkStart w:id="158" w:name="bookmark158"/>
      <w:r>
        <w:rPr>
          <w:rFonts w:ascii="Times New Roman" w:eastAsia="Times New Roman" w:hAnsi="Times New Roman" w:cs="Times New Roman"/>
          <w:color w:val="000000"/>
          <w:spacing w:val="0"/>
          <w:w w:val="100"/>
          <w:position w:val="0"/>
        </w:rPr>
        <w:t>2</w:t>
      </w:r>
      <w:bookmarkEnd w:id="158"/>
      <w:r>
        <w:rPr>
          <w:color w:val="000000"/>
          <w:spacing w:val="0"/>
          <w:w w:val="100"/>
          <w:position w:val="0"/>
        </w:rPr>
        <w:t>）报告期支付股票发行费用，上年同期没有；</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年实施新租赁会计准则，支付租金及押金分类为支 付其他与筹资活动有关的现金，</w:t>
      </w:r>
      <w:r>
        <w:rPr>
          <w:rFonts w:ascii="Times New Roman" w:eastAsia="Times New Roman" w:hAnsi="Times New Roman" w:cs="Times New Roman"/>
          <w:color w:val="000000"/>
          <w:spacing w:val="0"/>
          <w:w w:val="100"/>
          <w:position w:val="0"/>
        </w:rPr>
        <w:t>2020</w:t>
      </w:r>
      <w:r>
        <w:rPr>
          <w:color w:val="000000"/>
          <w:spacing w:val="0"/>
          <w:w w:val="100"/>
          <w:position w:val="0"/>
        </w:rPr>
        <w:t>年为支付其他与经营活动有关的现金。</w:t>
      </w:r>
    </w:p>
    <w:p>
      <w:pPr>
        <w:pStyle w:val="Style31"/>
        <w:keepNext w:val="0"/>
        <w:keepLines w:val="0"/>
        <w:widowControl w:val="0"/>
        <w:numPr>
          <w:ilvl w:val="0"/>
          <w:numId w:val="87"/>
        </w:numPr>
        <w:shd w:val="clear" w:color="auto" w:fill="auto"/>
        <w:tabs>
          <w:tab w:pos="837" w:val="left"/>
        </w:tabs>
        <w:bidi w:val="0"/>
        <w:spacing w:before="0" w:line="314" w:lineRule="exact"/>
        <w:ind w:left="0" w:right="0" w:firstLine="440"/>
        <w:jc w:val="left"/>
      </w:pPr>
      <w:bookmarkStart w:id="159" w:name="bookmark159"/>
      <w:bookmarkEnd w:id="159"/>
      <w:r>
        <w:rPr>
          <w:color w:val="000000"/>
          <w:spacing w:val="0"/>
          <w:w w:val="100"/>
          <w:position w:val="0"/>
        </w:rPr>
        <w:t>筹资活动产生的现金流量净额较上年同期增加，主要原因为：收到发行股票募集资金。</w:t>
      </w:r>
    </w:p>
    <w:p>
      <w:pPr>
        <w:pStyle w:val="Style31"/>
        <w:keepNext w:val="0"/>
        <w:keepLines w:val="0"/>
        <w:widowControl w:val="0"/>
        <w:numPr>
          <w:ilvl w:val="0"/>
          <w:numId w:val="87"/>
        </w:numPr>
        <w:shd w:val="clear" w:color="auto" w:fill="auto"/>
        <w:tabs>
          <w:tab w:pos="837" w:val="left"/>
        </w:tabs>
        <w:bidi w:val="0"/>
        <w:spacing w:before="0" w:line="314" w:lineRule="exact"/>
        <w:ind w:left="0" w:right="0" w:firstLine="440"/>
        <w:jc w:val="left"/>
      </w:pPr>
      <w:bookmarkStart w:id="160" w:name="bookmark160"/>
      <w:bookmarkEnd w:id="160"/>
      <w:r>
        <w:rPr>
          <w:color w:val="000000"/>
          <w:spacing w:val="0"/>
          <w:w w:val="100"/>
          <w:position w:val="0"/>
        </w:rPr>
        <w:t>现金及现金等价物净增加额较上年同期增加</w:t>
      </w:r>
      <w:r>
        <w:rPr>
          <w:rFonts w:ascii="Times New Roman" w:eastAsia="Times New Roman" w:hAnsi="Times New Roman" w:cs="Times New Roman"/>
          <w:color w:val="000000"/>
          <w:spacing w:val="0"/>
          <w:w w:val="100"/>
          <w:position w:val="0"/>
        </w:rPr>
        <w:t>625.93%</w:t>
      </w:r>
      <w:r>
        <w:rPr>
          <w:color w:val="000000"/>
          <w:spacing w:val="0"/>
          <w:w w:val="100"/>
          <w:position w:val="0"/>
        </w:rPr>
        <w:t>，主要原因为：收到发行股票募集资金。</w:t>
      </w:r>
    </w:p>
    <w:p>
      <w:pPr>
        <w:pStyle w:val="Style31"/>
        <w:keepNext w:val="0"/>
        <w:keepLines w:val="0"/>
        <w:widowControl w:val="0"/>
        <w:shd w:val="clear" w:color="auto" w:fill="auto"/>
        <w:bidi w:val="0"/>
        <w:spacing w:before="0" w:after="220" w:line="314" w:lineRule="exact"/>
        <w:ind w:left="0" w:right="0" w:firstLine="440"/>
        <w:jc w:val="left"/>
      </w:pPr>
      <w:r>
        <w:rPr>
          <w:color w:val="000000"/>
          <w:spacing w:val="0"/>
          <w:w w:val="100"/>
          <w:position w:val="0"/>
        </w:rPr>
        <w:t>报告期内公司经营活动产生的现金净流量与本年度净利润存在重大差异的原因说明</w:t>
      </w:r>
    </w:p>
    <w:p>
      <w:pPr>
        <w:pStyle w:val="Style31"/>
        <w:keepNext w:val="0"/>
        <w:keepLines w:val="0"/>
        <w:widowControl w:val="0"/>
        <w:shd w:val="clear" w:color="auto" w:fill="auto"/>
        <w:bidi w:val="0"/>
        <w:spacing w:before="0" w:after="40"/>
        <w:ind w:left="0" w:right="0" w:firstLine="44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360" w:line="322" w:lineRule="exact"/>
        <w:ind w:left="0" w:right="0" w:firstLine="440"/>
        <w:jc w:val="both"/>
      </w:pPr>
      <w:r>
        <w:rPr>
          <w:color w:val="000000"/>
          <w:spacing w:val="0"/>
          <w:w w:val="100"/>
          <w:position w:val="0"/>
        </w:rPr>
        <w:t>报告期内经营活动产生的现金净流量</w:t>
      </w:r>
      <w:r>
        <w:rPr>
          <w:rFonts w:ascii="Times New Roman" w:eastAsia="Times New Roman" w:hAnsi="Times New Roman" w:cs="Times New Roman"/>
          <w:color w:val="000000"/>
          <w:spacing w:val="0"/>
          <w:w w:val="100"/>
          <w:position w:val="0"/>
        </w:rPr>
        <w:t>-33,654,600.68</w:t>
      </w:r>
      <w:r>
        <w:rPr>
          <w:color w:val="000000"/>
          <w:spacing w:val="0"/>
          <w:w w:val="100"/>
          <w:position w:val="0"/>
        </w:rPr>
        <w:t>元与本年度净利润</w:t>
      </w:r>
      <w:r>
        <w:rPr>
          <w:rFonts w:ascii="Times New Roman" w:eastAsia="Times New Roman" w:hAnsi="Times New Roman" w:cs="Times New Roman"/>
          <w:color w:val="000000"/>
          <w:spacing w:val="0"/>
          <w:w w:val="100"/>
          <w:position w:val="0"/>
        </w:rPr>
        <w:t>55,628,977.04</w:t>
      </w:r>
      <w:r>
        <w:rPr>
          <w:color w:val="000000"/>
          <w:spacing w:val="0"/>
          <w:w w:val="100"/>
          <w:position w:val="0"/>
        </w:rPr>
        <w:t>元存在重大差异， 主要原因为应收帐款、存货、支付货款大幅增加。</w:t>
      </w:r>
    </w:p>
    <w:p>
      <w:pPr>
        <w:pStyle w:val="Style25"/>
        <w:keepNext/>
        <w:keepLines/>
        <w:widowControl w:val="0"/>
        <w:shd w:val="clear" w:color="auto" w:fill="auto"/>
        <w:bidi w:val="0"/>
        <w:spacing w:before="0" w:after="36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rPr>
        <w:t>五</w:t>
      </w:r>
      <w:bookmarkEnd w:id="163"/>
      <w:r>
        <w:rPr>
          <w:color w:val="000000"/>
          <w:spacing w:val="0"/>
          <w:w w:val="100"/>
          <w:position w:val="0"/>
        </w:rPr>
        <w:t>、非主营业务情况</w:t>
      </w:r>
      <w:bookmarkEnd w:id="161"/>
      <w:bookmarkEnd w:id="162"/>
      <w:bookmarkEnd w:id="164"/>
    </w:p>
    <w:p>
      <w:pPr>
        <w:pStyle w:val="Style21"/>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q</w:t>
      </w:r>
      <w:r>
        <w:rPr>
          <w:color w:val="000000"/>
          <w:spacing w:val="0"/>
          <w:w w:val="100"/>
          <w:position w:val="0"/>
        </w:rPr>
        <w:t>不适用</w:t>
      </w:r>
      <w:r>
        <w:br w:type="page"/>
      </w:r>
    </w:p>
    <w:p>
      <w:pPr>
        <w:pStyle w:val="Style25"/>
        <w:keepNext/>
        <w:keepLines/>
        <w:widowControl w:val="0"/>
        <w:shd w:val="clear" w:color="auto" w:fill="auto"/>
        <w:bidi w:val="0"/>
        <w:spacing w:before="0" w:after="36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rPr>
        <w:t>六</w:t>
      </w:r>
      <w:bookmarkEnd w:id="167"/>
      <w:r>
        <w:rPr>
          <w:color w:val="000000"/>
          <w:spacing w:val="0"/>
          <w:w w:val="100"/>
          <w:position w:val="0"/>
        </w:rPr>
        <w:t>、资产及负债状况分析</w:t>
      </w:r>
      <w:bookmarkEnd w:id="165"/>
      <w:bookmarkEnd w:id="166"/>
      <w:bookmarkEnd w:id="168"/>
    </w:p>
    <w:p>
      <w:pPr>
        <w:pStyle w:val="Style28"/>
        <w:keepNext/>
        <w:keepLines/>
        <w:widowControl w:val="0"/>
        <w:shd w:val="clear" w:color="auto" w:fill="auto"/>
        <w:bidi w:val="0"/>
        <w:spacing w:before="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1</w:t>
      </w:r>
      <w:bookmarkEnd w:id="171"/>
      <w:r>
        <w:rPr>
          <w:color w:val="000000"/>
          <w:spacing w:val="0"/>
          <w:w w:val="100"/>
          <w:position w:val="0"/>
        </w:rPr>
        <w:t>、资产构成重大变动情况</w:t>
      </w:r>
      <w:bookmarkEnd w:id="169"/>
      <w:bookmarkEnd w:id="170"/>
      <w:bookmarkEnd w:id="172"/>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1181"/>
        <w:gridCol w:w="1075"/>
        <w:gridCol w:w="1210"/>
        <w:gridCol w:w="1080"/>
        <w:gridCol w:w="806"/>
        <w:gridCol w:w="2966"/>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653,298,458.22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182,800,994.31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主要系收到发行股票募集资金所致。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180,394,347.22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113,560,403.23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主要系年底交付的大型项目多而回款 少，以及政府批量集中采购设备销售 增长快，回款慢，导致应收账款增多。</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4,488,989.79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2,680,711.05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主要系交付项目质保金增多所致。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55,241,050.24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26,093,371.17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主要系投产项目增多，投入存货增多 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4,350,443.05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4,998,622.83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9,638,074.38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13,520,775.71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5,012,423.61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主要系自有资金充足，偿还所有贷款 所致。</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39,500,983.26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56,257,516.59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主要系预收货款减少，原预收货款的 项目验收，合同负债结转为应收款项 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5,538,384.39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9,074,710.78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79" w:line="1" w:lineRule="exact"/>
      </w:pPr>
    </w:p>
    <w:p>
      <w:pPr>
        <w:pStyle w:val="Style31"/>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境外资产占比较高</w:t>
      </w:r>
    </w:p>
    <w:p>
      <w:pPr>
        <w:pStyle w:val="Style31"/>
        <w:keepNext w:val="0"/>
        <w:keepLines w:val="0"/>
        <w:widowControl w:val="0"/>
        <w:shd w:val="clear" w:color="auto" w:fill="auto"/>
        <w:bidi w:val="0"/>
        <w:spacing w:before="0" w:after="36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2</w:t>
      </w:r>
      <w:bookmarkEnd w:id="175"/>
      <w:r>
        <w:rPr>
          <w:color w:val="000000"/>
          <w:spacing w:val="0"/>
          <w:w w:val="100"/>
          <w:position w:val="0"/>
        </w:rPr>
        <w:t>、以公允价值计量的资产和负债</w:t>
      </w:r>
      <w:bookmarkEnd w:id="173"/>
      <w:bookmarkEnd w:id="174"/>
      <w:bookmarkEnd w:id="176"/>
    </w:p>
    <w:p>
      <w:pPr>
        <w:pStyle w:val="Style31"/>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027"/>
        <w:gridCol w:w="1080"/>
        <w:gridCol w:w="1210"/>
        <w:gridCol w:w="941"/>
        <w:gridCol w:w="1210"/>
        <w:gridCol w:w="1080"/>
        <w:gridCol w:w="926"/>
        <w:gridCol w:w="123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计入权益的累</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计公允价值变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bl>
    <w:tbl>
      <w:tblPr>
        <w:tblOverlap w:val="never"/>
        <w:jc w:val="center"/>
        <w:tblLayout w:type="fixed"/>
      </w:tblPr>
      <w:tblGrid>
        <w:gridCol w:w="998"/>
        <w:gridCol w:w="1027"/>
        <w:gridCol w:w="1080"/>
        <w:gridCol w:w="1210"/>
        <w:gridCol w:w="941"/>
        <w:gridCol w:w="1210"/>
        <w:gridCol w:w="1080"/>
        <w:gridCol w:w="926"/>
        <w:gridCol w:w="123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计入权益的累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计公允价值变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219" w:line="1" w:lineRule="exact"/>
      </w:pPr>
    </w:p>
    <w:p>
      <w:pPr>
        <w:pStyle w:val="Style31"/>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其他变动的内容</w:t>
      </w:r>
    </w:p>
    <w:p>
      <w:pPr>
        <w:pStyle w:val="Style31"/>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无。</w:t>
      </w:r>
    </w:p>
    <w:p>
      <w:pPr>
        <w:pStyle w:val="Style31"/>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报告期内公司主要资产计量属性是否发生重大变化</w:t>
      </w:r>
    </w:p>
    <w:p>
      <w:pPr>
        <w:pStyle w:val="Style31"/>
        <w:keepNext w:val="0"/>
        <w:keepLines w:val="0"/>
        <w:widowControl w:val="0"/>
        <w:shd w:val="clear" w:color="auto" w:fill="auto"/>
        <w:bidi w:val="0"/>
        <w:spacing w:before="0" w:after="340" w:line="240" w:lineRule="auto"/>
        <w:ind w:left="0" w:right="0" w:firstLine="4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28"/>
        <w:keepNext/>
        <w:keepLines/>
        <w:widowControl w:val="0"/>
        <w:shd w:val="clear" w:color="auto" w:fill="auto"/>
        <w:bidi w:val="0"/>
        <w:spacing w:before="0" w:after="340" w:line="240" w:lineRule="auto"/>
        <w:ind w:left="0" w:right="0" w:firstLine="0"/>
        <w:jc w:val="both"/>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3</w:t>
      </w:r>
      <w:bookmarkEnd w:id="179"/>
      <w:r>
        <w:rPr>
          <w:color w:val="000000"/>
          <w:spacing w:val="0"/>
          <w:w w:val="100"/>
          <w:position w:val="0"/>
        </w:rPr>
        <w:t>、截至报告期末的资产权利受限情况</w:t>
      </w:r>
      <w:bookmarkEnd w:id="177"/>
      <w:bookmarkEnd w:id="178"/>
      <w:bookmarkEnd w:id="180"/>
    </w:p>
    <w:tbl>
      <w:tblPr>
        <w:tblOverlap w:val="never"/>
        <w:jc w:val="center"/>
        <w:tblLayout w:type="fixed"/>
      </w:tblPr>
      <w:tblGrid>
        <w:gridCol w:w="1200"/>
        <w:gridCol w:w="1771"/>
        <w:gridCol w:w="6706"/>
      </w:tblGrid>
      <w:tr>
        <w:trPr>
          <w:trHeight w:val="3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2,877,465.67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质押的银行存款、保函保证金、银行承兑汇票保证金</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both"/>
      </w:pPr>
      <w:bookmarkStart w:id="181" w:name="bookmark181"/>
      <w:bookmarkStart w:id="182" w:name="bookmark182"/>
      <w:bookmarkStart w:id="183" w:name="bookmark183"/>
      <w:bookmarkStart w:id="184" w:name="bookmark184"/>
      <w:r>
        <w:rPr>
          <w:color w:val="000000"/>
          <w:spacing w:val="0"/>
          <w:w w:val="100"/>
          <w:position w:val="0"/>
        </w:rPr>
        <w:t>七</w:t>
      </w:r>
      <w:bookmarkEnd w:id="183"/>
      <w:r>
        <w:rPr>
          <w:color w:val="000000"/>
          <w:spacing w:val="0"/>
          <w:w w:val="100"/>
          <w:position w:val="0"/>
        </w:rPr>
        <w:t>、投资状况分析</w:t>
      </w:r>
      <w:bookmarkEnd w:id="181"/>
      <w:bookmarkEnd w:id="182"/>
      <w:bookmarkEnd w:id="184"/>
    </w:p>
    <w:p>
      <w:pPr>
        <w:pStyle w:val="Style28"/>
        <w:keepNext/>
        <w:keepLines/>
        <w:widowControl w:val="0"/>
        <w:shd w:val="clear" w:color="auto" w:fill="auto"/>
        <w:tabs>
          <w:tab w:pos="368" w:val="left"/>
        </w:tabs>
        <w:bidi w:val="0"/>
        <w:spacing w:before="0" w:after="340" w:line="240" w:lineRule="auto"/>
        <w:ind w:left="0" w:right="0" w:firstLine="0"/>
        <w:jc w:val="both"/>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1</w:t>
      </w:r>
      <w:bookmarkEnd w:id="187"/>
      <w:r>
        <w:rPr>
          <w:color w:val="000000"/>
          <w:spacing w:val="0"/>
          <w:w w:val="100"/>
          <w:position w:val="0"/>
        </w:rPr>
        <w:t>、</w:t>
        <w:tab/>
        <w:t>总体情况</w:t>
      </w:r>
      <w:bookmarkEnd w:id="185"/>
      <w:bookmarkEnd w:id="186"/>
      <w:bookmarkEnd w:id="188"/>
    </w:p>
    <w:p>
      <w:pPr>
        <w:pStyle w:val="Style31"/>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8"/>
        <w:keepNext/>
        <w:keepLines/>
        <w:widowControl w:val="0"/>
        <w:shd w:val="clear" w:color="auto" w:fill="auto"/>
        <w:tabs>
          <w:tab w:pos="378" w:val="left"/>
        </w:tabs>
        <w:bidi w:val="0"/>
        <w:spacing w:before="0" w:after="340" w:line="240" w:lineRule="auto"/>
        <w:ind w:left="0" w:right="0" w:firstLine="0"/>
        <w:jc w:val="both"/>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2</w:t>
      </w:r>
      <w:bookmarkEnd w:id="191"/>
      <w:r>
        <w:rPr>
          <w:color w:val="000000"/>
          <w:spacing w:val="0"/>
          <w:w w:val="100"/>
          <w:position w:val="0"/>
        </w:rPr>
        <w:t>、</w:t>
        <w:tab/>
        <w:t>报告期内获取的重大的股权投资情况</w:t>
      </w:r>
      <w:bookmarkEnd w:id="189"/>
      <w:bookmarkEnd w:id="190"/>
      <w:bookmarkEnd w:id="192"/>
    </w:p>
    <w:p>
      <w:pPr>
        <w:pStyle w:val="Style31"/>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8"/>
        <w:keepNext/>
        <w:keepLines/>
        <w:widowControl w:val="0"/>
        <w:shd w:val="clear" w:color="auto" w:fill="auto"/>
        <w:tabs>
          <w:tab w:pos="378" w:val="left"/>
        </w:tabs>
        <w:bidi w:val="0"/>
        <w:spacing w:before="0" w:after="340" w:line="240" w:lineRule="auto"/>
        <w:ind w:left="0" w:right="0" w:firstLine="0"/>
        <w:jc w:val="both"/>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3</w:t>
      </w:r>
      <w:bookmarkEnd w:id="195"/>
      <w:r>
        <w:rPr>
          <w:color w:val="000000"/>
          <w:spacing w:val="0"/>
          <w:w w:val="100"/>
          <w:position w:val="0"/>
        </w:rPr>
        <w:t>、</w:t>
        <w:tab/>
        <w:t>报告期内正在进行的重大的非股权投资情况</w:t>
      </w:r>
      <w:bookmarkEnd w:id="193"/>
      <w:bookmarkEnd w:id="194"/>
      <w:bookmarkEnd w:id="196"/>
    </w:p>
    <w:p>
      <w:pPr>
        <w:pStyle w:val="Style31"/>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8"/>
        <w:keepNext/>
        <w:keepLines/>
        <w:widowControl w:val="0"/>
        <w:shd w:val="clear" w:color="auto" w:fill="auto"/>
        <w:tabs>
          <w:tab w:pos="378" w:val="left"/>
        </w:tabs>
        <w:bidi w:val="0"/>
        <w:spacing w:before="0" w:after="340" w:line="240" w:lineRule="auto"/>
        <w:ind w:left="0" w:right="0" w:firstLine="0"/>
        <w:jc w:val="both"/>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4</w:t>
      </w:r>
      <w:bookmarkEnd w:id="199"/>
      <w:r>
        <w:rPr>
          <w:color w:val="000000"/>
          <w:spacing w:val="0"/>
          <w:w w:val="100"/>
          <w:position w:val="0"/>
        </w:rPr>
        <w:t>、</w:t>
        <w:tab/>
        <w:t>以公允价值计量的金融资产</w:t>
      </w:r>
      <w:bookmarkEnd w:id="197"/>
      <w:bookmarkEnd w:id="198"/>
      <w:bookmarkEnd w:id="200"/>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1003"/>
        <w:gridCol w:w="1085"/>
        <w:gridCol w:w="1176"/>
        <w:gridCol w:w="1190"/>
        <w:gridCol w:w="950"/>
        <w:gridCol w:w="955"/>
        <w:gridCol w:w="998"/>
        <w:gridCol w:w="960"/>
      </w:tblGrid>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资产类别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初始投资成 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计入权益的累</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计公允价值变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报告期内</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售出金额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累计投资 收益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bl>
    <w:p>
      <w:pPr>
        <w:spacing w:lineRule="exact" w:line="1"/>
        <w:rPr>
          <w:sz w:val="2"/>
          <w:szCs w:val="2"/>
        </w:rPr>
      </w:pPr>
      <w:r>
        <w:br w:type="page"/>
      </w:r>
    </w:p>
    <w:tbl>
      <w:tblPr>
        <w:tblOverlap w:val="never"/>
        <w:jc w:val="center"/>
        <w:tblLayout w:type="fixed"/>
      </w:tblPr>
      <w:tblGrid>
        <w:gridCol w:w="1392"/>
        <w:gridCol w:w="1003"/>
        <w:gridCol w:w="1085"/>
        <w:gridCol w:w="1176"/>
        <w:gridCol w:w="1190"/>
        <w:gridCol w:w="950"/>
        <w:gridCol w:w="955"/>
        <w:gridCol w:w="998"/>
        <w:gridCol w:w="96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初始投资成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计入权益的累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计公允价值变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售出金额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累计投资 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5</w:t>
      </w:r>
      <w:bookmarkEnd w:id="203"/>
      <w:r>
        <w:rPr>
          <w:color w:val="000000"/>
          <w:spacing w:val="0"/>
          <w:w w:val="100"/>
          <w:position w:val="0"/>
        </w:rPr>
        <w:t>、募集资金使用情况</w:t>
      </w:r>
      <w:bookmarkEnd w:id="201"/>
      <w:bookmarkEnd w:id="202"/>
      <w:bookmarkEnd w:id="204"/>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5"/>
        <w:keepNext/>
        <w:keepLines/>
        <w:widowControl w:val="0"/>
        <w:shd w:val="clear" w:color="auto" w:fill="auto"/>
        <w:bidi w:val="0"/>
        <w:spacing w:before="0" w:after="34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rPr>
        <w:t>（</w:t>
      </w:r>
      <w:bookmarkEnd w:id="20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5"/>
      <w:bookmarkEnd w:id="206"/>
      <w:bookmarkEnd w:id="208"/>
    </w:p>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883"/>
        <w:gridCol w:w="883"/>
        <w:gridCol w:w="883"/>
        <w:gridCol w:w="878"/>
        <w:gridCol w:w="883"/>
        <w:gridCol w:w="878"/>
        <w:gridCol w:w="883"/>
        <w:gridCol w:w="883"/>
        <w:gridCol w:w="883"/>
        <w:gridCol w:w="878"/>
        <w:gridCol w:w="893"/>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本期已使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变更用途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的募集资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累计变更</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用途的募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集资金总</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累计变更</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用途的募</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集资金总</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用途及去</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公开发行 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51,026.07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4,488.16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4,488.16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存放于募 集资金专 户，按募投 项目计划 规范使用。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51,026.07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4,488.16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4,488.16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46,537.91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4229" w:hRule="exact"/>
        </w:trPr>
        <w:tc>
          <w:tcPr>
            <w:gridSpan w:val="11"/>
            <w:tcBorders>
              <w:top w:val="single" w:sz="4"/>
              <w:left w:val="single" w:sz="4"/>
              <w:bottom w:val="single" w:sz="4"/>
              <w:right w:val="single" w:sz="4"/>
            </w:tcBorders>
            <w:shd w:val="clear" w:color="auto" w:fill="FFFFFF"/>
            <w:vAlign w:val="bottom"/>
          </w:tcPr>
          <w:p>
            <w:pPr>
              <w:pStyle w:val="Style2"/>
              <w:keepNext w:val="0"/>
              <w:keepLines w:val="0"/>
              <w:widowControl w:val="0"/>
              <w:numPr>
                <w:ilvl w:val="0"/>
                <w:numId w:val="89"/>
              </w:numPr>
              <w:shd w:val="clear" w:color="auto" w:fill="auto"/>
              <w:tabs>
                <w:tab w:pos="654" w:val="left"/>
              </w:tabs>
              <w:bidi w:val="0"/>
              <w:spacing w:before="0" w:after="140" w:line="312" w:lineRule="exact"/>
              <w:ind w:left="0" w:right="0" w:firstLine="380"/>
              <w:jc w:val="both"/>
            </w:pPr>
            <w:r>
              <w:rPr>
                <w:color w:val="000000"/>
                <w:spacing w:val="0"/>
                <w:w w:val="100"/>
                <w:position w:val="0"/>
              </w:rPr>
              <w:t>募集资金基本情况</w:t>
            </w:r>
          </w:p>
          <w:p>
            <w:pPr>
              <w:pStyle w:val="Style2"/>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日采用网上定价方式公开发行人民币普通股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11,778,000.00</w:t>
            </w:r>
            <w:r>
              <w:rPr>
                <w:color w:val="000000"/>
                <w:spacing w:val="0"/>
                <w:w w:val="100"/>
                <w:position w:val="0"/>
              </w:rPr>
              <w:t>股，每股面值为人民币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 每股发行价格为人民币</w:t>
            </w:r>
            <w:r>
              <w:rPr>
                <w:rFonts w:ascii="Times New Roman" w:eastAsia="Times New Roman" w:hAnsi="Times New Roman" w:cs="Times New Roman"/>
                <w:color w:val="000000"/>
                <w:spacing w:val="0"/>
                <w:w w:val="100"/>
                <w:position w:val="0"/>
                <w:sz w:val="18"/>
                <w:szCs w:val="18"/>
              </w:rPr>
              <w:t>48.66</w:t>
            </w:r>
            <w:r>
              <w:rPr>
                <w:color w:val="000000"/>
                <w:spacing w:val="0"/>
                <w:w w:val="100"/>
                <w:position w:val="0"/>
              </w:rPr>
              <w:t>元，募集资金总额</w:t>
            </w:r>
            <w:r>
              <w:rPr>
                <w:rFonts w:ascii="Times New Roman" w:eastAsia="Times New Roman" w:hAnsi="Times New Roman" w:cs="Times New Roman"/>
                <w:color w:val="000000"/>
                <w:spacing w:val="0"/>
                <w:w w:val="100"/>
                <w:position w:val="0"/>
                <w:sz w:val="18"/>
                <w:szCs w:val="18"/>
              </w:rPr>
              <w:t>573,117,480.00</w:t>
            </w:r>
            <w:r>
              <w:rPr>
                <w:color w:val="000000"/>
                <w:spacing w:val="0"/>
                <w:w w:val="100"/>
                <w:position w:val="0"/>
              </w:rPr>
              <w:t>元，实际募集资金净额</w:t>
            </w:r>
            <w:r>
              <w:rPr>
                <w:rFonts w:ascii="Times New Roman" w:eastAsia="Times New Roman" w:hAnsi="Times New Roman" w:cs="Times New Roman"/>
                <w:color w:val="000000"/>
                <w:spacing w:val="0"/>
                <w:w w:val="100"/>
                <w:position w:val="0"/>
                <w:sz w:val="18"/>
                <w:szCs w:val="18"/>
              </w:rPr>
              <w:t>510,260,652.00</w:t>
            </w:r>
            <w:r>
              <w:rPr>
                <w:color w:val="000000"/>
                <w:spacing w:val="0"/>
                <w:w w:val="100"/>
                <w:position w:val="0"/>
              </w:rPr>
              <w:t>元。该项募集资金已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日存入公司募集资金专用账户，并经中审众环会计师事务所（特殊普通合伙）以众环验字（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0600012 </w:t>
            </w:r>
            <w:r>
              <w:rPr>
                <w:color w:val="000000"/>
                <w:spacing w:val="0"/>
                <w:w w:val="100"/>
                <w:position w:val="0"/>
              </w:rPr>
              <w:t>号《验资报告》审验。根据公司《首次公开发行股票并在创业板上市招股说明书》公司拟募集资金</w:t>
            </w:r>
            <w:r>
              <w:rPr>
                <w:rFonts w:ascii="Times New Roman" w:eastAsia="Times New Roman" w:hAnsi="Times New Roman" w:cs="Times New Roman"/>
                <w:color w:val="000000"/>
                <w:spacing w:val="0"/>
                <w:w w:val="100"/>
                <w:position w:val="0"/>
                <w:sz w:val="18"/>
                <w:szCs w:val="18"/>
              </w:rPr>
              <w:t>279,361,500.00</w:t>
            </w:r>
            <w:r>
              <w:rPr>
                <w:color w:val="000000"/>
                <w:spacing w:val="0"/>
                <w:w w:val="100"/>
                <w:position w:val="0"/>
              </w:rPr>
              <w:t>元，本次 超募资金为</w:t>
            </w:r>
            <w:r>
              <w:rPr>
                <w:rFonts w:ascii="Times New Roman" w:eastAsia="Times New Roman" w:hAnsi="Times New Roman" w:cs="Times New Roman"/>
                <w:color w:val="000000"/>
                <w:spacing w:val="0"/>
                <w:w w:val="100"/>
                <w:position w:val="0"/>
                <w:sz w:val="18"/>
                <w:szCs w:val="18"/>
              </w:rPr>
              <w:t>230,899,152.00</w:t>
            </w:r>
            <w:r>
              <w:rPr>
                <w:color w:val="000000"/>
                <w:spacing w:val="0"/>
                <w:w w:val="100"/>
                <w:position w:val="0"/>
              </w:rPr>
              <w:t>元。</w:t>
            </w:r>
          </w:p>
          <w:p>
            <w:pPr>
              <w:pStyle w:val="Style2"/>
              <w:keepNext w:val="0"/>
              <w:keepLines w:val="0"/>
              <w:widowControl w:val="0"/>
              <w:numPr>
                <w:ilvl w:val="0"/>
                <w:numId w:val="89"/>
              </w:numPr>
              <w:shd w:val="clear" w:color="auto" w:fill="auto"/>
              <w:tabs>
                <w:tab w:pos="658" w:val="left"/>
              </w:tabs>
              <w:bidi w:val="0"/>
              <w:spacing w:before="0" w:after="140" w:line="312" w:lineRule="exact"/>
              <w:ind w:left="0" w:right="0" w:firstLine="380"/>
              <w:jc w:val="both"/>
            </w:pPr>
            <w:r>
              <w:rPr>
                <w:color w:val="000000"/>
                <w:spacing w:val="0"/>
                <w:w w:val="100"/>
                <w:position w:val="0"/>
              </w:rPr>
              <w:t>报告期内使用情况</w:t>
            </w:r>
          </w:p>
          <w:p>
            <w:pPr>
              <w:pStyle w:val="Style2"/>
              <w:keepNext w:val="0"/>
              <w:keepLines w:val="0"/>
              <w:widowControl w:val="0"/>
              <w:shd w:val="clear" w:color="auto" w:fill="auto"/>
              <w:bidi w:val="0"/>
              <w:spacing w:before="0" w:after="140" w:line="319"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日，公司累计使用募集资金</w:t>
            </w:r>
            <w:r>
              <w:rPr>
                <w:rFonts w:ascii="Times New Roman" w:eastAsia="Times New Roman" w:hAnsi="Times New Roman" w:cs="Times New Roman"/>
                <w:color w:val="000000"/>
                <w:spacing w:val="0"/>
                <w:w w:val="100"/>
                <w:position w:val="0"/>
                <w:sz w:val="18"/>
                <w:szCs w:val="18"/>
              </w:rPr>
              <w:t>44,881,571.36</w:t>
            </w:r>
            <w:r>
              <w:rPr>
                <w:color w:val="000000"/>
                <w:spacing w:val="0"/>
                <w:w w:val="100"/>
                <w:position w:val="0"/>
              </w:rPr>
              <w:t>元，用于补充流动资金项目；累计使用闲置募集资金 （含超募资金）进行现金管理的未到期余额为人民币</w:t>
            </w:r>
            <w:r>
              <w:rPr>
                <w:rFonts w:ascii="Times New Roman" w:eastAsia="Times New Roman" w:hAnsi="Times New Roman" w:cs="Times New Roman"/>
                <w:color w:val="000000"/>
                <w:spacing w:val="0"/>
                <w:w w:val="100"/>
                <w:position w:val="0"/>
                <w:sz w:val="18"/>
                <w:szCs w:val="18"/>
              </w:rPr>
              <w:t>423,835,706.11</w:t>
            </w:r>
            <w:r>
              <w:rPr>
                <w:color w:val="000000"/>
                <w:spacing w:val="0"/>
                <w:w w:val="100"/>
                <w:position w:val="0"/>
              </w:rPr>
              <w:t>元，未超过股东大会对使用闲置募集资金进行现金管理 的授权额度。</w:t>
            </w:r>
          </w:p>
          <w:p>
            <w:pPr>
              <w:pStyle w:val="Style2"/>
              <w:keepNext w:val="0"/>
              <w:keepLines w:val="0"/>
              <w:widowControl w:val="0"/>
              <w:shd w:val="clear" w:color="auto" w:fill="auto"/>
              <w:bidi w:val="0"/>
              <w:spacing w:before="0" w:after="140" w:line="312"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日，公司以自筹资金预先支付发行费用</w:t>
            </w:r>
            <w:r>
              <w:rPr>
                <w:rFonts w:ascii="Times New Roman" w:eastAsia="Times New Roman" w:hAnsi="Times New Roman" w:cs="Times New Roman"/>
                <w:color w:val="000000"/>
                <w:spacing w:val="0"/>
                <w:w w:val="100"/>
                <w:position w:val="0"/>
                <w:sz w:val="18"/>
                <w:szCs w:val="18"/>
              </w:rPr>
              <w:t>3,718,920.75</w:t>
            </w:r>
            <w:r>
              <w:rPr>
                <w:color w:val="000000"/>
                <w:spacing w:val="0"/>
                <w:w w:val="100"/>
                <w:position w:val="0"/>
              </w:rPr>
              <w:t>元，尚待从募集资金中置换。</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rPr>
        <w:t>（</w:t>
      </w:r>
      <w:bookmarkEnd w:id="211"/>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09"/>
      <w:bookmarkEnd w:id="210"/>
      <w:bookmarkEnd w:id="212"/>
    </w:p>
    <w:p>
      <w:pPr>
        <w:pStyle w:val="Style31"/>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14"/>
        <w:keepNext w:val="0"/>
        <w:keepLines w:val="0"/>
        <w:widowControl w:val="0"/>
        <w:shd w:val="clear" w:color="auto" w:fill="auto"/>
        <w:bidi w:val="0"/>
        <w:spacing w:before="0" w:after="0" w:line="240" w:lineRule="auto"/>
        <w:ind w:left="8765" w:right="0" w:firstLine="0"/>
        <w:jc w:val="left"/>
      </w:pPr>
      <w:r>
        <w:rPr>
          <w:color w:val="000000"/>
          <w:spacing w:val="0"/>
          <w:w w:val="100"/>
          <w:position w:val="0"/>
        </w:rPr>
        <w:t>单位：万元</w:t>
      </w:r>
    </w:p>
    <w:tbl>
      <w:tblPr>
        <w:tblOverlap w:val="never"/>
        <w:jc w:val="center"/>
        <w:tblLayout w:type="fixed"/>
      </w:tblPr>
      <w:tblGrid>
        <w:gridCol w:w="1032"/>
        <w:gridCol w:w="595"/>
        <w:gridCol w:w="1090"/>
        <w:gridCol w:w="1042"/>
        <w:gridCol w:w="1152"/>
        <w:gridCol w:w="1234"/>
        <w:gridCol w:w="869"/>
        <w:gridCol w:w="706"/>
        <w:gridCol w:w="451"/>
        <w:gridCol w:w="552"/>
        <w:gridCol w:w="422"/>
        <w:gridCol w:w="566"/>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承诺投资项</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目和超募资</w:t>
            </w:r>
          </w:p>
          <w:p>
            <w:pPr>
              <w:pStyle w:val="Style2"/>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p>
          <w:p>
            <w:pPr>
              <w:pStyle w:val="Style2"/>
              <w:keepNext w:val="0"/>
              <w:keepLines w:val="0"/>
              <w:widowControl w:val="0"/>
              <w:shd w:val="clear" w:color="auto" w:fill="auto"/>
              <w:bidi w:val="0"/>
              <w:spacing w:before="0" w:after="0" w:line="341" w:lineRule="exact"/>
              <w:ind w:left="0" w:right="0" w:firstLine="0"/>
              <w:jc w:val="center"/>
              <w:rPr>
                <w:sz w:val="18"/>
                <w:szCs w:val="18"/>
              </w:rPr>
            </w:pPr>
            <w:r>
              <w:rPr>
                <w:color w:val="000000"/>
                <w:spacing w:val="0"/>
                <w:w w:val="100"/>
                <w:position w:val="0"/>
                <w:sz w:val="17"/>
                <w:szCs w:val="17"/>
              </w:rPr>
              <w:t>部分变 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募集资金承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诺投资总额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调整后投资</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本报告期投入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截至期末累计 投入金额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rPr>
                <w:sz w:val="18"/>
                <w:szCs w:val="18"/>
              </w:rPr>
            </w:pPr>
            <w:r>
              <w:rPr>
                <w:color w:val="000000"/>
                <w:spacing w:val="0"/>
                <w:w w:val="100"/>
                <w:position w:val="0"/>
                <w:sz w:val="17"/>
                <w:szCs w:val="17"/>
              </w:rPr>
              <w:t xml:space="preserve">截至期末 投资进度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告期 实现 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截止 报告 期末 累计 实现 的效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 达到 预计 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 可行 性是 否发 生重 大变 化</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智慧城市综</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合解决方案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升级项目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125,727,000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125,727,000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大数据应用</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技术中心建</w:t>
            </w:r>
          </w:p>
          <w:p>
            <w:pPr>
              <w:pStyle w:val="Style2"/>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37,636,000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37,636,000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营销服务体</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系升级建设</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15,998,500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15,998,500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补充流动资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44,881,571.36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44,881,571.36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承诺投资项</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279,361,500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279,361,500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44,881,571.36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44,881,571.36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279,361,500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279,361,500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44,881,571.36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44,881,571.36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未达到计划 进度或预计 收益的情况 和原因(分 具体项目)</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项目可行性</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发生重大变</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化的情况说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明</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超募资金的 金额、用途 及使用进展 情况</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936"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w:t>
            </w:r>
            <w:r>
              <w:rPr>
                <w:rFonts w:ascii="Times New Roman" w:eastAsia="Times New Roman" w:hAnsi="Times New Roman" w:cs="Times New Roman"/>
                <w:color w:val="000000"/>
                <w:spacing w:val="0"/>
                <w:w w:val="100"/>
                <w:position w:val="0"/>
                <w:sz w:val="18"/>
                <w:szCs w:val="18"/>
              </w:rPr>
              <w:t>230,899,152.00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日暂未确定用途，用于现金管理。</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募集资金投 资项目实施</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2"/>
        <w:gridCol w:w="595"/>
        <w:gridCol w:w="1090"/>
        <w:gridCol w:w="1042"/>
        <w:gridCol w:w="1152"/>
        <w:gridCol w:w="1234"/>
        <w:gridCol w:w="869"/>
        <w:gridCol w:w="706"/>
        <w:gridCol w:w="451"/>
        <w:gridCol w:w="552"/>
        <w:gridCol w:w="422"/>
        <w:gridCol w:w="56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r>
      <w:tr>
        <w:trPr>
          <w:trHeight w:val="37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是否已</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截至期末</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项目达</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w:t>
            </w:r>
          </w:p>
        </w:tc>
      </w:tr>
      <w:tr>
        <w:trPr>
          <w:trHeight w:val="163" w:hRule="exact"/>
        </w:trPr>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变更项</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投资进度</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到预定</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告期</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w:t>
            </w: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性是</w:t>
            </w:r>
          </w:p>
        </w:tc>
      </w:tr>
      <w:tr>
        <w:trPr>
          <w:trHeight w:val="163"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募集资金承</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调整后投资</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本报告期投入</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截至期末累计</w:t>
            </w: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达到</w:t>
            </w:r>
          </w:p>
        </w:tc>
        <w:tc>
          <w:tcPr>
            <w:vMerge w:val="restart"/>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否发</w:t>
            </w:r>
          </w:p>
        </w:tc>
      </w:tr>
      <w:tr>
        <w:trPr>
          <w:trHeight w:val="15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目和超募资</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可使用</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w:t>
            </w:r>
          </w:p>
        </w:tc>
        <w:tc>
          <w:tcPr>
            <w:vMerge/>
            <w:tcBorders>
              <w:left w:val="single" w:sz="4"/>
              <w:right w:val="single" w:sz="4"/>
            </w:tcBorders>
            <w:shd w:val="clear" w:color="auto" w:fill="D3D3D3"/>
            <w:vAlign w:val="bottom"/>
          </w:tcPr>
          <w:p>
            <w:pPr/>
          </w:p>
        </w:tc>
      </w:tr>
      <w:tr>
        <w:trPr>
          <w:trHeight w:val="158" w:hRule="exact"/>
        </w:trPr>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金投向</w:t>
            </w: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诺投资总额</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总额</w:t>
            </w:r>
            <w:r>
              <w:rPr>
                <w:rFonts w:ascii="Times New Roman" w:eastAsia="Times New Roman" w:hAnsi="Times New Roman" w:cs="Times New Roman"/>
                <w:color w:val="000000"/>
                <w:spacing w:val="0"/>
                <w:w w:val="100"/>
                <w:position w:val="0"/>
                <w:sz w:val="18"/>
                <w:szCs w:val="18"/>
              </w:rPr>
              <w:t>(1)</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投入金额</w:t>
            </w: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状态日</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的效</w:t>
            </w:r>
          </w:p>
        </w:tc>
        <w:tc>
          <w:tcPr>
            <w:vMerge w:val="restart"/>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w:t>
            </w:r>
          </w:p>
        </w:tc>
        <w:tc>
          <w:tcPr>
            <w:vMerge/>
            <w:tcBorders>
              <w:left w:val="single" w:sz="4"/>
            </w:tcBorders>
            <w:shd w:val="clear" w:color="auto" w:fill="D3D3D3"/>
            <w:vAlign w:val="bottom"/>
          </w:tcPr>
          <w:p>
            <w:pPr/>
          </w:p>
        </w:tc>
        <w:tc>
          <w:tcPr>
            <w:vMerge w:val="restart"/>
            <w:tcBorders>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生重</w:t>
            </w:r>
          </w:p>
        </w:tc>
      </w:tr>
      <w:tr>
        <w:trPr>
          <w:trHeight w:val="158" w:hRule="exact"/>
        </w:trPr>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部分变</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效益</w:t>
            </w:r>
          </w:p>
        </w:tc>
        <w:tc>
          <w:tcPr>
            <w:vMerge/>
            <w:tcBorders>
              <w:left w:val="single" w:sz="4"/>
              <w:right w:val="single" w:sz="4"/>
            </w:tcBorders>
            <w:shd w:val="clear" w:color="auto" w:fill="D3D3D3"/>
            <w:vAlign w:val="bottom"/>
          </w:tcPr>
          <w:p>
            <w:pPr/>
          </w:p>
        </w:tc>
      </w:tr>
      <w:tr>
        <w:trPr>
          <w:trHeight w:val="14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w:t>
            </w:r>
          </w:p>
        </w:tc>
        <w:tc>
          <w:tcPr>
            <w:vMerge w:val="restart"/>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的效</w:t>
            </w:r>
          </w:p>
        </w:tc>
        <w:tc>
          <w:tcPr>
            <w:vMerge/>
            <w:tcBorders>
              <w:left w:val="single" w:sz="4"/>
            </w:tcBorders>
            <w:shd w:val="clear" w:color="auto" w:fill="D3D3D3"/>
            <w:vAlign w:val="center"/>
          </w:tcPr>
          <w:p>
            <w:pPr/>
          </w:p>
        </w:tc>
        <w:tc>
          <w:tcPr>
            <w:vMerge w:val="restart"/>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大变</w:t>
            </w:r>
          </w:p>
        </w:tc>
      </w:tr>
      <w:tr>
        <w:trPr>
          <w:trHeight w:val="23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更</w:t>
            </w:r>
            <w:r>
              <w:rPr>
                <w:color w:val="000000"/>
                <w:spacing w:val="0"/>
                <w:w w:val="100"/>
                <w:position w:val="0"/>
                <w:sz w:val="18"/>
                <w:szCs w:val="18"/>
              </w:rPr>
              <w:t>)</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5"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化</w:t>
            </w:r>
          </w:p>
        </w:tc>
      </w:tr>
    </w:tbl>
    <w:p>
      <w:pPr>
        <w:widowControl w:val="0"/>
        <w:spacing w:after="79" w:line="1" w:lineRule="exact"/>
      </w:pPr>
    </w:p>
    <w:p>
      <w:pPr>
        <w:pStyle w:val="Style14"/>
        <w:keepNext w:val="0"/>
        <w:keepLines w:val="0"/>
        <w:widowControl w:val="0"/>
        <w:shd w:val="clear" w:color="auto" w:fill="auto"/>
        <w:bidi w:val="0"/>
        <w:spacing w:before="0" w:after="0" w:line="240" w:lineRule="auto"/>
        <w:ind w:left="14" w:right="0" w:firstLine="0"/>
        <w:jc w:val="left"/>
      </w:pPr>
      <w:r>
        <w:rPr>
          <w:color w:val="000000"/>
          <w:spacing w:val="0"/>
          <w:w w:val="100"/>
          <w:position w:val="0"/>
        </w:rPr>
        <w:t>承诺投资项目</w:t>
      </w:r>
    </w:p>
    <w:tbl>
      <w:tblPr>
        <w:tblOverlap w:val="never"/>
        <w:jc w:val="center"/>
        <w:tblLayout w:type="fixed"/>
      </w:tblPr>
      <w:tblGrid>
        <w:gridCol w:w="1032"/>
        <w:gridCol w:w="8678"/>
      </w:tblGrid>
      <w:tr>
        <w:trPr>
          <w:trHeight w:val="6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地点变更情 况</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 资项目实施 方式调整情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募集资金投 资项目先期 投入及置换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93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日，公司以自筹资金预先支付发行费用</w:t>
            </w:r>
            <w:r>
              <w:rPr>
                <w:rFonts w:ascii="Times New Roman" w:eastAsia="Times New Roman" w:hAnsi="Times New Roman" w:cs="Times New Roman"/>
                <w:color w:val="000000"/>
                <w:spacing w:val="0"/>
                <w:w w:val="100"/>
                <w:position w:val="0"/>
                <w:sz w:val="18"/>
                <w:szCs w:val="18"/>
              </w:rPr>
              <w:t>3,718,920.75</w:t>
            </w:r>
            <w:r>
              <w:rPr>
                <w:color w:val="000000"/>
                <w:spacing w:val="0"/>
                <w:w w:val="100"/>
                <w:position w:val="0"/>
              </w:rPr>
              <w:t>元，尚待从募集资金中置换。</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用闲置募集 资金暂时补 充流动资金 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93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项目实施出 现募集资金 结余的金额 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93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尚未使用的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募集资金用</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存放于募集资金专户，将用于所承诺的募投项目。</w:t>
            </w:r>
          </w:p>
        </w:tc>
      </w:tr>
      <w:tr>
        <w:trPr>
          <w:trHeight w:val="134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 用及披露中 存在的问题 或其他情况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5"/>
        <w:keepNext/>
        <w:keepLines/>
        <w:widowControl w:val="0"/>
        <w:numPr>
          <w:ilvl w:val="0"/>
          <w:numId w:val="91"/>
        </w:numPr>
        <w:shd w:val="clear" w:color="auto" w:fill="auto"/>
        <w:bidi w:val="0"/>
        <w:spacing w:before="0" w:after="380" w:line="240" w:lineRule="auto"/>
        <w:ind w:left="0" w:right="0" w:firstLine="0"/>
        <w:jc w:val="left"/>
      </w:pPr>
      <w:bookmarkStart w:id="213" w:name="bookmark213"/>
      <w:bookmarkStart w:id="214" w:name="bookmark214"/>
      <w:bookmarkStart w:id="215" w:name="bookmark215"/>
      <w:bookmarkStart w:id="216" w:name="bookmark216"/>
      <w:bookmarkEnd w:id="215"/>
      <w:r>
        <w:rPr>
          <w:color w:val="000000"/>
          <w:spacing w:val="0"/>
          <w:w w:val="100"/>
          <w:position w:val="0"/>
        </w:rPr>
        <w:t>募集资金变更项目情况</w:t>
      </w:r>
      <w:bookmarkEnd w:id="213"/>
      <w:bookmarkEnd w:id="214"/>
      <w:bookmarkEnd w:id="216"/>
    </w:p>
    <w:p>
      <w:pPr>
        <w:pStyle w:val="Style31"/>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公司报告期不存在募集资金变更项目情况。</w:t>
      </w:r>
    </w:p>
    <w:p>
      <w:pPr>
        <w:pStyle w:val="Style25"/>
        <w:keepNext/>
        <w:keepLines/>
        <w:widowControl w:val="0"/>
        <w:shd w:val="clear" w:color="auto" w:fill="auto"/>
        <w:tabs>
          <w:tab w:pos="517" w:val="left"/>
        </w:tabs>
        <w:bidi w:val="0"/>
        <w:spacing w:before="0" w:after="36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rPr>
        <w:t>八</w:t>
      </w:r>
      <w:bookmarkEnd w:id="219"/>
      <w:r>
        <w:rPr>
          <w:color w:val="000000"/>
          <w:spacing w:val="0"/>
          <w:w w:val="100"/>
          <w:position w:val="0"/>
        </w:rPr>
        <w:t>、</w:t>
        <w:tab/>
        <w:t>重大资产和股权出售</w:t>
      </w:r>
      <w:bookmarkEnd w:id="217"/>
      <w:bookmarkEnd w:id="218"/>
      <w:bookmarkEnd w:id="220"/>
    </w:p>
    <w:p>
      <w:pPr>
        <w:pStyle w:val="Style28"/>
        <w:keepNext/>
        <w:keepLines/>
        <w:widowControl w:val="0"/>
        <w:shd w:val="clear" w:color="auto" w:fill="auto"/>
        <w:tabs>
          <w:tab w:pos="392" w:val="left"/>
        </w:tabs>
        <w:bidi w:val="0"/>
        <w:spacing w:before="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1</w:t>
      </w:r>
      <w:bookmarkEnd w:id="223"/>
      <w:r>
        <w:rPr>
          <w:color w:val="000000"/>
          <w:spacing w:val="0"/>
          <w:w w:val="100"/>
          <w:position w:val="0"/>
        </w:rPr>
        <w:t>、</w:t>
        <w:tab/>
        <w:t>出售重大资产情况</w:t>
      </w:r>
      <w:bookmarkEnd w:id="221"/>
      <w:bookmarkEnd w:id="222"/>
      <w:bookmarkEnd w:id="224"/>
    </w:p>
    <w:p>
      <w:pPr>
        <w:pStyle w:val="Style31"/>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8"/>
        <w:keepNext/>
        <w:keepLines/>
        <w:widowControl w:val="0"/>
        <w:shd w:val="clear" w:color="auto" w:fill="auto"/>
        <w:tabs>
          <w:tab w:pos="392" w:val="left"/>
        </w:tabs>
        <w:bidi w:val="0"/>
        <w:spacing w:before="0" w:line="240" w:lineRule="auto"/>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2</w:t>
      </w:r>
      <w:bookmarkEnd w:id="227"/>
      <w:r>
        <w:rPr>
          <w:color w:val="000000"/>
          <w:spacing w:val="0"/>
          <w:w w:val="100"/>
          <w:position w:val="0"/>
        </w:rPr>
        <w:t>、</w:t>
        <w:tab/>
        <w:t>出售重大股权情况</w:t>
      </w:r>
      <w:bookmarkEnd w:id="225"/>
      <w:bookmarkEnd w:id="226"/>
      <w:bookmarkEnd w:id="228"/>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5"/>
        <w:keepNext/>
        <w:keepLines/>
        <w:widowControl w:val="0"/>
        <w:shd w:val="clear" w:color="auto" w:fill="auto"/>
        <w:tabs>
          <w:tab w:pos="517" w:val="left"/>
        </w:tabs>
        <w:bidi w:val="0"/>
        <w:spacing w:before="0" w:after="36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rPr>
        <w:t>九</w:t>
      </w:r>
      <w:bookmarkEnd w:id="231"/>
      <w:r>
        <w:rPr>
          <w:color w:val="000000"/>
          <w:spacing w:val="0"/>
          <w:w w:val="100"/>
          <w:position w:val="0"/>
        </w:rPr>
        <w:t>、</w:t>
        <w:tab/>
        <w:t>主要控股参股公司分析</w:t>
      </w:r>
      <w:bookmarkEnd w:id="229"/>
      <w:bookmarkEnd w:id="230"/>
      <w:bookmarkEnd w:id="232"/>
    </w:p>
    <w:p>
      <w:pPr>
        <w:pStyle w:val="Style31"/>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190"/>
        <w:gridCol w:w="1037"/>
        <w:gridCol w:w="1042"/>
        <w:gridCol w:w="1090"/>
        <w:gridCol w:w="1090"/>
        <w:gridCol w:w="1094"/>
        <w:gridCol w:w="1061"/>
        <w:gridCol w:w="105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净利润</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深圳市互联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精英信息技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信息系统集 成服务、软 件开发与技 术服务、信 息设备销 售、信息系 统运维服务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450.00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23,282,894.62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17,600,222.39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9,511,635.76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2,129,153.22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2,226,171.55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天亿马（香 港）信息产业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信息系统运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维服务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港元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1,290,636.20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1,178,219.20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1,782,820.20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232,796.87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321,700.42</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天亿马信息 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信息系统集 成服务、软 件开发与技 术服务、信 息设备销 售、信息系 统运维服务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5,000.00 </w:t>
            </w:r>
            <w:r>
              <w:rPr>
                <w:color w:val="000000"/>
                <w:spacing w:val="0"/>
                <w:w w:val="100"/>
                <w:position w:val="0"/>
              </w:rPr>
              <w:t>万 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76,143,296.59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51,423,076.77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6,635,240.83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-1,019,844.37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-95,786.76</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广东天亿马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信息科技有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信息系统集 成服务、软 件开发与技 术服务、信 息设备销 售、信息系 统运维服务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1,000.00 </w:t>
            </w:r>
            <w:r>
              <w:rPr>
                <w:color w:val="000000"/>
                <w:spacing w:val="0"/>
                <w:w w:val="100"/>
                <w:position w:val="0"/>
              </w:rPr>
              <w:t>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31,408,530.43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2,038,849.82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74,836,246.55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2,182,909.25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2,039,704.19</w:t>
            </w:r>
          </w:p>
        </w:tc>
      </w:tr>
    </w:tbl>
    <w:tbl>
      <w:tblPr>
        <w:tblOverlap w:val="never"/>
        <w:jc w:val="center"/>
        <w:tblLayout w:type="fixed"/>
      </w:tblPr>
      <w:tblGrid>
        <w:gridCol w:w="1056"/>
        <w:gridCol w:w="1190"/>
        <w:gridCol w:w="1037"/>
        <w:gridCol w:w="1042"/>
        <w:gridCol w:w="1090"/>
        <w:gridCol w:w="1090"/>
        <w:gridCol w:w="1094"/>
        <w:gridCol w:w="1061"/>
        <w:gridCol w:w="105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净利润</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重庆天亿马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信息技术有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信息系统集 成服务、软 件开发与技 术服务、信 息设备销 售、信息系 统运维服务 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110,696.05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-644,397.67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-57,345.62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-57,345.62</w:t>
            </w:r>
          </w:p>
        </w:tc>
      </w:tr>
    </w:tbl>
    <w:p>
      <w:pPr>
        <w:pStyle w:val="Style14"/>
        <w:keepNext w:val="0"/>
        <w:keepLines w:val="0"/>
        <w:widowControl w:val="0"/>
        <w:shd w:val="clear" w:color="auto" w:fill="auto"/>
        <w:bidi w:val="0"/>
        <w:spacing w:before="0" w:after="0" w:line="240" w:lineRule="auto"/>
        <w:ind w:left="10" w:right="0" w:firstLine="0"/>
        <w:jc w:val="left"/>
        <w:rPr>
          <w:sz w:val="20"/>
          <w:szCs w:val="20"/>
        </w:rPr>
      </w:pPr>
      <w:r>
        <w:rPr>
          <w:color w:val="000000"/>
          <w:spacing w:val="0"/>
          <w:w w:val="100"/>
          <w:position w:val="0"/>
          <w:sz w:val="20"/>
          <w:szCs w:val="20"/>
        </w:rPr>
        <w:t>报告期内取得和处置子公司的情况</w:t>
      </w:r>
    </w:p>
    <w:p>
      <w:pPr>
        <w:widowControl w:val="0"/>
        <w:spacing w:after="139" w:line="1" w:lineRule="exact"/>
      </w:pPr>
    </w:p>
    <w:p>
      <w:pPr>
        <w:pStyle w:val="Style31"/>
        <w:keepNext w:val="0"/>
        <w:keepLines w:val="0"/>
        <w:widowControl w:val="0"/>
        <w:shd w:val="clear" w:color="auto" w:fill="auto"/>
        <w:bidi w:val="0"/>
        <w:spacing w:before="0" w:line="31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val="0"/>
        <w:keepLines w:val="0"/>
        <w:widowControl w:val="0"/>
        <w:shd w:val="clear" w:color="auto" w:fill="auto"/>
        <w:bidi w:val="0"/>
        <w:spacing w:before="0" w:line="316" w:lineRule="exact"/>
        <w:ind w:left="0" w:right="0" w:firstLine="440"/>
        <w:jc w:val="both"/>
      </w:pPr>
      <w:r>
        <w:rPr>
          <w:color w:val="000000"/>
          <w:spacing w:val="0"/>
          <w:w w:val="100"/>
          <w:position w:val="0"/>
        </w:rPr>
        <w:t>主要控股参股公司情况说明</w:t>
      </w:r>
    </w:p>
    <w:p>
      <w:pPr>
        <w:pStyle w:val="Style31"/>
        <w:keepNext w:val="0"/>
        <w:keepLines w:val="0"/>
        <w:widowControl w:val="0"/>
        <w:numPr>
          <w:ilvl w:val="0"/>
          <w:numId w:val="93"/>
        </w:numPr>
        <w:shd w:val="clear" w:color="auto" w:fill="auto"/>
        <w:tabs>
          <w:tab w:pos="814" w:val="left"/>
        </w:tabs>
        <w:bidi w:val="0"/>
        <w:spacing w:before="0" w:line="326" w:lineRule="exact"/>
        <w:ind w:left="0" w:right="0" w:firstLine="440"/>
        <w:jc w:val="both"/>
      </w:pPr>
      <w:bookmarkStart w:id="233" w:name="bookmark233"/>
      <w:bookmarkEnd w:id="233"/>
      <w:r>
        <w:rPr>
          <w:color w:val="000000"/>
          <w:spacing w:val="0"/>
          <w:w w:val="100"/>
          <w:position w:val="0"/>
        </w:rPr>
        <w:t>报告期内，天亿马技术营业利润为</w:t>
      </w:r>
      <w:r>
        <w:rPr>
          <w:rFonts w:ascii="Times New Roman" w:eastAsia="Times New Roman" w:hAnsi="Times New Roman" w:cs="Times New Roman"/>
          <w:color w:val="000000"/>
          <w:spacing w:val="0"/>
          <w:w w:val="100"/>
          <w:position w:val="0"/>
        </w:rPr>
        <w:t>-1,019,844.37</w:t>
      </w:r>
      <w:r>
        <w:rPr>
          <w:color w:val="000000"/>
          <w:spacing w:val="0"/>
          <w:w w:val="100"/>
          <w:position w:val="0"/>
        </w:rPr>
        <w:t>元，净利润为</w:t>
      </w:r>
      <w:r>
        <w:rPr>
          <w:rFonts w:ascii="Times New Roman" w:eastAsia="Times New Roman" w:hAnsi="Times New Roman" w:cs="Times New Roman"/>
          <w:color w:val="000000"/>
          <w:spacing w:val="0"/>
          <w:w w:val="100"/>
          <w:position w:val="0"/>
        </w:rPr>
        <w:t>-95,786.76</w:t>
      </w:r>
      <w:r>
        <w:rPr>
          <w:color w:val="000000"/>
          <w:spacing w:val="0"/>
          <w:w w:val="100"/>
          <w:position w:val="0"/>
        </w:rPr>
        <w:t>,</w:t>
      </w:r>
      <w:r>
        <w:rPr>
          <w:color w:val="000000"/>
          <w:spacing w:val="0"/>
          <w:w w:val="100"/>
          <w:position w:val="0"/>
        </w:rPr>
        <w:t>主要原因系天亿马技术为 用于涉密资质剥离而新设公司，主要资质尚未齐备，相关业务尚未开展。</w:t>
      </w:r>
    </w:p>
    <w:p>
      <w:pPr>
        <w:pStyle w:val="Style31"/>
        <w:keepNext w:val="0"/>
        <w:keepLines w:val="0"/>
        <w:widowControl w:val="0"/>
        <w:numPr>
          <w:ilvl w:val="0"/>
          <w:numId w:val="93"/>
        </w:numPr>
        <w:shd w:val="clear" w:color="auto" w:fill="auto"/>
        <w:tabs>
          <w:tab w:pos="814" w:val="left"/>
        </w:tabs>
        <w:bidi w:val="0"/>
        <w:spacing w:before="0" w:after="320" w:line="319" w:lineRule="exact"/>
        <w:ind w:left="0" w:right="0" w:firstLine="440"/>
        <w:jc w:val="both"/>
      </w:pPr>
      <w:bookmarkStart w:id="234" w:name="bookmark234"/>
      <w:bookmarkEnd w:id="234"/>
      <w:r>
        <w:rPr>
          <w:color w:val="000000"/>
          <w:spacing w:val="0"/>
          <w:w w:val="100"/>
          <w:position w:val="0"/>
        </w:rPr>
        <w:t>报告期末，重庆天亿马净资产为</w:t>
      </w:r>
      <w:r>
        <w:rPr>
          <w:rFonts w:ascii="Times New Roman" w:eastAsia="Times New Roman" w:hAnsi="Times New Roman" w:cs="Times New Roman"/>
          <w:color w:val="000000"/>
          <w:spacing w:val="0"/>
          <w:w w:val="100"/>
          <w:position w:val="0"/>
        </w:rPr>
        <w:t>-644,397.67</w:t>
      </w:r>
      <w:r>
        <w:rPr>
          <w:color w:val="000000"/>
          <w:spacing w:val="0"/>
          <w:w w:val="100"/>
          <w:position w:val="0"/>
        </w:rPr>
        <w:t>元，主要原因系以前年度累计亏损所致；报告期内，营 业利润为</w:t>
      </w:r>
      <w:r>
        <w:rPr>
          <w:rFonts w:ascii="Times New Roman" w:eastAsia="Times New Roman" w:hAnsi="Times New Roman" w:cs="Times New Roman"/>
          <w:color w:val="000000"/>
          <w:spacing w:val="0"/>
          <w:w w:val="100"/>
          <w:position w:val="0"/>
        </w:rPr>
        <w:t>-57,345.62</w:t>
      </w:r>
      <w:r>
        <w:rPr>
          <w:color w:val="000000"/>
          <w:spacing w:val="0"/>
          <w:w w:val="100"/>
          <w:position w:val="0"/>
        </w:rPr>
        <w:t>元，净利润为</w:t>
      </w:r>
      <w:r>
        <w:rPr>
          <w:rFonts w:ascii="Times New Roman" w:eastAsia="Times New Roman" w:hAnsi="Times New Roman" w:cs="Times New Roman"/>
          <w:color w:val="000000"/>
          <w:spacing w:val="0"/>
          <w:w w:val="100"/>
          <w:position w:val="0"/>
        </w:rPr>
        <w:t>-57,345.62</w:t>
      </w:r>
      <w:r>
        <w:rPr>
          <w:color w:val="000000"/>
          <w:spacing w:val="0"/>
          <w:w w:val="100"/>
          <w:position w:val="0"/>
        </w:rPr>
        <w:t>元，主要原因系受制于人员、公司资质等方面因素，重庆天亿 马未能实际运营。</w:t>
      </w:r>
    </w:p>
    <w:p>
      <w:pPr>
        <w:pStyle w:val="Style25"/>
        <w:keepNext/>
        <w:keepLines/>
        <w:widowControl w:val="0"/>
        <w:shd w:val="clear" w:color="auto" w:fill="auto"/>
        <w:bidi w:val="0"/>
        <w:spacing w:before="0" w:after="320" w:line="240" w:lineRule="auto"/>
        <w:ind w:left="0" w:right="0" w:firstLine="0"/>
        <w:jc w:val="left"/>
      </w:pPr>
      <w:bookmarkStart w:id="235" w:name="bookmark235"/>
      <w:bookmarkStart w:id="236" w:name="bookmark236"/>
      <w:bookmarkStart w:id="237" w:name="bookmark237"/>
      <w:r>
        <w:rPr>
          <w:color w:val="000000"/>
          <w:spacing w:val="0"/>
          <w:w w:val="100"/>
          <w:position w:val="0"/>
        </w:rPr>
        <w:t>十、公司控制的结构化主体情况</w:t>
      </w:r>
      <w:bookmarkEnd w:id="235"/>
      <w:bookmarkEnd w:id="236"/>
      <w:bookmarkEnd w:id="237"/>
    </w:p>
    <w:p>
      <w:pPr>
        <w:pStyle w:val="Style31"/>
        <w:keepNext w:val="0"/>
        <w:keepLines w:val="0"/>
        <w:widowControl w:val="0"/>
        <w:shd w:val="clear" w:color="auto" w:fill="auto"/>
        <w:bidi w:val="0"/>
        <w:spacing w:before="0" w:after="320" w:line="316"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5"/>
        <w:keepNext/>
        <w:keepLines/>
        <w:widowControl w:val="0"/>
        <w:shd w:val="clear" w:color="auto" w:fill="auto"/>
        <w:bidi w:val="0"/>
        <w:spacing w:before="0" w:after="320" w:line="240" w:lineRule="auto"/>
        <w:ind w:left="0" w:right="0" w:firstLine="0"/>
        <w:jc w:val="left"/>
      </w:pPr>
      <w:bookmarkStart w:id="238" w:name="bookmark238"/>
      <w:bookmarkStart w:id="239" w:name="bookmark239"/>
      <w:bookmarkStart w:id="240" w:name="bookmark240"/>
      <w:r>
        <w:rPr>
          <w:color w:val="000000"/>
          <w:spacing w:val="0"/>
          <w:w w:val="100"/>
          <w:position w:val="0"/>
        </w:rPr>
        <w:t>十一、公司未来发展的展望</w:t>
      </w:r>
      <w:bookmarkEnd w:id="238"/>
      <w:bookmarkEnd w:id="239"/>
      <w:bookmarkEnd w:id="240"/>
    </w:p>
    <w:p>
      <w:pPr>
        <w:pStyle w:val="Style31"/>
        <w:keepNext w:val="0"/>
        <w:keepLines w:val="0"/>
        <w:widowControl w:val="0"/>
        <w:shd w:val="clear" w:color="auto" w:fill="auto"/>
        <w:tabs>
          <w:tab w:pos="1034" w:val="left"/>
        </w:tabs>
        <w:bidi w:val="0"/>
        <w:spacing w:before="0" w:line="316" w:lineRule="exact"/>
        <w:ind w:left="0" w:right="0" w:firstLine="440"/>
        <w:jc w:val="both"/>
      </w:pPr>
      <w:bookmarkStart w:id="241" w:name="bookmark241"/>
      <w:r>
        <w:rPr>
          <w:color w:val="000000"/>
          <w:spacing w:val="0"/>
          <w:w w:val="100"/>
          <w:position w:val="0"/>
        </w:rPr>
        <w:t>（</w:t>
      </w:r>
      <w:bookmarkEnd w:id="241"/>
      <w:r>
        <w:rPr>
          <w:color w:val="000000"/>
          <w:spacing w:val="0"/>
          <w:w w:val="100"/>
          <w:position w:val="0"/>
        </w:rPr>
        <w:t>一）</w:t>
        <w:tab/>
        <w:t>未来发展战略</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公司以“成为中国领先的智慧城市解决方案提供商”为战略发展目标，专注于智慧城市领域的软件和 信息技术服务的产品开发、信息技术解决方案及运维服务，为客户信息化发展提供全方位的解决方案。坚 持“技术缔造价值，服务成就未来”经营理念，努力将公司打造成为国内具有核心竞争力的智慧城市解决 方案提供商。</w:t>
      </w:r>
    </w:p>
    <w:p>
      <w:pPr>
        <w:pStyle w:val="Style31"/>
        <w:keepNext w:val="0"/>
        <w:keepLines w:val="0"/>
        <w:widowControl w:val="0"/>
        <w:shd w:val="clear" w:color="auto" w:fill="auto"/>
        <w:bidi w:val="0"/>
        <w:spacing w:before="0" w:line="316" w:lineRule="exact"/>
        <w:ind w:left="0" w:right="0" w:firstLine="440"/>
        <w:jc w:val="both"/>
      </w:pPr>
      <w:r>
        <w:rPr>
          <w:color w:val="000000"/>
          <w:spacing w:val="0"/>
          <w:w w:val="100"/>
          <w:position w:val="0"/>
        </w:rPr>
        <w:t>未来三年，公司将抓住“数字政府”及“智慧政务”转型的重要机遇，以“提高政府办公、监管、服 务、决策的智能化水平”为目标，聚焦物联网、大数据、云计算、人工智能、</w:t>
      </w:r>
      <w:r>
        <w:rPr>
          <w:rFonts w:ascii="Times New Roman" w:eastAsia="Times New Roman" w:hAnsi="Times New Roman" w:cs="Times New Roman"/>
          <w:color w:val="000000"/>
          <w:spacing w:val="0"/>
          <w:w w:val="100"/>
          <w:position w:val="0"/>
        </w:rPr>
        <w:t>GIS</w:t>
      </w:r>
      <w:r>
        <w:rPr>
          <w:color w:val="000000"/>
          <w:spacing w:val="0"/>
          <w:w w:val="100"/>
          <w:position w:val="0"/>
        </w:rPr>
        <w:t>、</w:t>
      </w:r>
      <w:r>
        <w:rPr>
          <w:rFonts w:ascii="Times New Roman" w:eastAsia="Times New Roman" w:hAnsi="Times New Roman" w:cs="Times New Roman"/>
          <w:color w:val="000000"/>
          <w:spacing w:val="0"/>
          <w:w w:val="100"/>
          <w:position w:val="0"/>
        </w:rPr>
        <w:t>5G</w:t>
      </w:r>
      <w:r>
        <w:rPr>
          <w:color w:val="000000"/>
          <w:spacing w:val="0"/>
          <w:w w:val="100"/>
          <w:position w:val="0"/>
        </w:rPr>
        <w:t>等新一代信息技术， 打造重点领域创新引领能力和核心技术竞争优势，全面提升公司在智慧城市领域技术水平和解决方案能 力，推进实现公司“在</w:t>
      </w:r>
      <w:r>
        <w:rPr>
          <w:rFonts w:ascii="Times New Roman" w:eastAsia="Times New Roman" w:hAnsi="Times New Roman" w:cs="Times New Roman"/>
          <w:color w:val="000000"/>
          <w:spacing w:val="0"/>
          <w:w w:val="100"/>
          <w:position w:val="0"/>
        </w:rPr>
        <w:t>IT</w:t>
      </w:r>
      <w:r>
        <w:rPr>
          <w:color w:val="000000"/>
          <w:spacing w:val="0"/>
          <w:w w:val="100"/>
          <w:position w:val="0"/>
        </w:rPr>
        <w:t>领域内处于国内先进行列，成为一个社会尊重、股东满意、员工自豪的领军企业” 目标的实现。</w:t>
      </w:r>
    </w:p>
    <w:p>
      <w:pPr>
        <w:pStyle w:val="Style31"/>
        <w:keepNext w:val="0"/>
        <w:keepLines w:val="0"/>
        <w:widowControl w:val="0"/>
        <w:shd w:val="clear" w:color="auto" w:fill="auto"/>
        <w:tabs>
          <w:tab w:pos="1034" w:val="left"/>
        </w:tabs>
        <w:bidi w:val="0"/>
        <w:spacing w:before="0" w:line="316" w:lineRule="exact"/>
        <w:ind w:left="0" w:right="0" w:firstLine="440"/>
        <w:jc w:val="both"/>
      </w:pPr>
      <w:bookmarkStart w:id="242" w:name="bookmark242"/>
      <w:r>
        <w:rPr>
          <w:color w:val="000000"/>
          <w:spacing w:val="0"/>
          <w:w w:val="100"/>
          <w:position w:val="0"/>
        </w:rPr>
        <w:t>（</w:t>
      </w:r>
      <w:bookmarkEnd w:id="242"/>
      <w:r>
        <w:rPr>
          <w:color w:val="000000"/>
          <w:spacing w:val="0"/>
          <w:w w:val="100"/>
          <w:position w:val="0"/>
        </w:rPr>
        <w:t>二）</w:t>
        <w:tab/>
      </w:r>
      <w:r>
        <w:rPr>
          <w:rFonts w:ascii="Times New Roman" w:eastAsia="Times New Roman" w:hAnsi="Times New Roman" w:cs="Times New Roman"/>
          <w:color w:val="000000"/>
          <w:spacing w:val="0"/>
          <w:w w:val="100"/>
          <w:position w:val="0"/>
        </w:rPr>
        <w:t>2022</w:t>
      </w:r>
      <w:r>
        <w:rPr>
          <w:color w:val="000000"/>
          <w:spacing w:val="0"/>
          <w:w w:val="100"/>
          <w:position w:val="0"/>
        </w:rPr>
        <w:t>年度经营计划</w:t>
      </w:r>
    </w:p>
    <w:p>
      <w:pPr>
        <w:pStyle w:val="Style31"/>
        <w:keepNext w:val="0"/>
        <w:keepLines w:val="0"/>
        <w:widowControl w:val="0"/>
        <w:shd w:val="clear" w:color="auto" w:fill="auto"/>
        <w:bidi w:val="0"/>
        <w:spacing w:before="0" w:line="316"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年度，公司将围绕“聚焦、提质”的发展方向开展经营管理活动，具体如下：</w:t>
      </w:r>
    </w:p>
    <w:p>
      <w:pPr>
        <w:pStyle w:val="Style31"/>
        <w:keepNext w:val="0"/>
        <w:keepLines w:val="0"/>
        <w:widowControl w:val="0"/>
        <w:numPr>
          <w:ilvl w:val="0"/>
          <w:numId w:val="95"/>
        </w:numPr>
        <w:shd w:val="clear" w:color="auto" w:fill="auto"/>
        <w:tabs>
          <w:tab w:pos="755" w:val="left"/>
        </w:tabs>
        <w:bidi w:val="0"/>
        <w:spacing w:before="0" w:line="316" w:lineRule="exact"/>
        <w:ind w:left="0" w:right="0" w:firstLine="440"/>
        <w:jc w:val="both"/>
      </w:pPr>
      <w:bookmarkStart w:id="243" w:name="bookmark243"/>
      <w:bookmarkEnd w:id="243"/>
      <w:r>
        <w:rPr>
          <w:color w:val="000000"/>
          <w:spacing w:val="0"/>
          <w:w w:val="100"/>
          <w:position w:val="0"/>
        </w:rPr>
        <w:t>聚焦“数字政府”建设，深化“智慧政务”核心业务领域的应用能力，保持聚力发展；</w:t>
      </w:r>
    </w:p>
    <w:p>
      <w:pPr>
        <w:pStyle w:val="Style31"/>
        <w:keepNext w:val="0"/>
        <w:keepLines w:val="0"/>
        <w:widowControl w:val="0"/>
        <w:numPr>
          <w:ilvl w:val="0"/>
          <w:numId w:val="95"/>
        </w:numPr>
        <w:shd w:val="clear" w:color="auto" w:fill="auto"/>
        <w:tabs>
          <w:tab w:pos="774" w:val="left"/>
        </w:tabs>
        <w:bidi w:val="0"/>
        <w:spacing w:before="0" w:line="316" w:lineRule="exact"/>
        <w:ind w:left="0" w:right="0" w:firstLine="440"/>
        <w:jc w:val="both"/>
      </w:pPr>
      <w:bookmarkStart w:id="244" w:name="bookmark244"/>
      <w:bookmarkEnd w:id="244"/>
      <w:r>
        <w:rPr>
          <w:color w:val="000000"/>
          <w:spacing w:val="0"/>
          <w:w w:val="100"/>
          <w:position w:val="0"/>
        </w:rPr>
        <w:t>紧跟国家政策，加大自主产品开发力度，打造新的产品赛道；</w:t>
      </w:r>
    </w:p>
    <w:p>
      <w:pPr>
        <w:pStyle w:val="Style31"/>
        <w:keepNext w:val="0"/>
        <w:keepLines w:val="0"/>
        <w:widowControl w:val="0"/>
        <w:numPr>
          <w:ilvl w:val="0"/>
          <w:numId w:val="95"/>
        </w:numPr>
        <w:shd w:val="clear" w:color="auto" w:fill="auto"/>
        <w:bidi w:val="0"/>
        <w:spacing w:before="0" w:line="312" w:lineRule="exact"/>
        <w:ind w:left="0" w:right="0" w:firstLine="460"/>
        <w:jc w:val="left"/>
      </w:pPr>
      <w:bookmarkStart w:id="245" w:name="bookmark245"/>
      <w:bookmarkEnd w:id="245"/>
      <w:r>
        <w:rPr>
          <w:rFonts w:ascii="Times New Roman" w:eastAsia="Times New Roman" w:hAnsi="Times New Roman" w:cs="Times New Roman"/>
          <w:color w:val="000000"/>
          <w:spacing w:val="0"/>
          <w:w w:val="100"/>
          <w:position w:val="0"/>
        </w:rPr>
        <w:t xml:space="preserve"> </w:t>
      </w:r>
      <w:r>
        <w:rPr>
          <w:color w:val="000000"/>
          <w:spacing w:val="0"/>
          <w:w w:val="100"/>
          <w:position w:val="0"/>
        </w:rPr>
        <w:t>结合资本运作策略，创新商业模式，推进业务融合发展；</w:t>
      </w:r>
    </w:p>
    <w:p>
      <w:pPr>
        <w:pStyle w:val="Style31"/>
        <w:keepNext w:val="0"/>
        <w:keepLines w:val="0"/>
        <w:widowControl w:val="0"/>
        <w:numPr>
          <w:ilvl w:val="0"/>
          <w:numId w:val="95"/>
        </w:numPr>
        <w:shd w:val="clear" w:color="auto" w:fill="auto"/>
        <w:tabs>
          <w:tab w:pos="792" w:val="left"/>
        </w:tabs>
        <w:bidi w:val="0"/>
        <w:spacing w:before="0" w:line="312" w:lineRule="exact"/>
        <w:ind w:left="0" w:right="0" w:firstLine="460"/>
        <w:jc w:val="left"/>
      </w:pPr>
      <w:bookmarkStart w:id="246" w:name="bookmark246"/>
      <w:bookmarkEnd w:id="246"/>
      <w:r>
        <w:rPr>
          <w:color w:val="000000"/>
          <w:spacing w:val="0"/>
          <w:w w:val="100"/>
          <w:position w:val="0"/>
        </w:rPr>
        <w:t>完善内部控制机制</w:t>
      </w:r>
      <w:r>
        <w:rPr>
          <w:color w:val="000000"/>
          <w:spacing w:val="0"/>
          <w:w w:val="100"/>
          <w:position w:val="0"/>
        </w:rPr>
        <w:t>，</w:t>
      </w:r>
      <w:r>
        <w:rPr>
          <w:color w:val="000000"/>
          <w:spacing w:val="0"/>
          <w:w w:val="100"/>
          <w:position w:val="0"/>
        </w:rPr>
        <w:t>降低企业经营风险；</w:t>
      </w:r>
    </w:p>
    <w:p>
      <w:pPr>
        <w:pStyle w:val="Style31"/>
        <w:keepNext w:val="0"/>
        <w:keepLines w:val="0"/>
        <w:widowControl w:val="0"/>
        <w:numPr>
          <w:ilvl w:val="0"/>
          <w:numId w:val="95"/>
        </w:numPr>
        <w:shd w:val="clear" w:color="auto" w:fill="auto"/>
        <w:bidi w:val="0"/>
        <w:spacing w:before="0" w:line="312" w:lineRule="exact"/>
        <w:ind w:left="0" w:right="0" w:firstLine="460"/>
        <w:jc w:val="left"/>
      </w:pPr>
      <w:bookmarkStart w:id="247" w:name="bookmark247"/>
      <w:bookmarkEnd w:id="247"/>
      <w:r>
        <w:rPr>
          <w:rFonts w:ascii="Times New Roman" w:eastAsia="Times New Roman" w:hAnsi="Times New Roman" w:cs="Times New Roman"/>
          <w:color w:val="000000"/>
          <w:spacing w:val="0"/>
          <w:w w:val="100"/>
          <w:position w:val="0"/>
        </w:rPr>
        <w:t xml:space="preserve"> </w:t>
      </w:r>
      <w:r>
        <w:rPr>
          <w:color w:val="000000"/>
          <w:spacing w:val="0"/>
          <w:w w:val="100"/>
          <w:position w:val="0"/>
        </w:rPr>
        <w:t>优化人才激励和培养机制，逐步改善人才结构，打造成长型团队模式。</w:t>
      </w:r>
    </w:p>
    <w:p>
      <w:pPr>
        <w:pStyle w:val="Style31"/>
        <w:keepNext w:val="0"/>
        <w:keepLines w:val="0"/>
        <w:widowControl w:val="0"/>
        <w:shd w:val="clear" w:color="auto" w:fill="auto"/>
        <w:bidi w:val="0"/>
        <w:spacing w:before="0" w:line="312" w:lineRule="exact"/>
        <w:ind w:left="0" w:right="0" w:firstLine="460"/>
        <w:jc w:val="both"/>
      </w:pPr>
      <w:bookmarkStart w:id="248" w:name="bookmark248"/>
      <w:r>
        <w:rPr>
          <w:color w:val="000000"/>
          <w:spacing w:val="0"/>
          <w:w w:val="100"/>
          <w:position w:val="0"/>
        </w:rPr>
        <w:t>（</w:t>
      </w:r>
      <w:bookmarkEnd w:id="248"/>
      <w:r>
        <w:rPr>
          <w:color w:val="000000"/>
          <w:spacing w:val="0"/>
          <w:w w:val="100"/>
          <w:position w:val="0"/>
        </w:rPr>
        <w:t>三）可能面对的风险</w:t>
      </w:r>
    </w:p>
    <w:p>
      <w:pPr>
        <w:pStyle w:val="Style31"/>
        <w:keepNext w:val="0"/>
        <w:keepLines w:val="0"/>
        <w:widowControl w:val="0"/>
        <w:numPr>
          <w:ilvl w:val="0"/>
          <w:numId w:val="97"/>
        </w:numPr>
        <w:shd w:val="clear" w:color="auto" w:fill="auto"/>
        <w:tabs>
          <w:tab w:pos="772" w:val="left"/>
        </w:tabs>
        <w:bidi w:val="0"/>
        <w:spacing w:before="0" w:line="312" w:lineRule="exact"/>
        <w:ind w:left="0" w:right="0" w:firstLine="460"/>
        <w:jc w:val="both"/>
      </w:pPr>
      <w:bookmarkStart w:id="249" w:name="bookmark249"/>
      <w:bookmarkEnd w:id="249"/>
      <w:r>
        <w:rPr>
          <w:color w:val="000000"/>
          <w:spacing w:val="0"/>
          <w:w w:val="100"/>
          <w:position w:val="0"/>
        </w:rPr>
        <w:t>市场竞争风险</w:t>
      </w:r>
    </w:p>
    <w:p>
      <w:pPr>
        <w:pStyle w:val="Style31"/>
        <w:keepNext w:val="0"/>
        <w:keepLines w:val="0"/>
        <w:widowControl w:val="0"/>
        <w:shd w:val="clear" w:color="auto" w:fill="auto"/>
        <w:bidi w:val="0"/>
        <w:spacing w:before="0" w:line="310" w:lineRule="exact"/>
        <w:ind w:left="0" w:right="0" w:firstLine="460"/>
        <w:jc w:val="both"/>
      </w:pPr>
      <w:r>
        <w:rPr>
          <w:color w:val="000000"/>
          <w:spacing w:val="0"/>
          <w:w w:val="100"/>
          <w:position w:val="0"/>
        </w:rPr>
        <w:t>公司所在行业中企业数量较多，市场竞争日趋激烈。若公司对行业发展趋势判断失误或应对市场竞争 的措施严重失当，不能持续提升技术水平和核心竞争力，扩大市场份额，在未来的市场竞争中将面临处于 不利地位的风险。</w:t>
      </w:r>
    </w:p>
    <w:p>
      <w:pPr>
        <w:pStyle w:val="Style31"/>
        <w:keepNext w:val="0"/>
        <w:keepLines w:val="0"/>
        <w:widowControl w:val="0"/>
        <w:numPr>
          <w:ilvl w:val="0"/>
          <w:numId w:val="97"/>
        </w:numPr>
        <w:shd w:val="clear" w:color="auto" w:fill="auto"/>
        <w:tabs>
          <w:tab w:pos="792" w:val="left"/>
        </w:tabs>
        <w:bidi w:val="0"/>
        <w:spacing w:before="0" w:line="312" w:lineRule="exact"/>
        <w:ind w:left="0" w:right="0" w:firstLine="460"/>
        <w:jc w:val="both"/>
      </w:pPr>
      <w:bookmarkStart w:id="250" w:name="bookmark250"/>
      <w:bookmarkEnd w:id="250"/>
      <w:r>
        <w:rPr>
          <w:color w:val="000000"/>
          <w:spacing w:val="0"/>
          <w:w w:val="100"/>
          <w:position w:val="0"/>
        </w:rPr>
        <w:t>业务区域集中的风险</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公司的产品和服务集中在以广东为主的华南地区，存在业务区域集中风险。公司目前已在广州、深圳、 海南、重庆、香港等地设立了分、子公司，由华南地区向周边及其他各省拓展业务。如果未来广东地区的 经济形势或市场环境发生重大不利变化，将对公司的经营业绩产生较大负面影响。</w:t>
      </w:r>
    </w:p>
    <w:p>
      <w:pPr>
        <w:pStyle w:val="Style31"/>
        <w:keepNext w:val="0"/>
        <w:keepLines w:val="0"/>
        <w:widowControl w:val="0"/>
        <w:numPr>
          <w:ilvl w:val="0"/>
          <w:numId w:val="97"/>
        </w:numPr>
        <w:shd w:val="clear" w:color="auto" w:fill="auto"/>
        <w:tabs>
          <w:tab w:pos="792" w:val="left"/>
        </w:tabs>
        <w:bidi w:val="0"/>
        <w:spacing w:before="0" w:line="312" w:lineRule="exact"/>
        <w:ind w:left="0" w:right="0" w:firstLine="460"/>
        <w:jc w:val="both"/>
      </w:pPr>
      <w:bookmarkStart w:id="251" w:name="bookmark251"/>
      <w:bookmarkEnd w:id="251"/>
      <w:r>
        <w:rPr>
          <w:color w:val="000000"/>
          <w:spacing w:val="0"/>
          <w:w w:val="100"/>
          <w:position w:val="0"/>
        </w:rPr>
        <w:t>收入季节性波动的风险</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公司主要客户为政府机关及事业单位，此类客户执行预算管理及严格的采购流程，项目验收工作主要 集中在下半年特别是第四季度，导致公司较多项目集中在下半年进行验收。由于公司信息系统集成服务、 软件开发及技术服务业务以验收为收入确认时点，因而公司营业收入较多在下半年确认，存在较大季节性 波动的风险。</w:t>
      </w:r>
    </w:p>
    <w:p>
      <w:pPr>
        <w:pStyle w:val="Style31"/>
        <w:keepNext w:val="0"/>
        <w:keepLines w:val="0"/>
        <w:widowControl w:val="0"/>
        <w:numPr>
          <w:ilvl w:val="0"/>
          <w:numId w:val="97"/>
        </w:numPr>
        <w:shd w:val="clear" w:color="auto" w:fill="auto"/>
        <w:tabs>
          <w:tab w:pos="792" w:val="left"/>
        </w:tabs>
        <w:bidi w:val="0"/>
        <w:spacing w:before="0" w:line="312" w:lineRule="exact"/>
        <w:ind w:left="0" w:right="0" w:firstLine="460"/>
        <w:jc w:val="both"/>
      </w:pPr>
      <w:bookmarkStart w:id="252" w:name="bookmark252"/>
      <w:bookmarkEnd w:id="252"/>
      <w:r>
        <w:rPr>
          <w:color w:val="000000"/>
          <w:spacing w:val="0"/>
          <w:w w:val="100"/>
          <w:position w:val="0"/>
        </w:rPr>
        <w:t>研发创新失败风险</w:t>
      </w:r>
    </w:p>
    <w:p>
      <w:pPr>
        <w:pStyle w:val="Style31"/>
        <w:keepNext w:val="0"/>
        <w:keepLines w:val="0"/>
        <w:widowControl w:val="0"/>
        <w:shd w:val="clear" w:color="auto" w:fill="auto"/>
        <w:bidi w:val="0"/>
        <w:spacing w:before="0" w:line="310" w:lineRule="exact"/>
        <w:ind w:left="0" w:right="0" w:firstLine="460"/>
        <w:jc w:val="both"/>
      </w:pPr>
      <w:r>
        <w:rPr>
          <w:color w:val="000000"/>
          <w:spacing w:val="0"/>
          <w:w w:val="100"/>
          <w:position w:val="0"/>
        </w:rPr>
        <w:t>公司作为智慧城市解决方案提供商，技术研发至关重要。随着物联网、大数据、云计算、人工智能等 新一代信息技术发展，为保证公司的市场竞争力和技术创新能力需投入大量的研发资金。研发项目开展结 果具有不确定性，存在研发失败风险。即使研发项目成功并推向市场，如果公司对于技术、产品和市场的 发展趋势判断失误，研发成果得不到市场和客户的足够认可、不能较好地实现产业化或形成最终销售，导 致研发成果的经济效益与预期收益存在较大差距，可能会对公司的财务状况和经营成果产生负面的影响， 降低公司的市场竞争力。</w:t>
      </w:r>
    </w:p>
    <w:p>
      <w:pPr>
        <w:pStyle w:val="Style31"/>
        <w:keepNext w:val="0"/>
        <w:keepLines w:val="0"/>
        <w:widowControl w:val="0"/>
        <w:numPr>
          <w:ilvl w:val="0"/>
          <w:numId w:val="97"/>
        </w:numPr>
        <w:shd w:val="clear" w:color="auto" w:fill="auto"/>
        <w:tabs>
          <w:tab w:pos="792" w:val="left"/>
        </w:tabs>
        <w:bidi w:val="0"/>
        <w:spacing w:before="0" w:line="312" w:lineRule="exact"/>
        <w:ind w:left="0" w:right="0" w:firstLine="460"/>
        <w:jc w:val="left"/>
      </w:pPr>
      <w:bookmarkStart w:id="253" w:name="bookmark253"/>
      <w:bookmarkEnd w:id="253"/>
      <w:r>
        <w:rPr>
          <w:color w:val="000000"/>
          <w:spacing w:val="0"/>
          <w:w w:val="100"/>
          <w:position w:val="0"/>
        </w:rPr>
        <w:t>募集资金投资项目的实施进度和效益无法达到预期的风险</w:t>
      </w:r>
    </w:p>
    <w:p>
      <w:pPr>
        <w:pStyle w:val="Style31"/>
        <w:keepNext w:val="0"/>
        <w:keepLines w:val="0"/>
        <w:widowControl w:val="0"/>
        <w:shd w:val="clear" w:color="auto" w:fill="auto"/>
        <w:bidi w:val="0"/>
        <w:spacing w:before="0" w:line="312" w:lineRule="exact"/>
        <w:ind w:left="0" w:right="0" w:firstLine="460"/>
        <w:jc w:val="both"/>
      </w:pPr>
      <w:r>
        <w:rPr>
          <w:color w:val="000000"/>
          <w:spacing w:val="0"/>
          <w:w w:val="100"/>
          <w:position w:val="0"/>
        </w:rPr>
        <w:t>公司募集资金拟投资于“智慧城市综合解决方案升级项目”、“大数据应用技术中心建设项目”、 “营销服务体系升级建设项目”及“补充流动资金项目”等。上述项目的实施进度和盈利情况将对公司未 来的经营业绩产生重要影响。由于市场情况不断变化，市场环境突变或行业竞争加剧等情况发生，都将给 募集资金投资项目的实施进度、预期效果等带来较大影响。此外，项目实际建成或实施后的市场接受程度、 项目产生的收入、成本等都有可能与本公司的预测存在一定差异，因此项目预期效益具有不确定性。</w:t>
      </w:r>
    </w:p>
    <w:p>
      <w:pPr>
        <w:pStyle w:val="Style31"/>
        <w:keepNext w:val="0"/>
        <w:keepLines w:val="0"/>
        <w:widowControl w:val="0"/>
        <w:numPr>
          <w:ilvl w:val="0"/>
          <w:numId w:val="97"/>
        </w:numPr>
        <w:shd w:val="clear" w:color="auto" w:fill="auto"/>
        <w:tabs>
          <w:tab w:pos="792" w:val="left"/>
        </w:tabs>
        <w:bidi w:val="0"/>
        <w:spacing w:before="0" w:line="312" w:lineRule="exact"/>
        <w:ind w:left="0" w:right="0" w:firstLine="460"/>
        <w:jc w:val="both"/>
      </w:pPr>
      <w:bookmarkStart w:id="254" w:name="bookmark254"/>
      <w:bookmarkEnd w:id="254"/>
      <w:r>
        <w:rPr>
          <w:color w:val="000000"/>
          <w:spacing w:val="0"/>
          <w:w w:val="100"/>
          <w:position w:val="0"/>
        </w:rPr>
        <w:t>新型冠状病毒疫情的相关风险</w:t>
      </w:r>
    </w:p>
    <w:p>
      <w:pPr>
        <w:pStyle w:val="Style31"/>
        <w:keepNext w:val="0"/>
        <w:keepLines w:val="0"/>
        <w:widowControl w:val="0"/>
        <w:shd w:val="clear" w:color="auto" w:fill="auto"/>
        <w:bidi w:val="0"/>
        <w:spacing w:before="0" w:after="360" w:line="317" w:lineRule="exact"/>
        <w:ind w:left="0" w:right="0" w:firstLine="4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年度，国内新冠疫情整体情况稳定，局部地区聚集性疫情也得到了有效控制。疫情防控常态化， 公司生产经营未受到重大不利影响。若后续疫情出现不利变化，仍将可能对公司业绩产生不利影响。</w:t>
      </w:r>
    </w:p>
    <w:p>
      <w:pPr>
        <w:pStyle w:val="Style25"/>
        <w:keepNext/>
        <w:keepLines/>
        <w:widowControl w:val="0"/>
        <w:shd w:val="clear" w:color="auto" w:fill="auto"/>
        <w:bidi w:val="0"/>
        <w:spacing w:before="0" w:after="360" w:line="240" w:lineRule="auto"/>
        <w:ind w:left="0" w:right="0" w:firstLine="0"/>
        <w:jc w:val="left"/>
      </w:pPr>
      <w:bookmarkStart w:id="255" w:name="bookmark255"/>
      <w:bookmarkStart w:id="256" w:name="bookmark256"/>
      <w:bookmarkStart w:id="257" w:name="bookmark257"/>
      <w:r>
        <w:rPr>
          <w:color w:val="000000"/>
          <w:spacing w:val="0"/>
          <w:w w:val="100"/>
          <w:position w:val="0"/>
        </w:rPr>
        <w:t>十二、报告期内接待调研、沟通、采访等活动登记表</w:t>
      </w:r>
      <w:bookmarkEnd w:id="255"/>
      <w:bookmarkEnd w:id="256"/>
      <w:bookmarkEnd w:id="257"/>
    </w:p>
    <w:p>
      <w:pPr>
        <w:pStyle w:val="Style31"/>
        <w:keepNext w:val="0"/>
        <w:keepLines w:val="0"/>
        <w:widowControl w:val="0"/>
        <w:shd w:val="clear" w:color="auto" w:fill="auto"/>
        <w:bidi w:val="0"/>
        <w:spacing w:before="0" w:line="240" w:lineRule="auto"/>
        <w:ind w:left="0" w:right="0" w:firstLine="46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val="0"/>
        <w:keepLines w:val="0"/>
        <w:widowControl w:val="0"/>
        <w:shd w:val="clear" w:color="auto" w:fill="auto"/>
        <w:bidi w:val="0"/>
        <w:spacing w:before="0" w:after="0" w:line="240" w:lineRule="auto"/>
        <w:ind w:left="0" w:right="0" w:firstLine="460"/>
        <w:jc w:val="left"/>
        <w:sectPr>
          <w:footnotePr>
            <w:pos w:val="pageBottom"/>
            <w:numFmt w:val="decimal"/>
            <w:numRestart w:val="continuous"/>
          </w:footnotePr>
          <w:pgSz w:w="11900" w:h="16840"/>
          <w:pgMar w:top="1412" w:right="1031" w:bottom="1465" w:left="1062" w:header="0" w:footer="3" w:gutter="0"/>
          <w:cols w:space="720"/>
          <w:noEndnote/>
          <w:rtlGutter w:val="0"/>
          <w:docGrid w:linePitch="360"/>
        </w:sectPr>
      </w:pPr>
      <w:r>
        <w:rPr>
          <w:color w:val="000000"/>
          <w:spacing w:val="0"/>
          <w:w w:val="100"/>
          <w:position w:val="0"/>
        </w:rPr>
        <w:t>公司报告期内未发生接待调研、沟通、采访等活动。</w:t>
      </w:r>
    </w:p>
    <w:p>
      <w:pPr>
        <w:pStyle w:val="Style9"/>
        <w:keepNext/>
        <w:keepLines/>
        <w:widowControl w:val="0"/>
        <w:shd w:val="clear" w:color="auto" w:fill="auto"/>
        <w:bidi w:val="0"/>
        <w:spacing w:before="600" w:after="560" w:line="240" w:lineRule="auto"/>
        <w:ind w:left="0" w:right="0" w:firstLine="0"/>
        <w:jc w:val="center"/>
      </w:pPr>
      <w:bookmarkStart w:id="258" w:name="bookmark258"/>
      <w:bookmarkStart w:id="259" w:name="bookmark259"/>
      <w:bookmarkStart w:id="260" w:name="bookmark260"/>
      <w:r>
        <w:rPr>
          <w:color w:val="000000"/>
          <w:spacing w:val="0"/>
          <w:w w:val="100"/>
          <w:position w:val="0"/>
        </w:rPr>
        <w:t>第四节公司治理</w:t>
      </w:r>
      <w:bookmarkEnd w:id="258"/>
      <w:bookmarkEnd w:id="259"/>
      <w:bookmarkEnd w:id="260"/>
    </w:p>
    <w:p>
      <w:pPr>
        <w:pStyle w:val="Style25"/>
        <w:keepNext/>
        <w:keepLines/>
        <w:widowControl w:val="0"/>
        <w:shd w:val="clear" w:color="auto" w:fill="auto"/>
        <w:bidi w:val="0"/>
        <w:spacing w:before="0" w:after="280" w:line="240" w:lineRule="auto"/>
        <w:ind w:left="0" w:right="0" w:firstLine="0"/>
        <w:jc w:val="left"/>
      </w:pPr>
      <w:bookmarkStart w:id="261" w:name="bookmark261"/>
      <w:bookmarkStart w:id="262" w:name="bookmark262"/>
      <w:bookmarkStart w:id="263" w:name="bookmark263"/>
      <w:bookmarkStart w:id="264" w:name="bookmark264"/>
      <w:bookmarkStart w:id="265" w:name="bookmark265"/>
      <w:r>
        <w:rPr>
          <w:color w:val="000000"/>
          <w:spacing w:val="0"/>
          <w:w w:val="100"/>
          <w:position w:val="0"/>
        </w:rPr>
        <w:t>一</w:t>
      </w:r>
      <w:bookmarkEnd w:id="264"/>
      <w:r>
        <w:rPr>
          <w:color w:val="000000"/>
          <w:spacing w:val="0"/>
          <w:w w:val="100"/>
          <w:position w:val="0"/>
        </w:rPr>
        <w:t>、公司治理的基本状况</w:t>
      </w:r>
      <w:bookmarkEnd w:id="262"/>
      <w:bookmarkEnd w:id="263"/>
      <w:bookmarkEnd w:id="265"/>
      <w:bookmarkEnd w:id="261"/>
    </w:p>
    <w:p>
      <w:pPr>
        <w:pStyle w:val="Style31"/>
        <w:keepNext w:val="0"/>
        <w:keepLines w:val="0"/>
        <w:widowControl w:val="0"/>
        <w:shd w:val="clear" w:color="auto" w:fill="auto"/>
        <w:bidi w:val="0"/>
        <w:spacing w:before="0" w:line="313" w:lineRule="exact"/>
        <w:ind w:left="0" w:right="0" w:firstLine="440"/>
        <w:jc w:val="both"/>
      </w:pPr>
      <w:r>
        <w:rPr>
          <w:color w:val="000000"/>
          <w:spacing w:val="0"/>
          <w:w w:val="100"/>
          <w:position w:val="0"/>
        </w:rPr>
        <w:t>报告期内，公司严格按照《公司法》《证券法》《深圳证券交易所创业板股票上市规则》《深圳证券 交易所创业板上市公司运作规范》（</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日发布《深圳证券交易所上市公司自律监管指引第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 创业板上市公司规范运作》）等法律、法规和中国证监会有关法律法规等的要求，不断完善公司的法人治 理结果，建立健全公司内部管理制度和控制制度，持续深入开展公司治理活动，促进公司规范运作，提高 公司治理水平。</w:t>
      </w:r>
    </w:p>
    <w:p>
      <w:pPr>
        <w:pStyle w:val="Style31"/>
        <w:keepNext w:val="0"/>
        <w:keepLines w:val="0"/>
        <w:widowControl w:val="0"/>
        <w:shd w:val="clear" w:color="auto" w:fill="auto"/>
        <w:tabs>
          <w:tab w:pos="983" w:val="left"/>
        </w:tabs>
        <w:bidi w:val="0"/>
        <w:spacing w:before="0" w:line="312" w:lineRule="exact"/>
        <w:ind w:left="0" w:right="0" w:firstLine="440"/>
        <w:jc w:val="both"/>
      </w:pPr>
      <w:bookmarkStart w:id="266" w:name="bookmark266"/>
      <w:r>
        <w:rPr>
          <w:color w:val="000000"/>
          <w:spacing w:val="0"/>
          <w:w w:val="100"/>
          <w:position w:val="0"/>
        </w:rPr>
        <w:t>（</w:t>
      </w:r>
      <w:bookmarkEnd w:id="266"/>
      <w:r>
        <w:rPr>
          <w:color w:val="000000"/>
          <w:spacing w:val="0"/>
          <w:w w:val="100"/>
          <w:position w:val="0"/>
        </w:rPr>
        <w:t>一）</w:t>
        <w:tab/>
        <w:t>关于股东与股东大会</w:t>
      </w:r>
    </w:p>
    <w:p>
      <w:pPr>
        <w:pStyle w:val="Style31"/>
        <w:keepNext w:val="0"/>
        <w:keepLines w:val="0"/>
        <w:widowControl w:val="0"/>
        <w:shd w:val="clear" w:color="auto" w:fill="auto"/>
        <w:bidi w:val="0"/>
        <w:spacing w:before="0" w:line="314" w:lineRule="exact"/>
        <w:ind w:left="0" w:right="0" w:firstLine="440"/>
        <w:jc w:val="both"/>
      </w:pPr>
      <w:r>
        <w:rPr>
          <w:color w:val="000000"/>
          <w:spacing w:val="0"/>
          <w:w w:val="100"/>
          <w:position w:val="0"/>
        </w:rPr>
        <w:t>报告期内，公司严格按照《公司法》《证券法》《上市公司股东大会规则》《公司章程》《股东大会 议事规则》等规定的要求，规范股东大会召集、召开及表决等程序，平等对待所有投资者，使其充分行使 股东的权利，切实保护中小股东的权益。公司所聘请的律师列席股东大会并对股东大会的召开和表决程序 出具法律意见书，充分尊重和维护全体股东的合法权益。</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报告期内，公司共召开股东大会</w:t>
      </w:r>
      <w:r>
        <w:rPr>
          <w:rFonts w:ascii="Times New Roman" w:eastAsia="Times New Roman" w:hAnsi="Times New Roman" w:cs="Times New Roman"/>
          <w:color w:val="000000"/>
          <w:spacing w:val="0"/>
          <w:w w:val="100"/>
          <w:position w:val="0"/>
        </w:rPr>
        <w:t>4</w:t>
      </w:r>
      <w:r>
        <w:rPr>
          <w:color w:val="000000"/>
          <w:spacing w:val="0"/>
          <w:w w:val="100"/>
          <w:position w:val="0"/>
        </w:rPr>
        <w:t>次，审议并通过议案共计</w:t>
      </w:r>
      <w:r>
        <w:rPr>
          <w:rFonts w:ascii="Times New Roman" w:eastAsia="Times New Roman" w:hAnsi="Times New Roman" w:cs="Times New Roman"/>
          <w:color w:val="000000"/>
          <w:spacing w:val="0"/>
          <w:w w:val="100"/>
          <w:position w:val="0"/>
        </w:rPr>
        <w:t>18</w:t>
      </w:r>
      <w:r>
        <w:rPr>
          <w:color w:val="000000"/>
          <w:spacing w:val="0"/>
          <w:w w:val="100"/>
          <w:position w:val="0"/>
        </w:rPr>
        <w:t>项。</w:t>
      </w:r>
    </w:p>
    <w:p>
      <w:pPr>
        <w:pStyle w:val="Style31"/>
        <w:keepNext w:val="0"/>
        <w:keepLines w:val="0"/>
        <w:widowControl w:val="0"/>
        <w:shd w:val="clear" w:color="auto" w:fill="auto"/>
        <w:tabs>
          <w:tab w:pos="983" w:val="left"/>
        </w:tabs>
        <w:bidi w:val="0"/>
        <w:spacing w:before="0" w:line="312" w:lineRule="exact"/>
        <w:ind w:left="0" w:right="0" w:firstLine="440"/>
        <w:jc w:val="both"/>
      </w:pPr>
      <w:bookmarkStart w:id="267" w:name="bookmark267"/>
      <w:r>
        <w:rPr>
          <w:color w:val="000000"/>
          <w:spacing w:val="0"/>
          <w:w w:val="100"/>
          <w:position w:val="0"/>
        </w:rPr>
        <w:t>（</w:t>
      </w:r>
      <w:bookmarkEnd w:id="267"/>
      <w:r>
        <w:rPr>
          <w:color w:val="000000"/>
          <w:spacing w:val="0"/>
          <w:w w:val="100"/>
          <w:position w:val="0"/>
        </w:rPr>
        <w:t>二）</w:t>
        <w:tab/>
        <w:t>关于公司与控股股东、实际控制人</w:t>
      </w:r>
    </w:p>
    <w:p>
      <w:pPr>
        <w:pStyle w:val="Style31"/>
        <w:keepNext w:val="0"/>
        <w:keepLines w:val="0"/>
        <w:widowControl w:val="0"/>
        <w:shd w:val="clear" w:color="auto" w:fill="auto"/>
        <w:bidi w:val="0"/>
        <w:spacing w:before="0" w:line="311" w:lineRule="exact"/>
        <w:ind w:left="0" w:right="0" w:firstLine="440"/>
        <w:jc w:val="both"/>
      </w:pPr>
      <w:r>
        <w:rPr>
          <w:color w:val="000000"/>
          <w:spacing w:val="0"/>
          <w:w w:val="100"/>
          <w:position w:val="0"/>
        </w:rPr>
        <w:t>公司控股股东严格按照《上市公司治理准则》《深圳证券交易所创业板股票上市规则》《深圳证券交 易所创业板上市公司运作规范》（</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日发布《深圳证券交易所上市公司自律监管指引第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 创业板上市公司规范运作》）《公司章程》等规定和要求，不存在超越公司股东大会直接或间接干预公司 决策和经营活动的行为，未损害公司及其他股东的利益，不存在控股股东占用公司资金的现象，公司亦不 存在为控股股东提供担保的情形。</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公司在资产、人员、财务、机构、业务等方面均独立于控股股东、实际控制人及其控制的其他企业， 具有完整的业务体系和面向市场独立经营的能力。</w:t>
      </w:r>
    </w:p>
    <w:p>
      <w:pPr>
        <w:pStyle w:val="Style31"/>
        <w:keepNext w:val="0"/>
        <w:keepLines w:val="0"/>
        <w:widowControl w:val="0"/>
        <w:shd w:val="clear" w:color="auto" w:fill="auto"/>
        <w:tabs>
          <w:tab w:pos="983" w:val="left"/>
        </w:tabs>
        <w:bidi w:val="0"/>
        <w:spacing w:before="0" w:line="312" w:lineRule="exact"/>
        <w:ind w:left="0" w:right="0" w:firstLine="440"/>
        <w:jc w:val="both"/>
      </w:pPr>
      <w:bookmarkStart w:id="268" w:name="bookmark268"/>
      <w:r>
        <w:rPr>
          <w:color w:val="000000"/>
          <w:spacing w:val="0"/>
          <w:w w:val="100"/>
          <w:position w:val="0"/>
        </w:rPr>
        <w:t>（</w:t>
      </w:r>
      <w:bookmarkEnd w:id="268"/>
      <w:r>
        <w:rPr>
          <w:color w:val="000000"/>
          <w:spacing w:val="0"/>
          <w:w w:val="100"/>
          <w:position w:val="0"/>
        </w:rPr>
        <w:t>三）</w:t>
        <w:tab/>
        <w:t>关于董事与董事会</w:t>
      </w:r>
    </w:p>
    <w:p>
      <w:pPr>
        <w:pStyle w:val="Style31"/>
        <w:keepNext w:val="0"/>
        <w:keepLines w:val="0"/>
        <w:widowControl w:val="0"/>
        <w:shd w:val="clear" w:color="auto" w:fill="auto"/>
        <w:bidi w:val="0"/>
        <w:spacing w:before="0" w:line="311" w:lineRule="exact"/>
        <w:ind w:left="0" w:right="0" w:firstLine="440"/>
        <w:jc w:val="both"/>
      </w:pPr>
      <w:r>
        <w:rPr>
          <w:color w:val="000000"/>
          <w:spacing w:val="0"/>
          <w:w w:val="100"/>
          <w:position w:val="0"/>
        </w:rPr>
        <w:t>报告期内，公司有</w:t>
      </w:r>
      <w:r>
        <w:rPr>
          <w:rFonts w:ascii="Times New Roman" w:eastAsia="Times New Roman" w:hAnsi="Times New Roman" w:cs="Times New Roman"/>
          <w:color w:val="000000"/>
          <w:spacing w:val="0"/>
          <w:w w:val="100"/>
          <w:position w:val="0"/>
        </w:rPr>
        <w:t>8</w:t>
      </w:r>
      <w:r>
        <w:rPr>
          <w:color w:val="000000"/>
          <w:spacing w:val="0"/>
          <w:w w:val="100"/>
          <w:position w:val="0"/>
        </w:rPr>
        <w:t>位董事，其中独立董事</w:t>
      </w:r>
      <w:r>
        <w:rPr>
          <w:rFonts w:ascii="Times New Roman" w:eastAsia="Times New Roman" w:hAnsi="Times New Roman" w:cs="Times New Roman"/>
          <w:color w:val="000000"/>
          <w:spacing w:val="0"/>
          <w:w w:val="100"/>
          <w:position w:val="0"/>
        </w:rPr>
        <w:t>3</w:t>
      </w:r>
      <w:r>
        <w:rPr>
          <w:color w:val="000000"/>
          <w:spacing w:val="0"/>
          <w:w w:val="100"/>
          <w:position w:val="0"/>
        </w:rPr>
        <w:t>位，董事会人数、人员资格与结构均符合法律法规的相关 要求。公司董事不存在《公司法》第一百四十六条规定的不得担任公司董事的情形，其任免均严格履行董 事会、股东大会的审批程序，不存在与相关法律、法规或《公司章程》相抵触的情形。各位董事依据《公 司法》《深圳证券交易所创业板上市公司运作规范》（</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日发布《深圳证券交易所上市公司自律 监管指引第</w:t>
      </w:r>
      <w:r>
        <w:rPr>
          <w:rFonts w:ascii="Times New Roman" w:eastAsia="Times New Roman" w:hAnsi="Times New Roman" w:cs="Times New Roman"/>
          <w:color w:val="000000"/>
          <w:spacing w:val="0"/>
          <w:w w:val="100"/>
          <w:position w:val="0"/>
        </w:rPr>
        <w:t>2</w:t>
      </w:r>
      <w:r>
        <w:rPr>
          <w:color w:val="000000"/>
          <w:spacing w:val="0"/>
          <w:w w:val="100"/>
          <w:position w:val="0"/>
        </w:rPr>
        <w:t>号一创业板上市公司规范运作》）《公司章程》《董事会议事规则》等规定和要求，在任 职期间工作严谨、勤勉尽责，持续关注公司经营情况，主动参加相关培训，提高董事会规范运作水平；积 极参加董事会会议，充分发挥各自的特长，审慎决策，维护公司和全体股东的合法权益。报告期内，公司 共召开董事会</w:t>
      </w:r>
      <w:r>
        <w:rPr>
          <w:rFonts w:ascii="Times New Roman" w:eastAsia="Times New Roman" w:hAnsi="Times New Roman" w:cs="Times New Roman"/>
          <w:color w:val="000000"/>
          <w:spacing w:val="0"/>
          <w:w w:val="100"/>
          <w:position w:val="0"/>
        </w:rPr>
        <w:t>9</w:t>
      </w:r>
      <w:r>
        <w:rPr>
          <w:color w:val="000000"/>
          <w:spacing w:val="0"/>
          <w:w w:val="100"/>
          <w:position w:val="0"/>
        </w:rPr>
        <w:t>次，审议并通过议案共计</w:t>
      </w:r>
      <w:r>
        <w:rPr>
          <w:rFonts w:ascii="Times New Roman" w:eastAsia="Times New Roman" w:hAnsi="Times New Roman" w:cs="Times New Roman"/>
          <w:color w:val="000000"/>
          <w:spacing w:val="0"/>
          <w:w w:val="100"/>
          <w:position w:val="0"/>
        </w:rPr>
        <w:t>29</w:t>
      </w:r>
      <w:r>
        <w:rPr>
          <w:color w:val="000000"/>
          <w:spacing w:val="0"/>
          <w:w w:val="100"/>
          <w:position w:val="0"/>
        </w:rPr>
        <w:t>项。</w:t>
      </w:r>
    </w:p>
    <w:p>
      <w:pPr>
        <w:pStyle w:val="Style31"/>
        <w:keepNext w:val="0"/>
        <w:keepLines w:val="0"/>
        <w:widowControl w:val="0"/>
        <w:shd w:val="clear" w:color="auto" w:fill="auto"/>
        <w:tabs>
          <w:tab w:pos="983" w:val="left"/>
        </w:tabs>
        <w:bidi w:val="0"/>
        <w:spacing w:before="0" w:line="312" w:lineRule="exact"/>
        <w:ind w:left="0" w:right="0" w:firstLine="440"/>
        <w:jc w:val="both"/>
      </w:pPr>
      <w:bookmarkStart w:id="269" w:name="bookmark269"/>
      <w:r>
        <w:rPr>
          <w:color w:val="000000"/>
          <w:spacing w:val="0"/>
          <w:w w:val="100"/>
          <w:position w:val="0"/>
        </w:rPr>
        <w:t>（</w:t>
      </w:r>
      <w:bookmarkEnd w:id="269"/>
      <w:r>
        <w:rPr>
          <w:color w:val="000000"/>
          <w:spacing w:val="0"/>
          <w:w w:val="100"/>
          <w:position w:val="0"/>
        </w:rPr>
        <w:t>四）</w:t>
        <w:tab/>
        <w:t>关于监事与监事会</w:t>
      </w:r>
    </w:p>
    <w:p>
      <w:pPr>
        <w:pStyle w:val="Style31"/>
        <w:keepNext w:val="0"/>
        <w:keepLines w:val="0"/>
        <w:widowControl w:val="0"/>
        <w:shd w:val="clear" w:color="auto" w:fill="auto"/>
        <w:bidi w:val="0"/>
        <w:spacing w:before="0" w:line="315" w:lineRule="exact"/>
        <w:ind w:left="0" w:right="0" w:firstLine="440"/>
        <w:jc w:val="both"/>
      </w:pPr>
      <w:r>
        <w:rPr>
          <w:color w:val="000000"/>
          <w:spacing w:val="0"/>
          <w:w w:val="100"/>
          <w:position w:val="0"/>
        </w:rPr>
        <w:t>公司监事会现有</w:t>
      </w:r>
      <w:r>
        <w:rPr>
          <w:rFonts w:ascii="Times New Roman" w:eastAsia="Times New Roman" w:hAnsi="Times New Roman" w:cs="Times New Roman"/>
          <w:color w:val="000000"/>
          <w:spacing w:val="0"/>
          <w:w w:val="100"/>
          <w:position w:val="0"/>
        </w:rPr>
        <w:t>3</w:t>
      </w:r>
      <w:r>
        <w:rPr>
          <w:color w:val="000000"/>
          <w:spacing w:val="0"/>
          <w:w w:val="100"/>
          <w:position w:val="0"/>
        </w:rPr>
        <w:t>名监事，设职工代表监事</w:t>
      </w:r>
      <w:r>
        <w:rPr>
          <w:rFonts w:ascii="Times New Roman" w:eastAsia="Times New Roman" w:hAnsi="Times New Roman" w:cs="Times New Roman"/>
          <w:color w:val="000000"/>
          <w:spacing w:val="0"/>
          <w:w w:val="100"/>
          <w:position w:val="0"/>
        </w:rPr>
        <w:t>2</w:t>
      </w:r>
      <w:r>
        <w:rPr>
          <w:color w:val="000000"/>
          <w:spacing w:val="0"/>
          <w:w w:val="100"/>
          <w:position w:val="0"/>
        </w:rPr>
        <w:t>名。监事会的人数、人员构成及资格均符合法律、法规和 《公司章程》的相关要求。各位监事能依照《公司法》《深圳证券交易所创业板上市公司运作规范》（</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日发布《深圳证券交易所上市公司自律监管指引第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 xml:space="preserve">号——创业板上市公司规范运作》）《公司章 程》《监事会议事规则》等规定和要求，认真履行职责，对公司的重大事项、关联交易、财务状况以及董 </w:t>
      </w:r>
      <w:r>
        <w:rPr>
          <w:color w:val="000000"/>
          <w:spacing w:val="0"/>
          <w:w w:val="100"/>
          <w:position w:val="0"/>
        </w:rPr>
        <w:t>事会、高级管理人员履职的合法合规性进行监督，积极发挥监事会作用，维护公司及全体股东的合法权益。 报告期内，公司共召开监事会</w:t>
      </w:r>
      <w:r>
        <w:rPr>
          <w:rFonts w:ascii="Times New Roman" w:eastAsia="Times New Roman" w:hAnsi="Times New Roman" w:cs="Times New Roman"/>
          <w:color w:val="000000"/>
          <w:spacing w:val="0"/>
          <w:w w:val="100"/>
          <w:position w:val="0"/>
        </w:rPr>
        <w:t>7</w:t>
      </w:r>
      <w:r>
        <w:rPr>
          <w:color w:val="000000"/>
          <w:spacing w:val="0"/>
          <w:w w:val="100"/>
          <w:position w:val="0"/>
        </w:rPr>
        <w:t>次，审议并通过议案共计</w:t>
      </w:r>
      <w:r>
        <w:rPr>
          <w:rFonts w:ascii="Times New Roman" w:eastAsia="Times New Roman" w:hAnsi="Times New Roman" w:cs="Times New Roman"/>
          <w:color w:val="000000"/>
          <w:spacing w:val="0"/>
          <w:w w:val="100"/>
          <w:position w:val="0"/>
        </w:rPr>
        <w:t>14</w:t>
      </w:r>
      <w:r>
        <w:rPr>
          <w:color w:val="000000"/>
          <w:spacing w:val="0"/>
          <w:w w:val="100"/>
          <w:position w:val="0"/>
        </w:rPr>
        <w:t>项。</w:t>
      </w:r>
    </w:p>
    <w:p>
      <w:pPr>
        <w:pStyle w:val="Style31"/>
        <w:keepNext w:val="0"/>
        <w:keepLines w:val="0"/>
        <w:widowControl w:val="0"/>
        <w:shd w:val="clear" w:color="auto" w:fill="auto"/>
        <w:tabs>
          <w:tab w:pos="1007" w:val="left"/>
        </w:tabs>
        <w:bidi w:val="0"/>
        <w:spacing w:before="0" w:line="313" w:lineRule="exact"/>
        <w:ind w:left="0" w:right="0" w:firstLine="440"/>
        <w:jc w:val="left"/>
      </w:pPr>
      <w:bookmarkStart w:id="270" w:name="bookmark270"/>
      <w:r>
        <w:rPr>
          <w:color w:val="000000"/>
          <w:spacing w:val="0"/>
          <w:w w:val="100"/>
          <w:position w:val="0"/>
        </w:rPr>
        <w:t>（</w:t>
      </w:r>
      <w:bookmarkEnd w:id="270"/>
      <w:r>
        <w:rPr>
          <w:color w:val="000000"/>
          <w:spacing w:val="0"/>
          <w:w w:val="100"/>
          <w:position w:val="0"/>
        </w:rPr>
        <w:t>五）</w:t>
        <w:tab/>
        <w:t>关于绩效评价与激励约束机制</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公司建立并逐步完善公正、有效的高级管理人员的绩效评价标准和激励约束机制，公司高级管理人员 实行基本年薪与年终绩效考核相结合的薪酬制度。高级管理人员的聘任公开、透明，符合法律、法规的规 定。</w:t>
      </w:r>
    </w:p>
    <w:p>
      <w:pPr>
        <w:pStyle w:val="Style31"/>
        <w:keepNext w:val="0"/>
        <w:keepLines w:val="0"/>
        <w:widowControl w:val="0"/>
        <w:shd w:val="clear" w:color="auto" w:fill="auto"/>
        <w:tabs>
          <w:tab w:pos="1007" w:val="left"/>
        </w:tabs>
        <w:bidi w:val="0"/>
        <w:spacing w:before="0" w:line="313" w:lineRule="exact"/>
        <w:ind w:left="0" w:right="0" w:firstLine="440"/>
        <w:jc w:val="both"/>
      </w:pPr>
      <w:bookmarkStart w:id="271" w:name="bookmark271"/>
      <w:r>
        <w:rPr>
          <w:color w:val="000000"/>
          <w:spacing w:val="0"/>
          <w:w w:val="100"/>
          <w:position w:val="0"/>
        </w:rPr>
        <w:t>（</w:t>
      </w:r>
      <w:bookmarkEnd w:id="271"/>
      <w:r>
        <w:rPr>
          <w:color w:val="000000"/>
          <w:spacing w:val="0"/>
          <w:w w:val="100"/>
          <w:position w:val="0"/>
        </w:rPr>
        <w:t>六）</w:t>
        <w:tab/>
        <w:t>关于信息披露与透明度</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报告期内，公司严格按照《深圳证券交易所创业板上市规则》《深圳证券交易所创业板上市公司运作 规范》（</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日发布《深圳证券交易所上市公司自律监管指引第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号——创业板上市公司规范运作》） 《信息披露管理制度》等有关规定，真实、准确、完整、及时、公平地披露有关信息。公司指定《证券时 报》《中国证券报》《上海证券报》《证券日报》和巨潮资讯网</w:t>
      </w: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以及公司官方网站 作为公司信息披露平台，确保所有股东能够以平等的机会获得信息。</w:t>
      </w:r>
    </w:p>
    <w:p>
      <w:pPr>
        <w:pStyle w:val="Style31"/>
        <w:keepNext w:val="0"/>
        <w:keepLines w:val="0"/>
        <w:widowControl w:val="0"/>
        <w:shd w:val="clear" w:color="auto" w:fill="auto"/>
        <w:tabs>
          <w:tab w:pos="1007" w:val="left"/>
        </w:tabs>
        <w:bidi w:val="0"/>
        <w:spacing w:before="0" w:line="313" w:lineRule="exact"/>
        <w:ind w:left="0" w:right="0" w:firstLine="440"/>
        <w:jc w:val="both"/>
      </w:pPr>
      <w:bookmarkStart w:id="272" w:name="bookmark272"/>
      <w:r>
        <w:rPr>
          <w:color w:val="000000"/>
          <w:spacing w:val="0"/>
          <w:w w:val="100"/>
          <w:position w:val="0"/>
        </w:rPr>
        <w:t>（</w:t>
      </w:r>
      <w:bookmarkEnd w:id="272"/>
      <w:r>
        <w:rPr>
          <w:color w:val="000000"/>
          <w:spacing w:val="0"/>
          <w:w w:val="100"/>
          <w:position w:val="0"/>
        </w:rPr>
        <w:t>七）</w:t>
        <w:tab/>
        <w:t>关于投资者关系管理</w:t>
      </w:r>
    </w:p>
    <w:p>
      <w:pPr>
        <w:pStyle w:val="Style31"/>
        <w:keepNext w:val="0"/>
        <w:keepLines w:val="0"/>
        <w:widowControl w:val="0"/>
        <w:shd w:val="clear" w:color="auto" w:fill="auto"/>
        <w:bidi w:val="0"/>
        <w:spacing w:before="0" w:line="313" w:lineRule="exact"/>
        <w:ind w:left="0" w:right="0" w:firstLine="440"/>
        <w:jc w:val="both"/>
      </w:pPr>
      <w:r>
        <w:rPr>
          <w:color w:val="000000"/>
          <w:spacing w:val="0"/>
          <w:w w:val="100"/>
          <w:position w:val="0"/>
        </w:rPr>
        <w:t>公司按照相关法律法规及《投资者关系管理制度》的要求，指定董事会秘书为公司投资者关系活动的 负责人，负责协调公司与投资者的关系，接待股东来访，回答投资者咨询，向投资者提供公司已披露信息 等工作。报告期内，公司通过电话、电子邮箱、投资者关系互动平台等形式回复投资者咨询，同时也开放 现场接待。公司在与投资者交流过程中，加强信息沟通，促进与投资者良性互动的同时切实提高了公司信 息的透明度。</w:t>
      </w:r>
    </w:p>
    <w:p>
      <w:pPr>
        <w:pStyle w:val="Style31"/>
        <w:keepNext w:val="0"/>
        <w:keepLines w:val="0"/>
        <w:widowControl w:val="0"/>
        <w:shd w:val="clear" w:color="auto" w:fill="auto"/>
        <w:tabs>
          <w:tab w:pos="1007" w:val="left"/>
        </w:tabs>
        <w:bidi w:val="0"/>
        <w:spacing w:before="0" w:line="313" w:lineRule="exact"/>
        <w:ind w:left="0" w:right="0" w:firstLine="440"/>
        <w:jc w:val="both"/>
      </w:pPr>
      <w:bookmarkStart w:id="273" w:name="bookmark273"/>
      <w:r>
        <w:rPr>
          <w:color w:val="000000"/>
          <w:spacing w:val="0"/>
          <w:w w:val="100"/>
          <w:position w:val="0"/>
        </w:rPr>
        <w:t>（</w:t>
      </w:r>
      <w:bookmarkEnd w:id="273"/>
      <w:r>
        <w:rPr>
          <w:color w:val="000000"/>
          <w:spacing w:val="0"/>
          <w:w w:val="100"/>
          <w:position w:val="0"/>
        </w:rPr>
        <w:t>八）</w:t>
        <w:tab/>
        <w:t>关于利益相关者</w:t>
      </w:r>
    </w:p>
    <w:p>
      <w:pPr>
        <w:pStyle w:val="Style31"/>
        <w:keepNext w:val="0"/>
        <w:keepLines w:val="0"/>
        <w:widowControl w:val="0"/>
        <w:shd w:val="clear" w:color="auto" w:fill="auto"/>
        <w:bidi w:val="0"/>
        <w:spacing w:before="0" w:line="317" w:lineRule="exact"/>
        <w:ind w:left="0" w:right="0" w:firstLine="440"/>
        <w:jc w:val="both"/>
      </w:pPr>
      <w:r>
        <w:rPr>
          <w:color w:val="000000"/>
          <w:spacing w:val="0"/>
          <w:w w:val="100"/>
          <w:position w:val="0"/>
        </w:rPr>
        <w:t>公司充分尊重和维护相关利益者的合法权益，加强与股东、员工、客户与供应商、社会等利益相关者 的沟通和交流，实现各方利益的协调平衡，共同推动公司持续、健康的发展。</w:t>
      </w:r>
    </w:p>
    <w:p>
      <w:pPr>
        <w:pStyle w:val="Style31"/>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公司治理的实际状况与法律、行政法规和中国证监会发布的关于上市公司治理的规定不存在重大差 异。</w:t>
      </w:r>
    </w:p>
    <w:p>
      <w:pPr>
        <w:pStyle w:val="Style25"/>
        <w:keepNext/>
        <w:keepLines/>
        <w:widowControl w:val="0"/>
        <w:shd w:val="clear" w:color="auto" w:fill="auto"/>
        <w:bidi w:val="0"/>
        <w:spacing w:before="0" w:after="280" w:line="312" w:lineRule="exact"/>
        <w:ind w:left="0" w:right="0" w:firstLine="0"/>
        <w:jc w:val="both"/>
      </w:pPr>
      <w:bookmarkStart w:id="274" w:name="bookmark274"/>
      <w:bookmarkStart w:id="275" w:name="bookmark275"/>
      <w:bookmarkStart w:id="276" w:name="bookmark276"/>
      <w:bookmarkStart w:id="277" w:name="bookmark277"/>
      <w:r>
        <w:rPr>
          <w:color w:val="000000"/>
          <w:spacing w:val="0"/>
          <w:w w:val="100"/>
          <w:position w:val="0"/>
        </w:rPr>
        <w:t>二</w:t>
      </w:r>
      <w:bookmarkEnd w:id="276"/>
      <w:r>
        <w:rPr>
          <w:color w:val="000000"/>
          <w:spacing w:val="0"/>
          <w:w w:val="100"/>
          <w:position w:val="0"/>
        </w:rPr>
        <w:t>、公司相对于控股股东、实际控制人在保证公司资产、人员、财务、机构、业务等方面的 独立情况</w:t>
      </w:r>
      <w:bookmarkEnd w:id="274"/>
      <w:bookmarkEnd w:id="275"/>
      <w:bookmarkEnd w:id="277"/>
    </w:p>
    <w:p>
      <w:pPr>
        <w:pStyle w:val="Style31"/>
        <w:keepNext w:val="0"/>
        <w:keepLines w:val="0"/>
        <w:widowControl w:val="0"/>
        <w:shd w:val="clear" w:color="auto" w:fill="auto"/>
        <w:bidi w:val="0"/>
        <w:spacing w:before="0" w:line="312" w:lineRule="exact"/>
        <w:ind w:left="0" w:right="0" w:firstLine="440"/>
        <w:jc w:val="left"/>
      </w:pPr>
      <w:r>
        <w:rPr>
          <w:color w:val="000000"/>
          <w:spacing w:val="0"/>
          <w:w w:val="100"/>
          <w:position w:val="0"/>
        </w:rPr>
        <w:t>报告期内，公司在资产、人员、财务、机构、业务等方面均独立于控股股东、实际控制人及其控制的 其他企业，具有完整的业务体系和面向市场独立经营的能力。</w:t>
      </w:r>
    </w:p>
    <w:p>
      <w:pPr>
        <w:pStyle w:val="Style31"/>
        <w:keepNext w:val="0"/>
        <w:keepLines w:val="0"/>
        <w:widowControl w:val="0"/>
        <w:shd w:val="clear" w:color="auto" w:fill="auto"/>
        <w:tabs>
          <w:tab w:pos="1007" w:val="left"/>
        </w:tabs>
        <w:bidi w:val="0"/>
        <w:spacing w:before="0" w:line="313" w:lineRule="exact"/>
        <w:ind w:left="0" w:right="0" w:firstLine="440"/>
        <w:jc w:val="left"/>
      </w:pPr>
      <w:bookmarkStart w:id="278" w:name="bookmark278"/>
      <w:r>
        <w:rPr>
          <w:color w:val="000000"/>
          <w:spacing w:val="0"/>
          <w:w w:val="100"/>
          <w:position w:val="0"/>
        </w:rPr>
        <w:t>（</w:t>
      </w:r>
      <w:bookmarkEnd w:id="278"/>
      <w:r>
        <w:rPr>
          <w:color w:val="000000"/>
          <w:spacing w:val="0"/>
          <w:w w:val="100"/>
          <w:position w:val="0"/>
        </w:rPr>
        <w:t>一）</w:t>
        <w:tab/>
        <w:t>资产完整</w:t>
      </w:r>
    </w:p>
    <w:p>
      <w:pPr>
        <w:pStyle w:val="Style31"/>
        <w:keepNext w:val="0"/>
        <w:keepLines w:val="0"/>
        <w:widowControl w:val="0"/>
        <w:shd w:val="clear" w:color="auto" w:fill="auto"/>
        <w:bidi w:val="0"/>
        <w:spacing w:before="0" w:line="324" w:lineRule="exact"/>
        <w:ind w:left="0" w:right="0" w:firstLine="440"/>
        <w:jc w:val="left"/>
      </w:pPr>
      <w:r>
        <w:rPr>
          <w:color w:val="000000"/>
          <w:spacing w:val="0"/>
          <w:w w:val="100"/>
          <w:position w:val="0"/>
        </w:rPr>
        <w:t>公司具备与业务经营有关的业务体系，合法拥有与业务经营相关的土地、房屋、设备以及商标、专利、 计算机软件著作权的所有权或者使用权，具有独立的采购和销售系统，不存在依赖股东的资产进行生产经 营的情况，不存在控股股东、实际控制人或其他关联方违规控制或占用公司资金、资产和其他资源的情形。</w:t>
      </w:r>
    </w:p>
    <w:p>
      <w:pPr>
        <w:pStyle w:val="Style31"/>
        <w:keepNext w:val="0"/>
        <w:keepLines w:val="0"/>
        <w:widowControl w:val="0"/>
        <w:shd w:val="clear" w:color="auto" w:fill="auto"/>
        <w:tabs>
          <w:tab w:pos="1007" w:val="left"/>
        </w:tabs>
        <w:bidi w:val="0"/>
        <w:spacing w:before="0" w:line="313" w:lineRule="exact"/>
        <w:ind w:left="0" w:right="0" w:firstLine="440"/>
        <w:jc w:val="both"/>
      </w:pPr>
      <w:bookmarkStart w:id="279" w:name="bookmark279"/>
      <w:r>
        <w:rPr>
          <w:color w:val="000000"/>
          <w:spacing w:val="0"/>
          <w:w w:val="100"/>
          <w:position w:val="0"/>
        </w:rPr>
        <w:t>（</w:t>
      </w:r>
      <w:bookmarkEnd w:id="279"/>
      <w:r>
        <w:rPr>
          <w:color w:val="000000"/>
          <w:spacing w:val="0"/>
          <w:w w:val="100"/>
          <w:position w:val="0"/>
        </w:rPr>
        <w:t>二）</w:t>
        <w:tab/>
        <w:t>人员独立</w:t>
      </w:r>
    </w:p>
    <w:p>
      <w:pPr>
        <w:pStyle w:val="Style31"/>
        <w:keepNext w:val="0"/>
        <w:keepLines w:val="0"/>
        <w:widowControl w:val="0"/>
        <w:shd w:val="clear" w:color="auto" w:fill="auto"/>
        <w:bidi w:val="0"/>
        <w:spacing w:before="0" w:line="315" w:lineRule="exact"/>
        <w:ind w:left="0" w:right="0" w:firstLine="440"/>
        <w:jc w:val="both"/>
      </w:pPr>
      <w:r>
        <w:rPr>
          <w:color w:val="000000"/>
          <w:spacing w:val="0"/>
          <w:w w:val="100"/>
          <w:position w:val="0"/>
        </w:rPr>
        <w:t>公司总经理、副总经理、财务负责人和董事会秘书等高级管理人员不在控股股东、实际控制人及其控 制的其他企业中担任除董事、监事以外的其他职务，不在控股股东、实际控制人及其控制的其他企业领薪； 公司的财务人员不在控股股东、实际控制人及其控制的其他企业中兼职。公司已建立并独立执行劳动、人 事及薪酬管理制度，员工独立于实际控制人控制的其他企业。</w:t>
      </w:r>
    </w:p>
    <w:p>
      <w:pPr>
        <w:pStyle w:val="Style31"/>
        <w:keepNext w:val="0"/>
        <w:keepLines w:val="0"/>
        <w:widowControl w:val="0"/>
        <w:shd w:val="clear" w:color="auto" w:fill="auto"/>
        <w:tabs>
          <w:tab w:pos="1034" w:val="left"/>
        </w:tabs>
        <w:bidi w:val="0"/>
        <w:spacing w:before="0" w:line="312" w:lineRule="exact"/>
        <w:ind w:left="0" w:right="0" w:firstLine="440"/>
        <w:jc w:val="both"/>
      </w:pPr>
      <w:bookmarkStart w:id="280" w:name="bookmark280"/>
      <w:r>
        <w:rPr>
          <w:color w:val="000000"/>
          <w:spacing w:val="0"/>
          <w:w w:val="100"/>
          <w:position w:val="0"/>
        </w:rPr>
        <w:t>（</w:t>
      </w:r>
      <w:bookmarkEnd w:id="280"/>
      <w:r>
        <w:rPr>
          <w:color w:val="000000"/>
          <w:spacing w:val="0"/>
          <w:w w:val="100"/>
          <w:position w:val="0"/>
        </w:rPr>
        <w:t>三）</w:t>
        <w:tab/>
        <w:t>财务独立</w:t>
      </w:r>
    </w:p>
    <w:p>
      <w:pPr>
        <w:pStyle w:val="Style31"/>
        <w:keepNext w:val="0"/>
        <w:keepLines w:val="0"/>
        <w:widowControl w:val="0"/>
        <w:shd w:val="clear" w:color="auto" w:fill="auto"/>
        <w:bidi w:val="0"/>
        <w:spacing w:before="0" w:line="310" w:lineRule="exact"/>
        <w:ind w:left="0" w:right="0" w:firstLine="440"/>
        <w:jc w:val="both"/>
      </w:pPr>
      <w:r>
        <w:rPr>
          <w:color w:val="000000"/>
          <w:spacing w:val="0"/>
          <w:w w:val="100"/>
          <w:position w:val="0"/>
        </w:rPr>
        <w:t>公司设立了独立的财务部门，已建立独立的财务核算体系，能够独立作出财务决策，具有规范的财务 会计制度和对分公司、子公司的财务管理制度。公司未与控股股东、实际控制人及其控制的其他企业共用 银行账户，不存在实际控制人干预公司资金运用及占用公司资金的情况。公司作为独立的纳税人，依法独 立进行纳税申报和履行纳税义务。</w:t>
      </w:r>
    </w:p>
    <w:p>
      <w:pPr>
        <w:pStyle w:val="Style31"/>
        <w:keepNext w:val="0"/>
        <w:keepLines w:val="0"/>
        <w:widowControl w:val="0"/>
        <w:shd w:val="clear" w:color="auto" w:fill="auto"/>
        <w:tabs>
          <w:tab w:pos="1034" w:val="left"/>
        </w:tabs>
        <w:bidi w:val="0"/>
        <w:spacing w:before="0" w:line="312" w:lineRule="exact"/>
        <w:ind w:left="0" w:right="0" w:firstLine="440"/>
        <w:jc w:val="both"/>
      </w:pPr>
      <w:bookmarkStart w:id="281" w:name="bookmark281"/>
      <w:r>
        <w:rPr>
          <w:color w:val="000000"/>
          <w:spacing w:val="0"/>
          <w:w w:val="100"/>
          <w:position w:val="0"/>
        </w:rPr>
        <w:t>（</w:t>
      </w:r>
      <w:bookmarkEnd w:id="281"/>
      <w:r>
        <w:rPr>
          <w:color w:val="000000"/>
          <w:spacing w:val="0"/>
          <w:w w:val="100"/>
          <w:position w:val="0"/>
        </w:rPr>
        <w:t>四）</w:t>
        <w:tab/>
        <w:t>机构独立</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公司依照《公司法》及《公司章程》设置了股东大会、董事会、监事会等决策及监督管理机构并制定 了相应的议事规则，建立健全了符合自身经营特点的内部经营管理机构，独立行使经营管理职权，与控股 股东和实际控制人及其控制的其他企业间不存在机构混同的情形。</w:t>
      </w:r>
    </w:p>
    <w:p>
      <w:pPr>
        <w:pStyle w:val="Style31"/>
        <w:keepNext w:val="0"/>
        <w:keepLines w:val="0"/>
        <w:widowControl w:val="0"/>
        <w:shd w:val="clear" w:color="auto" w:fill="auto"/>
        <w:tabs>
          <w:tab w:pos="1034" w:val="left"/>
        </w:tabs>
        <w:bidi w:val="0"/>
        <w:spacing w:before="0" w:line="312" w:lineRule="exact"/>
        <w:ind w:left="0" w:right="0" w:firstLine="440"/>
        <w:jc w:val="both"/>
      </w:pPr>
      <w:bookmarkStart w:id="282" w:name="bookmark282"/>
      <w:r>
        <w:rPr>
          <w:color w:val="000000"/>
          <w:spacing w:val="0"/>
          <w:w w:val="100"/>
          <w:position w:val="0"/>
        </w:rPr>
        <w:t>（</w:t>
      </w:r>
      <w:bookmarkEnd w:id="282"/>
      <w:r>
        <w:rPr>
          <w:color w:val="000000"/>
          <w:spacing w:val="0"/>
          <w:w w:val="100"/>
          <w:position w:val="0"/>
        </w:rPr>
        <w:t>五）</w:t>
        <w:tab/>
        <w:t>业务独立</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公司已形成了完整的研发、采购、销售体系，具备独立面向市场自主经营的能力。公司业务独立于控 股股东、实际控制人及其控制的其他企业，与控股股东、实际控制人及其控制的其他企业间不存在对公司 构成重大不利影响的同业竞争，以及严重影响独立性或者显失公平的关联交易。</w:t>
      </w:r>
    </w:p>
    <w:p>
      <w:pPr>
        <w:pStyle w:val="Style31"/>
        <w:keepNext w:val="0"/>
        <w:keepLines w:val="0"/>
        <w:widowControl w:val="0"/>
        <w:shd w:val="clear" w:color="auto" w:fill="auto"/>
        <w:tabs>
          <w:tab w:pos="1034" w:val="left"/>
        </w:tabs>
        <w:bidi w:val="0"/>
        <w:spacing w:before="0" w:line="312" w:lineRule="exact"/>
        <w:ind w:left="0" w:right="0" w:firstLine="440"/>
        <w:jc w:val="both"/>
      </w:pPr>
      <w:bookmarkStart w:id="283" w:name="bookmark283"/>
      <w:r>
        <w:rPr>
          <w:color w:val="000000"/>
          <w:spacing w:val="0"/>
          <w:w w:val="100"/>
          <w:position w:val="0"/>
        </w:rPr>
        <w:t>（</w:t>
      </w:r>
      <w:bookmarkEnd w:id="283"/>
      <w:r>
        <w:rPr>
          <w:color w:val="000000"/>
          <w:spacing w:val="0"/>
          <w:w w:val="100"/>
          <w:position w:val="0"/>
        </w:rPr>
        <w:t>六）</w:t>
        <w:tab/>
        <w:t>公司主营业务、控制权、管理团队稳定性</w:t>
      </w:r>
    </w:p>
    <w:p>
      <w:pPr>
        <w:pStyle w:val="Style31"/>
        <w:keepNext w:val="0"/>
        <w:keepLines w:val="0"/>
        <w:widowControl w:val="0"/>
        <w:shd w:val="clear" w:color="auto" w:fill="auto"/>
        <w:bidi w:val="0"/>
        <w:spacing w:before="0" w:line="314" w:lineRule="exact"/>
        <w:ind w:left="0" w:right="0" w:firstLine="440"/>
        <w:jc w:val="both"/>
      </w:pPr>
      <w:r>
        <w:rPr>
          <w:color w:val="000000"/>
          <w:spacing w:val="0"/>
          <w:w w:val="100"/>
          <w:position w:val="0"/>
        </w:rPr>
        <w:t>公司主营业务、控制权、管理团队稳定。报告期内，主营业务、董事、高级管理人员均没有发生重大 不利变化；控股股东所持股份权属清晰，实际控制人没有发生变更，不存在导致控制权可能变更的重大权 属纠纷。</w:t>
      </w:r>
    </w:p>
    <w:p>
      <w:pPr>
        <w:pStyle w:val="Style31"/>
        <w:keepNext w:val="0"/>
        <w:keepLines w:val="0"/>
        <w:widowControl w:val="0"/>
        <w:shd w:val="clear" w:color="auto" w:fill="auto"/>
        <w:tabs>
          <w:tab w:pos="1034" w:val="left"/>
        </w:tabs>
        <w:bidi w:val="0"/>
        <w:spacing w:before="0" w:line="312" w:lineRule="exact"/>
        <w:ind w:left="0" w:right="0" w:firstLine="440"/>
        <w:jc w:val="both"/>
      </w:pPr>
      <w:bookmarkStart w:id="284" w:name="bookmark284"/>
      <w:r>
        <w:rPr>
          <w:color w:val="000000"/>
          <w:spacing w:val="0"/>
          <w:w w:val="100"/>
          <w:position w:val="0"/>
        </w:rPr>
        <w:t>（</w:t>
      </w:r>
      <w:bookmarkEnd w:id="284"/>
      <w:r>
        <w:rPr>
          <w:color w:val="000000"/>
          <w:spacing w:val="0"/>
          <w:w w:val="100"/>
          <w:position w:val="0"/>
        </w:rPr>
        <w:t>七）</w:t>
        <w:tab/>
        <w:t>公司不存在对持续经营有重大影响的事项</w:t>
      </w:r>
    </w:p>
    <w:p>
      <w:pPr>
        <w:pStyle w:val="Style31"/>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公司不存在主要资产、核心技术、商标的重大权属纠纷，不存在重大偿债风险，不存在重大担保、诉 讼、仲裁等或有事项，不存在经营环境已经或将要发生的重大变化等对持续经营有重大影响的事项。</w:t>
      </w:r>
    </w:p>
    <w:p>
      <w:pPr>
        <w:pStyle w:val="Style25"/>
        <w:keepNext/>
        <w:keepLines/>
        <w:widowControl w:val="0"/>
        <w:shd w:val="clear" w:color="auto" w:fill="auto"/>
        <w:tabs>
          <w:tab w:pos="517" w:val="left"/>
        </w:tabs>
        <w:bidi w:val="0"/>
        <w:spacing w:before="0" w:after="360" w:line="240" w:lineRule="auto"/>
        <w:ind w:left="0" w:right="0" w:firstLine="0"/>
        <w:jc w:val="left"/>
      </w:pPr>
      <w:bookmarkStart w:id="285" w:name="bookmark285"/>
      <w:bookmarkStart w:id="286" w:name="bookmark286"/>
      <w:bookmarkStart w:id="287" w:name="bookmark287"/>
      <w:bookmarkStart w:id="288" w:name="bookmark288"/>
      <w:r>
        <w:rPr>
          <w:color w:val="000000"/>
          <w:spacing w:val="0"/>
          <w:w w:val="100"/>
          <w:position w:val="0"/>
        </w:rPr>
        <w:t>三</w:t>
      </w:r>
      <w:bookmarkEnd w:id="287"/>
      <w:r>
        <w:rPr>
          <w:color w:val="000000"/>
          <w:spacing w:val="0"/>
          <w:w w:val="100"/>
          <w:position w:val="0"/>
        </w:rPr>
        <w:t>、</w:t>
        <w:tab/>
        <w:t>同业竞争情况</w:t>
      </w:r>
      <w:bookmarkEnd w:id="285"/>
      <w:bookmarkEnd w:id="286"/>
      <w:bookmarkEnd w:id="288"/>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6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四</w:t>
      </w:r>
      <w:bookmarkEnd w:id="291"/>
      <w:r>
        <w:rPr>
          <w:color w:val="000000"/>
          <w:spacing w:val="0"/>
          <w:w w:val="100"/>
          <w:position w:val="0"/>
        </w:rPr>
        <w:t>、</w:t>
        <w:tab/>
        <w:t>报告期内召开的年度股东大会和临时股东大会的有关情况</w:t>
      </w:r>
      <w:bookmarkEnd w:id="289"/>
      <w:bookmarkEnd w:id="290"/>
      <w:bookmarkEnd w:id="292"/>
    </w:p>
    <w:p>
      <w:pPr>
        <w:pStyle w:val="Style14"/>
        <w:keepNext w:val="0"/>
        <w:keepLines w:val="0"/>
        <w:widowControl w:val="0"/>
        <w:shd w:val="clear" w:color="auto" w:fill="auto"/>
        <w:bidi w:val="0"/>
        <w:spacing w:before="0" w:after="0" w:line="240" w:lineRule="auto"/>
        <w:ind w:left="19" w:right="0" w:firstLine="0"/>
        <w:jc w:val="left"/>
        <w:rPr>
          <w:sz w:val="20"/>
          <w:szCs w:val="20"/>
        </w:rPr>
      </w:pPr>
      <w:bookmarkStart w:id="293" w:name="bookmark29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、本报告期股东大会情况</w:t>
      </w:r>
      <w:bookmarkEnd w:id="293"/>
    </w:p>
    <w:tbl>
      <w:tblPr>
        <w:tblOverlap w:val="never"/>
        <w:jc w:val="center"/>
        <w:tblLayout w:type="fixed"/>
      </w:tblPr>
      <w:tblGrid>
        <w:gridCol w:w="974"/>
        <w:gridCol w:w="1186"/>
        <w:gridCol w:w="850"/>
        <w:gridCol w:w="1560"/>
        <w:gridCol w:w="1565"/>
        <w:gridCol w:w="357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一次临时股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日披露于全国中小企 业股份转让系统（</w:t>
            </w:r>
            <w:r>
              <w:rPr>
                <w:rFonts w:ascii="Times New Roman" w:eastAsia="Times New Roman" w:hAnsi="Times New Roman" w:cs="Times New Roman"/>
                <w:color w:val="000000"/>
                <w:spacing w:val="0"/>
                <w:w w:val="100"/>
                <w:position w:val="0"/>
                <w:sz w:val="18"/>
                <w:szCs w:val="18"/>
              </w:rPr>
              <w:t>www.neeq.com.cn</w:t>
            </w:r>
            <w:r>
              <w:rPr>
                <w:color w:val="000000"/>
                <w:spacing w:val="0"/>
                <w:w w:val="100"/>
                <w:position w:val="0"/>
              </w:rPr>
              <w:t>）的《广 东天亿马信息产业股份有限公司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年第一 次临时股东大会决议公告》（公告编号： </w:t>
            </w:r>
            <w:r>
              <w:rPr>
                <w:rFonts w:ascii="Times New Roman" w:eastAsia="Times New Roman" w:hAnsi="Times New Roman" w:cs="Times New Roman"/>
                <w:color w:val="000000"/>
                <w:spacing w:val="0"/>
                <w:w w:val="100"/>
                <w:position w:val="0"/>
                <w:sz w:val="18"/>
                <w:szCs w:val="18"/>
              </w:rPr>
              <w:t>2021-018</w:t>
            </w:r>
            <w:r>
              <w:rPr>
                <w:color w:val="000000"/>
                <w:spacing w:val="0"/>
                <w:w w:val="100"/>
                <w:position w:val="0"/>
              </w:rPr>
              <w:t>）。</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 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97.89%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日披露于全国中小企 业股份转让系统（</w:t>
            </w:r>
            <w:r>
              <w:rPr>
                <w:rFonts w:ascii="Times New Roman" w:eastAsia="Times New Roman" w:hAnsi="Times New Roman" w:cs="Times New Roman"/>
                <w:color w:val="000000"/>
                <w:spacing w:val="0"/>
                <w:w w:val="100"/>
                <w:position w:val="0"/>
                <w:sz w:val="18"/>
                <w:szCs w:val="18"/>
              </w:rPr>
              <w:t>www.neeq.com.cn</w:t>
            </w:r>
            <w:r>
              <w:rPr>
                <w:color w:val="000000"/>
                <w:spacing w:val="0"/>
                <w:w w:val="100"/>
                <w:position w:val="0"/>
              </w:rPr>
              <w:t>）的《广 东天亿马信息产业股份有限公司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bl>
    <w:p>
      <w:pPr>
        <w:spacing w:lineRule="exact" w:line="1"/>
        <w:rPr>
          <w:sz w:val="2"/>
          <w:szCs w:val="2"/>
        </w:rPr>
      </w:pPr>
      <w:r>
        <w:br w:type="page"/>
      </w:r>
    </w:p>
    <w:tbl>
      <w:tblPr>
        <w:tblOverlap w:val="never"/>
        <w:jc w:val="center"/>
        <w:tblLayout w:type="fixed"/>
      </w:tblPr>
      <w:tblGrid>
        <w:gridCol w:w="974"/>
        <w:gridCol w:w="1186"/>
        <w:gridCol w:w="850"/>
        <w:gridCol w:w="1560"/>
        <w:gridCol w:w="1565"/>
        <w:gridCol w:w="3576"/>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股东大会决议公告》（公告编号：</w:t>
            </w:r>
            <w:r>
              <w:rPr>
                <w:rFonts w:ascii="Times New Roman" w:eastAsia="Times New Roman" w:hAnsi="Times New Roman" w:cs="Times New Roman"/>
                <w:color w:val="000000"/>
                <w:spacing w:val="0"/>
                <w:w w:val="100"/>
                <w:position w:val="0"/>
                <w:sz w:val="18"/>
                <w:szCs w:val="18"/>
              </w:rPr>
              <w:t>2021-032</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二次临时股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日披露于全国中小企 业股份转让系统（</w:t>
            </w:r>
            <w:r>
              <w:rPr>
                <w:rFonts w:ascii="Times New Roman" w:eastAsia="Times New Roman" w:hAnsi="Times New Roman" w:cs="Times New Roman"/>
                <w:color w:val="000000"/>
                <w:spacing w:val="0"/>
                <w:w w:val="100"/>
                <w:position w:val="0"/>
                <w:sz w:val="18"/>
                <w:szCs w:val="18"/>
              </w:rPr>
              <w:t>www.neeq.com.cn</w:t>
            </w:r>
            <w:r>
              <w:rPr>
                <w:color w:val="000000"/>
                <w:spacing w:val="0"/>
                <w:w w:val="100"/>
                <w:position w:val="0"/>
              </w:rPr>
              <w:t>）的《广 东天亿马信息产业股份有限公司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年第二 次临时股东大会决议公告》（公告编号： </w:t>
            </w:r>
            <w:r>
              <w:rPr>
                <w:rFonts w:ascii="Times New Roman" w:eastAsia="Times New Roman" w:hAnsi="Times New Roman" w:cs="Times New Roman"/>
                <w:color w:val="000000"/>
                <w:spacing w:val="0"/>
                <w:w w:val="100"/>
                <w:position w:val="0"/>
                <w:sz w:val="18"/>
                <w:szCs w:val="18"/>
              </w:rPr>
              <w:t>2021-048</w:t>
            </w:r>
            <w:r>
              <w:rPr>
                <w:color w:val="000000"/>
                <w:spacing w:val="0"/>
                <w:w w:val="100"/>
                <w:position w:val="0"/>
              </w:rPr>
              <w:t>）。</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三次临时股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日披露于巨潮资讯 网（</w:t>
            </w:r>
            <w:r>
              <w:rPr>
                <w:rFonts w:ascii="Times New Roman" w:eastAsia="Times New Roman" w:hAnsi="Times New Roman" w:cs="Times New Roman"/>
                <w:color w:val="000000"/>
                <w:spacing w:val="0"/>
                <w:w w:val="100"/>
                <w:position w:val="0"/>
                <w:sz w:val="18"/>
                <w:szCs w:val="18"/>
              </w:rPr>
              <w:t>www.cninfo.com</w:t>
            </w:r>
            <w:r>
              <w:rPr>
                <w:color w:val="000000"/>
                <w:spacing w:val="0"/>
                <w:w w:val="100"/>
                <w:position w:val="0"/>
              </w:rPr>
              <w:t>）及刊登在《证券日报》 《证券时报》《中国证券报》《上海证券报》的 《广东天亿马信息产业股份有限公司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第三次临时股东大会决议公告》（公告编号： </w:t>
            </w:r>
            <w:r>
              <w:rPr>
                <w:rFonts w:ascii="Times New Roman" w:eastAsia="Times New Roman" w:hAnsi="Times New Roman" w:cs="Times New Roman"/>
                <w:color w:val="000000"/>
                <w:spacing w:val="0"/>
                <w:w w:val="100"/>
                <w:position w:val="0"/>
                <w:sz w:val="18"/>
                <w:szCs w:val="18"/>
              </w:rPr>
              <w:t>2021-007</w:t>
            </w: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2</w:t>
      </w:r>
      <w:bookmarkEnd w:id="296"/>
      <w:r>
        <w:rPr>
          <w:color w:val="000000"/>
          <w:spacing w:val="0"/>
          <w:w w:val="100"/>
          <w:position w:val="0"/>
        </w:rPr>
        <w:t>、表决权恢复的优先股股东请求召开临时股东大会</w:t>
      </w:r>
      <w:bookmarkEnd w:id="294"/>
      <w:bookmarkEnd w:id="295"/>
      <w:bookmarkEnd w:id="297"/>
      <w:r>
        <w:rPr>
          <w:color w:val="000000"/>
          <w:spacing w:val="0"/>
          <w:w w:val="100"/>
          <w:position w:val="0"/>
        </w:rPr>
        <w:t xml:space="preserve"> </w:t>
      </w:r>
      <w:r>
        <w:rPr>
          <w:rStyle w:val="CharStyle32"/>
          <w:rFonts w:ascii="Times New Roman" w:eastAsia="Times New Roman" w:hAnsi="Times New Roman" w:cs="Times New Roman"/>
          <w:b w:val="0"/>
          <w:bCs w:val="0"/>
        </w:rPr>
        <w:t>□</w:t>
      </w:r>
      <w:r>
        <w:rPr>
          <w:rStyle w:val="CharStyle32"/>
          <w:b w:val="0"/>
          <w:bCs w:val="0"/>
        </w:rPr>
        <w:t>适用</w:t>
      </w:r>
      <w:r>
        <w:rPr>
          <w:rStyle w:val="CharStyle32"/>
          <w:rFonts w:ascii="Times New Roman" w:eastAsia="Times New Roman" w:hAnsi="Times New Roman" w:cs="Times New Roman"/>
          <w:b w:val="0"/>
          <w:bCs w:val="0"/>
        </w:rPr>
        <w:t>q</w:t>
      </w:r>
      <w:r>
        <w:rPr>
          <w:rStyle w:val="CharStyle32"/>
          <w:b w:val="0"/>
          <w:bCs w:val="0"/>
        </w:rPr>
        <w:t>不适用</w:t>
      </w:r>
    </w:p>
    <w:p>
      <w:pPr>
        <w:pStyle w:val="Style25"/>
        <w:keepNext/>
        <w:keepLines/>
        <w:widowControl w:val="0"/>
        <w:shd w:val="clear" w:color="auto" w:fill="auto"/>
        <w:tabs>
          <w:tab w:pos="517" w:val="left"/>
        </w:tabs>
        <w:bidi w:val="0"/>
        <w:spacing w:before="0" w:after="380" w:line="240" w:lineRule="auto"/>
        <w:ind w:left="0" w:right="0" w:firstLine="0"/>
        <w:jc w:val="left"/>
      </w:pPr>
      <w:bookmarkStart w:id="298" w:name="bookmark298"/>
      <w:bookmarkStart w:id="299" w:name="bookmark299"/>
      <w:bookmarkStart w:id="300" w:name="bookmark300"/>
      <w:bookmarkStart w:id="301" w:name="bookmark301"/>
      <w:r>
        <w:rPr>
          <w:color w:val="000000"/>
          <w:spacing w:val="0"/>
          <w:w w:val="100"/>
          <w:position w:val="0"/>
        </w:rPr>
        <w:t>五</w:t>
      </w:r>
      <w:bookmarkEnd w:id="300"/>
      <w:r>
        <w:rPr>
          <w:color w:val="000000"/>
          <w:spacing w:val="0"/>
          <w:w w:val="100"/>
          <w:position w:val="0"/>
        </w:rPr>
        <w:t>、</w:t>
        <w:tab/>
        <w:t>公司具有表决权差异安排</w:t>
      </w:r>
      <w:bookmarkEnd w:id="298"/>
      <w:bookmarkEnd w:id="299"/>
      <w:bookmarkEnd w:id="301"/>
    </w:p>
    <w:p>
      <w:pPr>
        <w:pStyle w:val="Style3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5"/>
        <w:keepNext/>
        <w:keepLines/>
        <w:widowControl w:val="0"/>
        <w:shd w:val="clear" w:color="auto" w:fill="auto"/>
        <w:tabs>
          <w:tab w:pos="517" w:val="left"/>
        </w:tabs>
        <w:bidi w:val="0"/>
        <w:spacing w:before="0" w:after="380" w:line="240" w:lineRule="auto"/>
        <w:ind w:left="0" w:right="0" w:firstLine="0"/>
        <w:jc w:val="left"/>
      </w:pPr>
      <w:bookmarkStart w:id="302" w:name="bookmark302"/>
      <w:bookmarkStart w:id="303" w:name="bookmark303"/>
      <w:bookmarkStart w:id="304" w:name="bookmark304"/>
      <w:bookmarkStart w:id="305" w:name="bookmark305"/>
      <w:r>
        <w:rPr>
          <w:color w:val="000000"/>
          <w:spacing w:val="0"/>
          <w:w w:val="100"/>
          <w:position w:val="0"/>
        </w:rPr>
        <w:t>六</w:t>
      </w:r>
      <w:bookmarkEnd w:id="304"/>
      <w:r>
        <w:rPr>
          <w:color w:val="000000"/>
          <w:spacing w:val="0"/>
          <w:w w:val="100"/>
          <w:position w:val="0"/>
        </w:rPr>
        <w:t>、</w:t>
        <w:tab/>
        <w:t>红筹架构公司治理情况</w:t>
      </w:r>
      <w:bookmarkEnd w:id="302"/>
      <w:bookmarkEnd w:id="303"/>
      <w:bookmarkEnd w:id="305"/>
    </w:p>
    <w:p>
      <w:pPr>
        <w:pStyle w:val="Style3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rPr>
        <w:t>七</w:t>
      </w:r>
      <w:bookmarkEnd w:id="308"/>
      <w:r>
        <w:rPr>
          <w:color w:val="000000"/>
          <w:spacing w:val="0"/>
          <w:w w:val="100"/>
          <w:position w:val="0"/>
        </w:rPr>
        <w:t>、董事、监事和高级管理人员情况</w:t>
      </w:r>
      <w:bookmarkEnd w:id="306"/>
      <w:bookmarkEnd w:id="307"/>
      <w:bookmarkEnd w:id="309"/>
    </w:p>
    <w:p>
      <w:pPr>
        <w:pStyle w:val="Style28"/>
        <w:keepNext/>
        <w:keepLines/>
        <w:widowControl w:val="0"/>
        <w:shd w:val="clear" w:color="auto" w:fill="auto"/>
        <w:bidi w:val="0"/>
        <w:spacing w:before="0" w:after="320" w:line="240" w:lineRule="auto"/>
        <w:ind w:left="0" w:right="0" w:firstLine="0"/>
        <w:jc w:val="left"/>
      </w:pPr>
      <w:bookmarkStart w:id="310" w:name="bookmark310"/>
      <w:bookmarkStart w:id="311" w:name="bookmark311"/>
      <w:bookmarkStart w:id="312" w:name="bookmark312"/>
      <w:bookmarkStart w:id="313" w:name="bookmark313"/>
      <w:r>
        <w:rPr>
          <w:rFonts w:ascii="Times New Roman" w:eastAsia="Times New Roman" w:hAnsi="Times New Roman" w:cs="Times New Roman"/>
          <w:color w:val="000000"/>
          <w:spacing w:val="0"/>
          <w:w w:val="100"/>
          <w:position w:val="0"/>
        </w:rPr>
        <w:t>1</w:t>
      </w:r>
      <w:bookmarkEnd w:id="312"/>
      <w:r>
        <w:rPr>
          <w:color w:val="000000"/>
          <w:spacing w:val="0"/>
          <w:w w:val="100"/>
          <w:position w:val="0"/>
        </w:rPr>
        <w:t>、基本情况</w:t>
      </w:r>
      <w:bookmarkEnd w:id="310"/>
      <w:bookmarkEnd w:id="311"/>
      <w:bookmarkEnd w:id="313"/>
    </w:p>
    <w:tbl>
      <w:tblPr>
        <w:tblOverlap w:val="never"/>
        <w:jc w:val="center"/>
        <w:tblLayout w:type="fixed"/>
      </w:tblPr>
      <w:tblGrid>
        <w:gridCol w:w="725"/>
        <w:gridCol w:w="725"/>
        <w:gridCol w:w="725"/>
        <w:gridCol w:w="725"/>
        <w:gridCol w:w="725"/>
        <w:gridCol w:w="725"/>
        <w:gridCol w:w="725"/>
        <w:gridCol w:w="864"/>
        <w:gridCol w:w="725"/>
        <w:gridCol w:w="725"/>
        <w:gridCol w:w="725"/>
        <w:gridCol w:w="869"/>
        <w:gridCol w:w="730"/>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期初持股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期末持股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股份增</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林明玲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13,394,160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13,394,160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马学沛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副董事 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陈曼秋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725"/>
        <w:gridCol w:w="725"/>
        <w:gridCol w:w="725"/>
        <w:gridCol w:w="725"/>
        <w:gridCol w:w="725"/>
        <w:gridCol w:w="725"/>
        <w:gridCol w:w="725"/>
        <w:gridCol w:w="864"/>
        <w:gridCol w:w="725"/>
        <w:gridCol w:w="725"/>
        <w:gridCol w:w="725"/>
        <w:gridCol w:w="869"/>
        <w:gridCol w:w="73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期初持股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期末持股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股份增 减变动 的原因</w:t>
            </w:r>
          </w:p>
        </w:tc>
      </w:tr>
      <w:tr>
        <w:trPr>
          <w:trHeight w:val="67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高俊斌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李之佳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李业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姚明安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刘波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李靖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毛晓玲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监事会 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黄素芳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职工代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刘培璇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职工代</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李华青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董事会 秘书、财 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15,969,960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15,969,960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报告期是否存在任期内董事、监事离任和高级管理人员解聘的情况</w:t>
      </w:r>
    </w:p>
    <w:p>
      <w:pPr>
        <w:pStyle w:val="Style31"/>
        <w:keepNext w:val="0"/>
        <w:keepLines w:val="0"/>
        <w:widowControl w:val="0"/>
        <w:shd w:val="clear" w:color="auto" w:fill="auto"/>
        <w:bidi w:val="0"/>
        <w:spacing w:before="0" w:after="220" w:line="240" w:lineRule="auto"/>
        <w:ind w:left="0" w:right="0" w:firstLine="0"/>
        <w:jc w:val="left"/>
      </w:pPr>
      <w:r>
        <w:rPr>
          <w:i/>
          <w:iCs/>
          <w:color w:val="000000"/>
          <w:spacing w:val="0"/>
          <w:w w:val="100"/>
          <w:position w:val="0"/>
        </w:rPr>
        <w:t>-是口</w:t>
      </w:r>
      <w:r>
        <w:rPr>
          <w:color w:val="000000"/>
          <w:spacing w:val="0"/>
          <w:w w:val="100"/>
          <w:position w:val="0"/>
        </w:rPr>
        <w:t>否</w:t>
      </w:r>
    </w:p>
    <w:p>
      <w:pPr>
        <w:pStyle w:val="Style3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 xml:space="preserve">日，公司董事会收到董事李靖女士递交的辞职报告。李靖女士因个人工作原因辞去董事一 </w:t>
      </w:r>
      <w:r>
        <w:rPr>
          <w:color w:val="000000"/>
          <w:spacing w:val="0"/>
          <w:w w:val="100"/>
          <w:position w:val="0"/>
        </w:rPr>
        <w:t>职，辞职后不再担任公司其他职务。本次辞职未导致公司董事会成员低于法定最低人数，辞职报告在送达 公司董事会之日立即生效。具体内容详见公司于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日在股转系统信息披露平台</w:t>
      </w:r>
    </w:p>
    <w:p>
      <w:pPr>
        <w:pStyle w:val="Style31"/>
        <w:keepNext w:val="0"/>
        <w:keepLines w:val="0"/>
        <w:widowControl w:val="0"/>
        <w:shd w:val="clear" w:color="auto" w:fill="auto"/>
        <w:bidi w:val="0"/>
        <w:spacing w:before="0" w:after="160" w:line="30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www.neeq.com.cn</w:t>
      </w:r>
      <w:r>
        <w:rPr>
          <w:color w:val="000000"/>
          <w:spacing w:val="0"/>
          <w:w w:val="100"/>
          <w:position w:val="0"/>
        </w:rPr>
        <w:t>）上披露的《董事辞职公告》（公告编号：</w:t>
      </w:r>
      <w:r>
        <w:rPr>
          <w:rFonts w:ascii="Times New Roman" w:eastAsia="Times New Roman" w:hAnsi="Times New Roman" w:cs="Times New Roman"/>
          <w:color w:val="000000"/>
          <w:spacing w:val="0"/>
          <w:w w:val="100"/>
          <w:position w:val="0"/>
        </w:rPr>
        <w:t>2021-001</w:t>
      </w:r>
      <w:r>
        <w:rPr>
          <w:color w:val="000000"/>
          <w:spacing w:val="0"/>
          <w:w w:val="100"/>
          <w:position w:val="0"/>
        </w:rPr>
        <w:t>）。</w:t>
      </w:r>
    </w:p>
    <w:p>
      <w:pPr>
        <w:pStyle w:val="Style31"/>
        <w:keepNext w:val="0"/>
        <w:keepLines w:val="0"/>
        <w:widowControl w:val="0"/>
        <w:shd w:val="clear" w:color="auto" w:fill="auto"/>
        <w:bidi w:val="0"/>
        <w:spacing w:before="0" w:after="80" w:line="307" w:lineRule="exact"/>
        <w:ind w:left="0" w:right="0" w:firstLine="440"/>
        <w:jc w:val="left"/>
      </w:pPr>
      <w:r>
        <w:rPr>
          <w:color w:val="000000"/>
          <w:spacing w:val="0"/>
          <w:w w:val="100"/>
          <w:position w:val="0"/>
        </w:rPr>
        <w:t>公司董事、监事、高级管理人员变动情况</w:t>
      </w:r>
    </w:p>
    <w:p>
      <w:pPr>
        <w:pStyle w:val="Style14"/>
        <w:keepNext w:val="0"/>
        <w:keepLines w:val="0"/>
        <w:widowControl w:val="0"/>
        <w:shd w:val="clear" w:color="auto" w:fill="auto"/>
        <w:bidi w:val="0"/>
        <w:spacing w:before="0" w:after="0" w:line="240" w:lineRule="auto"/>
        <w:ind w:left="10" w:right="0" w:firstLine="0"/>
        <w:jc w:val="left"/>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tbl>
      <w:tblPr>
        <w:tblOverlap w:val="never"/>
        <w:jc w:val="center"/>
        <w:tblLayout w:type="fixed"/>
      </w:tblPr>
      <w:tblGrid>
        <w:gridCol w:w="874"/>
        <w:gridCol w:w="1997"/>
        <w:gridCol w:w="869"/>
        <w:gridCol w:w="3216"/>
        <w:gridCol w:w="275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个人工作原因。</w:t>
            </w:r>
          </w:p>
        </w:tc>
      </w:tr>
    </w:tbl>
    <w:p>
      <w:pPr>
        <w:widowControl w:val="0"/>
        <w:spacing w:after="259" w:line="1" w:lineRule="exact"/>
      </w:pPr>
    </w:p>
    <w:p>
      <w:pPr>
        <w:pStyle w:val="Style28"/>
        <w:keepNext/>
        <w:keepLines/>
        <w:widowControl w:val="0"/>
        <w:shd w:val="clear" w:color="auto" w:fill="auto"/>
        <w:bidi w:val="0"/>
        <w:spacing w:before="0" w:after="260" w:line="314" w:lineRule="exact"/>
        <w:ind w:left="0" w:right="0" w:firstLine="0"/>
        <w:jc w:val="left"/>
      </w:pPr>
      <w:bookmarkStart w:id="314" w:name="bookmark314"/>
      <w:bookmarkStart w:id="315" w:name="bookmark315"/>
      <w:bookmarkStart w:id="316" w:name="bookmark316"/>
      <w:bookmarkStart w:id="317" w:name="bookmark317"/>
      <w:r>
        <w:rPr>
          <w:rFonts w:ascii="Times New Roman" w:eastAsia="Times New Roman" w:hAnsi="Times New Roman" w:cs="Times New Roman"/>
          <w:color w:val="000000"/>
          <w:spacing w:val="0"/>
          <w:w w:val="100"/>
          <w:position w:val="0"/>
        </w:rPr>
        <w:t>2</w:t>
      </w:r>
      <w:bookmarkEnd w:id="316"/>
      <w:r>
        <w:rPr>
          <w:color w:val="000000"/>
          <w:spacing w:val="0"/>
          <w:w w:val="100"/>
          <w:position w:val="0"/>
        </w:rPr>
        <w:t>、任职情况</w:t>
      </w:r>
      <w:bookmarkEnd w:id="314"/>
      <w:bookmarkEnd w:id="315"/>
      <w:bookmarkEnd w:id="317"/>
    </w:p>
    <w:p>
      <w:pPr>
        <w:pStyle w:val="Style31"/>
        <w:keepNext w:val="0"/>
        <w:keepLines w:val="0"/>
        <w:widowControl w:val="0"/>
        <w:shd w:val="clear" w:color="auto" w:fill="auto"/>
        <w:bidi w:val="0"/>
        <w:spacing w:before="0" w:after="160" w:line="314" w:lineRule="exact"/>
        <w:ind w:left="0" w:right="0" w:firstLine="440"/>
        <w:jc w:val="left"/>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tabs>
          <w:tab w:pos="961" w:val="left"/>
        </w:tabs>
        <w:bidi w:val="0"/>
        <w:spacing w:before="0" w:after="160" w:line="312" w:lineRule="exact"/>
        <w:ind w:left="0" w:right="0" w:firstLine="440"/>
        <w:jc w:val="left"/>
      </w:pPr>
      <w:bookmarkStart w:id="318" w:name="bookmark318"/>
      <w:r>
        <w:rPr>
          <w:color w:val="000000"/>
          <w:spacing w:val="0"/>
          <w:w w:val="100"/>
          <w:position w:val="0"/>
        </w:rPr>
        <w:t>（</w:t>
      </w:r>
      <w:bookmarkEnd w:id="318"/>
      <w:r>
        <w:rPr>
          <w:rFonts w:ascii="Times New Roman" w:eastAsia="Times New Roman" w:hAnsi="Times New Roman" w:cs="Times New Roman"/>
          <w:color w:val="000000"/>
          <w:spacing w:val="0"/>
          <w:w w:val="100"/>
          <w:position w:val="0"/>
        </w:rPr>
        <w:t>1</w:t>
      </w:r>
      <w:r>
        <w:rPr>
          <w:color w:val="000000"/>
          <w:spacing w:val="0"/>
          <w:w w:val="100"/>
          <w:position w:val="0"/>
        </w:rPr>
        <w:t>）</w:t>
        <w:tab/>
        <w:t xml:space="preserve">林明玲女士： </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月出生，中国国籍，无境外永久居留权，本科学历，行政管理专业。</w:t>
      </w:r>
      <w:r>
        <w:rPr>
          <w:rFonts w:ascii="Times New Roman" w:eastAsia="Times New Roman" w:hAnsi="Times New Roman" w:cs="Times New Roman"/>
          <w:color w:val="000000"/>
          <w:spacing w:val="0"/>
          <w:w w:val="100"/>
          <w:position w:val="0"/>
        </w:rPr>
        <w:t xml:space="preserve">1998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月担任汕头市天亿马电脑有限公司执行董事，</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日担任广东天 亿马信息产业股份有限公司董事长兼副总经理，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日至今担任董事长。</w:t>
      </w:r>
    </w:p>
    <w:p>
      <w:pPr>
        <w:pStyle w:val="Style31"/>
        <w:keepNext w:val="0"/>
        <w:keepLines w:val="0"/>
        <w:widowControl w:val="0"/>
        <w:shd w:val="clear" w:color="auto" w:fill="auto"/>
        <w:bidi w:val="0"/>
        <w:spacing w:before="0" w:after="160" w:line="312" w:lineRule="exact"/>
        <w:ind w:left="0" w:right="0" w:firstLine="440"/>
        <w:jc w:val="left"/>
      </w:pPr>
      <w:bookmarkStart w:id="319" w:name="bookmark319"/>
      <w:r>
        <w:rPr>
          <w:color w:val="000000"/>
          <w:spacing w:val="0"/>
          <w:w w:val="100"/>
          <w:position w:val="0"/>
        </w:rPr>
        <w:t>（</w:t>
      </w:r>
      <w:bookmarkEnd w:id="319"/>
      <w:r>
        <w:rPr>
          <w:rFonts w:ascii="Times New Roman" w:eastAsia="Times New Roman" w:hAnsi="Times New Roman" w:cs="Times New Roman"/>
          <w:color w:val="000000"/>
          <w:spacing w:val="0"/>
          <w:w w:val="100"/>
          <w:position w:val="0"/>
        </w:rPr>
        <w:t>2</w:t>
      </w:r>
      <w:r>
        <w:rPr>
          <w:color w:val="000000"/>
          <w:spacing w:val="0"/>
          <w:w w:val="100"/>
          <w:position w:val="0"/>
        </w:rPr>
        <w:t>） 马学沛先生：</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月出生，中国国籍，无境外永久居留权，工商管理硕士学历。</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 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月担任广东天亿马信息产业有限公司总经理，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月至今，任广东天亿马信息产业股份有限 公司副董事长兼总经理；</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 xml:space="preserve">日至今，任汕头市励志投资管理合伙企业（有限合伙）执行合伙人; </w:t>
      </w:r>
      <w:r>
        <w:rPr>
          <w:rFonts w:ascii="Times New Roman" w:eastAsia="Times New Roman" w:hAnsi="Times New Roman" w:cs="Times New Roman"/>
          <w:color w:val="000000"/>
          <w:spacing w:val="0"/>
          <w:w w:val="100"/>
          <w:position w:val="0"/>
        </w:rPr>
        <w:t>2016</w:t>
      </w:r>
      <w:r>
        <w:rPr>
          <w:color w:val="000000"/>
          <w:spacing w:val="0"/>
          <w:w w:val="100"/>
          <w:position w:val="0"/>
        </w:rPr>
        <w:t>年至今，任汕头市工商联合会副主席；</w:t>
      </w:r>
      <w:r>
        <w:rPr>
          <w:rFonts w:ascii="Times New Roman" w:eastAsia="Times New Roman" w:hAnsi="Times New Roman" w:cs="Times New Roman"/>
          <w:color w:val="000000"/>
          <w:spacing w:val="0"/>
          <w:w w:val="100"/>
          <w:position w:val="0"/>
        </w:rPr>
        <w:t>2012</w:t>
      </w:r>
      <w:r>
        <w:rPr>
          <w:color w:val="000000"/>
          <w:spacing w:val="0"/>
          <w:w w:val="100"/>
          <w:position w:val="0"/>
        </w:rPr>
        <w:t>年至今，任汕头市科学技术协会常委；</w:t>
      </w:r>
      <w:r>
        <w:rPr>
          <w:rFonts w:ascii="Times New Roman" w:eastAsia="Times New Roman" w:hAnsi="Times New Roman" w:cs="Times New Roman"/>
          <w:color w:val="000000"/>
          <w:spacing w:val="0"/>
          <w:w w:val="100"/>
          <w:position w:val="0"/>
        </w:rPr>
        <w:t>2013</w:t>
      </w:r>
      <w:r>
        <w:rPr>
          <w:color w:val="000000"/>
          <w:spacing w:val="0"/>
          <w:w w:val="100"/>
          <w:position w:val="0"/>
        </w:rPr>
        <w:t>年至今，任汕 头市青年科技工作者协会会长；</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月被选举为汕头市龙湖区第五届人民代表大会代表（任期</w:t>
      </w:r>
      <w:r>
        <w:rPr>
          <w:rFonts w:ascii="Times New Roman" w:eastAsia="Times New Roman" w:hAnsi="Times New Roman" w:cs="Times New Roman"/>
          <w:color w:val="000000"/>
          <w:spacing w:val="0"/>
          <w:w w:val="100"/>
          <w:position w:val="0"/>
        </w:rPr>
        <w:t>5</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月被选举为汕头市第十四届人民代表大会代表（任期</w:t>
      </w:r>
      <w:r>
        <w:rPr>
          <w:rFonts w:ascii="Times New Roman" w:eastAsia="Times New Roman" w:hAnsi="Times New Roman" w:cs="Times New Roman"/>
          <w:color w:val="000000"/>
          <w:spacing w:val="0"/>
          <w:w w:val="100"/>
          <w:position w:val="0"/>
        </w:rPr>
        <w:t>5</w:t>
      </w:r>
      <w:r>
        <w:rPr>
          <w:color w:val="000000"/>
          <w:spacing w:val="0"/>
          <w:w w:val="100"/>
          <w:position w:val="0"/>
        </w:rPr>
        <w:t>年）；</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月被选举为汕头市第十五届 人民代表大会代表（任期</w:t>
      </w:r>
      <w:r>
        <w:rPr>
          <w:rFonts w:ascii="Times New Roman" w:eastAsia="Times New Roman" w:hAnsi="Times New Roman" w:cs="Times New Roman"/>
          <w:color w:val="000000"/>
          <w:spacing w:val="0"/>
          <w:w w:val="100"/>
          <w:position w:val="0"/>
        </w:rPr>
        <w:t>5</w:t>
      </w:r>
      <w:r>
        <w:rPr>
          <w:color w:val="000000"/>
          <w:spacing w:val="0"/>
          <w:w w:val="100"/>
          <w:position w:val="0"/>
        </w:rPr>
        <w:t>年）。</w:t>
      </w:r>
    </w:p>
    <w:p>
      <w:pPr>
        <w:pStyle w:val="Style31"/>
        <w:keepNext w:val="0"/>
        <w:keepLines w:val="0"/>
        <w:widowControl w:val="0"/>
        <w:shd w:val="clear" w:color="auto" w:fill="auto"/>
        <w:bidi w:val="0"/>
        <w:spacing w:before="0" w:after="160" w:line="315" w:lineRule="exact"/>
        <w:ind w:left="0" w:right="0" w:firstLine="440"/>
        <w:jc w:val="left"/>
      </w:pPr>
      <w:bookmarkStart w:id="320" w:name="bookmark320"/>
      <w:r>
        <w:rPr>
          <w:color w:val="000000"/>
          <w:spacing w:val="0"/>
          <w:w w:val="100"/>
          <w:position w:val="0"/>
        </w:rPr>
        <w:t>（</w:t>
      </w:r>
      <w:bookmarkEnd w:id="320"/>
      <w:r>
        <w:rPr>
          <w:rFonts w:ascii="Times New Roman" w:eastAsia="Times New Roman" w:hAnsi="Times New Roman" w:cs="Times New Roman"/>
          <w:color w:val="000000"/>
          <w:spacing w:val="0"/>
          <w:w w:val="100"/>
          <w:position w:val="0"/>
        </w:rPr>
        <w:t>3</w:t>
      </w:r>
      <w:r>
        <w:rPr>
          <w:color w:val="000000"/>
          <w:spacing w:val="0"/>
          <w:w w:val="100"/>
          <w:position w:val="0"/>
        </w:rPr>
        <w:t xml:space="preserve">） 陈曼秋女士： </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月出生，中国国籍，无境外永久居留权，大专学历。</w:t>
      </w:r>
      <w:r>
        <w:rPr>
          <w:rFonts w:ascii="Times New Roman" w:eastAsia="Times New Roman" w:hAnsi="Times New Roman" w:cs="Times New Roman"/>
          <w:color w:val="000000"/>
          <w:spacing w:val="0"/>
          <w:w w:val="100"/>
          <w:position w:val="0"/>
        </w:rPr>
        <w:t>1982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1992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r>
        <w:rPr>
          <w:color w:val="000000"/>
          <w:spacing w:val="0"/>
          <w:w w:val="100"/>
          <w:position w:val="0"/>
        </w:rPr>
        <w:t>月任汕头经济特区龙湖商场有限公司职员；</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月担任汕头经济特区金银岛土地开发有 限公司董事长秘书；</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月担任香港通达船务有限公司办公室主任。</w:t>
      </w:r>
      <w:r>
        <w:rPr>
          <w:rFonts w:ascii="Times New Roman" w:eastAsia="Times New Roman" w:hAnsi="Times New Roman" w:cs="Times New Roman"/>
          <w:color w:val="000000"/>
          <w:spacing w:val="0"/>
          <w:w w:val="100"/>
          <w:position w:val="0"/>
        </w:rPr>
        <w:t>2001</w:t>
      </w:r>
      <w:r>
        <w:rPr>
          <w:color w:val="000000"/>
          <w:spacing w:val="0"/>
          <w:w w:val="100"/>
          <w:position w:val="0"/>
        </w:rPr>
        <w:t>年加入公司，报 告期内任公司董事、副总经理。</w:t>
      </w:r>
    </w:p>
    <w:p>
      <w:pPr>
        <w:pStyle w:val="Style31"/>
        <w:keepNext w:val="0"/>
        <w:keepLines w:val="0"/>
        <w:widowControl w:val="0"/>
        <w:shd w:val="clear" w:color="auto" w:fill="auto"/>
        <w:bidi w:val="0"/>
        <w:spacing w:before="0" w:after="160" w:line="314" w:lineRule="exact"/>
        <w:ind w:left="0" w:right="0" w:firstLine="440"/>
        <w:jc w:val="left"/>
      </w:pPr>
      <w:bookmarkStart w:id="321" w:name="bookmark321"/>
      <w:r>
        <w:rPr>
          <w:color w:val="000000"/>
          <w:spacing w:val="0"/>
          <w:w w:val="100"/>
          <w:position w:val="0"/>
        </w:rPr>
        <w:t>（</w:t>
      </w:r>
      <w:bookmarkEnd w:id="321"/>
      <w:r>
        <w:rPr>
          <w:rFonts w:ascii="Times New Roman" w:eastAsia="Times New Roman" w:hAnsi="Times New Roman" w:cs="Times New Roman"/>
          <w:color w:val="000000"/>
          <w:spacing w:val="0"/>
          <w:w w:val="100"/>
          <w:position w:val="0"/>
        </w:rPr>
        <w:t>4</w:t>
      </w:r>
      <w:r>
        <w:rPr>
          <w:color w:val="000000"/>
          <w:spacing w:val="0"/>
          <w:w w:val="100"/>
          <w:position w:val="0"/>
        </w:rPr>
        <w:t>） 高俊斌先生：</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月出生，中国国籍，无境外永久居留权，本科学历。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月，任戴尔（厦门）有限公司技术工程师；</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月至今，于广东天亿马信息产业有限公司先后任商务 主管、采购部经理、商务总监，现任董事、总经理办公室主任。</w:t>
      </w:r>
    </w:p>
    <w:p>
      <w:pPr>
        <w:pStyle w:val="Style31"/>
        <w:keepNext w:val="0"/>
        <w:keepLines w:val="0"/>
        <w:widowControl w:val="0"/>
        <w:shd w:val="clear" w:color="auto" w:fill="auto"/>
        <w:tabs>
          <w:tab w:pos="961" w:val="left"/>
        </w:tabs>
        <w:bidi w:val="0"/>
        <w:spacing w:before="0" w:after="160" w:line="316" w:lineRule="exact"/>
        <w:ind w:left="0" w:right="0" w:firstLine="440"/>
        <w:jc w:val="left"/>
      </w:pPr>
      <w:bookmarkStart w:id="322" w:name="bookmark322"/>
      <w:r>
        <w:rPr>
          <w:color w:val="000000"/>
          <w:spacing w:val="0"/>
          <w:w w:val="100"/>
          <w:position w:val="0"/>
        </w:rPr>
        <w:t>（</w:t>
      </w:r>
      <w:bookmarkEnd w:id="322"/>
      <w:r>
        <w:rPr>
          <w:rFonts w:ascii="Times New Roman" w:eastAsia="Times New Roman" w:hAnsi="Times New Roman" w:cs="Times New Roman"/>
          <w:color w:val="000000"/>
          <w:spacing w:val="0"/>
          <w:w w:val="100"/>
          <w:position w:val="0"/>
        </w:rPr>
        <w:t>5</w:t>
      </w:r>
      <w:r>
        <w:rPr>
          <w:color w:val="000000"/>
          <w:spacing w:val="0"/>
          <w:w w:val="100"/>
          <w:position w:val="0"/>
        </w:rPr>
        <w:t>）</w:t>
        <w:tab/>
        <w:t>李之佳先生：</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月出生，中国国籍，无境外永久居留权，硕士学历。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月担任普华永道中天会计师事务所（特殊普通合伙）审计及商业咨询部高级审计师；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月，担任雄牛商务信息咨询（上海）有限公司投资业务部投资经理；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月至今，担任东兴资本投资 管理有限公司投资业务部投资副总裁。</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月担任济南森峰科技有限公司董事</w:t>
      </w:r>
      <w:r>
        <w:rPr>
          <w:rFonts w:ascii="Times New Roman" w:eastAsia="Times New Roman" w:hAnsi="Times New Roman" w:cs="Times New Roman"/>
          <w:color w:val="000000"/>
          <w:spacing w:val="0"/>
          <w:w w:val="100"/>
          <w:position w:val="0"/>
        </w:rPr>
        <w:t>;</w:t>
      </w:r>
      <w:r>
        <w:rPr>
          <w:color w:val="000000"/>
          <w:spacing w:val="0"/>
          <w:w w:val="100"/>
          <w:position w:val="0"/>
        </w:rPr>
        <w:t>报告期内 担任公司董事。</w:t>
      </w:r>
    </w:p>
    <w:p>
      <w:pPr>
        <w:pStyle w:val="Style31"/>
        <w:keepNext w:val="0"/>
        <w:keepLines w:val="0"/>
        <w:widowControl w:val="0"/>
        <w:shd w:val="clear" w:color="auto" w:fill="auto"/>
        <w:bidi w:val="0"/>
        <w:spacing w:before="0" w:line="314" w:lineRule="exact"/>
        <w:ind w:left="0" w:right="0" w:firstLine="440"/>
        <w:jc w:val="left"/>
      </w:pPr>
      <w:bookmarkStart w:id="323" w:name="bookmark323"/>
      <w:r>
        <w:rPr>
          <w:color w:val="000000"/>
          <w:spacing w:val="0"/>
          <w:w w:val="100"/>
          <w:position w:val="0"/>
        </w:rPr>
        <w:t>（</w:t>
      </w:r>
      <w:bookmarkEnd w:id="323"/>
      <w:r>
        <w:rPr>
          <w:rFonts w:ascii="Times New Roman" w:eastAsia="Times New Roman" w:hAnsi="Times New Roman" w:cs="Times New Roman"/>
          <w:color w:val="000000"/>
          <w:spacing w:val="0"/>
          <w:w w:val="100"/>
          <w:position w:val="0"/>
        </w:rPr>
        <w:t>6</w:t>
      </w:r>
      <w:r>
        <w:rPr>
          <w:color w:val="000000"/>
          <w:spacing w:val="0"/>
          <w:w w:val="100"/>
          <w:position w:val="0"/>
        </w:rPr>
        <w:t>） 李业先生：</w:t>
      </w:r>
      <w:r>
        <w:rPr>
          <w:rFonts w:ascii="Times New Roman" w:eastAsia="Times New Roman" w:hAnsi="Times New Roman" w:cs="Times New Roman"/>
          <w:color w:val="000000"/>
          <w:spacing w:val="0"/>
          <w:w w:val="100"/>
          <w:position w:val="0"/>
        </w:rPr>
        <w:t>1952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月生，中国国籍，无境外永久居留权，博士学历。</w:t>
      </w:r>
      <w:r>
        <w:rPr>
          <w:rFonts w:ascii="Times New Roman" w:eastAsia="Times New Roman" w:hAnsi="Times New Roman" w:cs="Times New Roman"/>
          <w:color w:val="000000"/>
          <w:spacing w:val="0"/>
          <w:w w:val="100"/>
          <w:position w:val="0"/>
        </w:rPr>
        <w:t>1978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 先后担任华南理工大学管理工程系助教、讲师、副主任、副教授。</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月，担任华南理工 大学工商管理学院副院长、副教授。</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月，担任华南理工大学工商管理学院副院长、教 授。</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月，担任华南理工大学工商管理学院教授。曾担任广州特睿投资咨询有限公司执 行董事、经理和法定代表人，广州智光电气股份有限公司、国义招标股份有限公司、华商基金管理有限公 司、珠海及成通讯科技股份有限公司独立董事，广州橡胶企业集团有限公司外部董事；报告期内，任广东 汕头超声电子股份有限公司独立董事、广州医药集团有限公司外部董事、江门新乐贝食品有限公司监事及 </w:t>
      </w:r>
      <w:r>
        <w:rPr>
          <w:color w:val="000000"/>
          <w:spacing w:val="0"/>
          <w:w w:val="100"/>
          <w:position w:val="0"/>
        </w:rPr>
        <w:t>公司独立董事。</w:t>
      </w:r>
    </w:p>
    <w:p>
      <w:pPr>
        <w:pStyle w:val="Style31"/>
        <w:keepNext w:val="0"/>
        <w:keepLines w:val="0"/>
        <w:widowControl w:val="0"/>
        <w:shd w:val="clear" w:color="auto" w:fill="auto"/>
        <w:bidi w:val="0"/>
        <w:spacing w:before="0" w:line="314" w:lineRule="exact"/>
        <w:ind w:left="0" w:right="0" w:firstLine="440"/>
        <w:jc w:val="left"/>
      </w:pPr>
      <w:bookmarkStart w:id="324" w:name="bookmark324"/>
      <w:r>
        <w:rPr>
          <w:color w:val="000000"/>
          <w:spacing w:val="0"/>
          <w:w w:val="100"/>
          <w:position w:val="0"/>
        </w:rPr>
        <w:t>（</w:t>
      </w:r>
      <w:bookmarkEnd w:id="324"/>
      <w:r>
        <w:rPr>
          <w:rFonts w:ascii="Times New Roman" w:eastAsia="Times New Roman" w:hAnsi="Times New Roman" w:cs="Times New Roman"/>
          <w:color w:val="000000"/>
          <w:spacing w:val="0"/>
          <w:w w:val="100"/>
          <w:position w:val="0"/>
        </w:rPr>
        <w:t>7</w:t>
      </w:r>
      <w:r>
        <w:rPr>
          <w:color w:val="000000"/>
          <w:spacing w:val="0"/>
          <w:w w:val="100"/>
          <w:position w:val="0"/>
        </w:rPr>
        <w:t>） 姚明安先生：</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月出生，中国国籍，无境外永久居留权，硕士学历。</w:t>
      </w:r>
      <w:r>
        <w:rPr>
          <w:rFonts w:ascii="Times New Roman" w:eastAsia="Times New Roman" w:hAnsi="Times New Roman" w:cs="Times New Roman"/>
          <w:color w:val="000000"/>
          <w:spacing w:val="0"/>
          <w:w w:val="100"/>
          <w:position w:val="0"/>
        </w:rPr>
        <w:t>1990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月至今，先 后担任汕头大学经济系助教、讲师、商学院副教授和教授；</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月，兼任汕头大学监察 审计处副处长；</w:t>
      </w:r>
      <w:r>
        <w:rPr>
          <w:rFonts w:ascii="Times New Roman" w:eastAsia="Times New Roman" w:hAnsi="Times New Roman" w:cs="Times New Roman"/>
          <w:color w:val="000000"/>
          <w:spacing w:val="0"/>
          <w:w w:val="100"/>
          <w:position w:val="0"/>
        </w:rPr>
        <w:t>1994</w:t>
      </w:r>
      <w:r>
        <w:rPr>
          <w:color w:val="000000"/>
          <w:spacing w:val="0"/>
          <w:w w:val="100"/>
          <w:position w:val="0"/>
        </w:rPr>
        <w:t>至</w:t>
      </w:r>
      <w:r>
        <w:rPr>
          <w:rFonts w:ascii="Times New Roman" w:eastAsia="Times New Roman" w:hAnsi="Times New Roman" w:cs="Times New Roman"/>
          <w:color w:val="000000"/>
          <w:spacing w:val="0"/>
          <w:w w:val="100"/>
          <w:position w:val="0"/>
        </w:rPr>
        <w:t>2001</w:t>
      </w:r>
      <w:r>
        <w:rPr>
          <w:color w:val="000000"/>
          <w:spacing w:val="0"/>
          <w:w w:val="100"/>
          <w:position w:val="0"/>
        </w:rPr>
        <w:t>年，先后任汕头市汕大会计师事务所及深圳市同人会计师事务所注册会计师。 曾担任黑牛食品股份有限公司、广东天际电气股份有限公司、广东龙湖科技股份有限公司、广东邦宝益智 玩具股份有限公司、广东金光高科股份有限公司、众业达电气股份有限公司独立董事、广东伟达智能装备 股份有限公司独立董事。报告期内，任星辉互动娱乐股份有限公司、宏辉果蔬股份有限公司、金发拉比妇 婴童用品股份有限公司及本公司独立董事。</w:t>
      </w:r>
    </w:p>
    <w:p>
      <w:pPr>
        <w:pStyle w:val="Style31"/>
        <w:keepNext w:val="0"/>
        <w:keepLines w:val="0"/>
        <w:widowControl w:val="0"/>
        <w:shd w:val="clear" w:color="auto" w:fill="auto"/>
        <w:tabs>
          <w:tab w:pos="1012" w:val="left"/>
        </w:tabs>
        <w:bidi w:val="0"/>
        <w:spacing w:before="0" w:line="319" w:lineRule="exact"/>
        <w:ind w:left="0" w:right="0" w:firstLine="440"/>
        <w:jc w:val="left"/>
      </w:pPr>
      <w:bookmarkStart w:id="325" w:name="bookmark325"/>
      <w:r>
        <w:rPr>
          <w:color w:val="000000"/>
          <w:spacing w:val="0"/>
          <w:w w:val="100"/>
          <w:position w:val="0"/>
        </w:rPr>
        <w:t>（</w:t>
      </w:r>
      <w:bookmarkEnd w:id="325"/>
      <w:r>
        <w:rPr>
          <w:rFonts w:ascii="Times New Roman" w:eastAsia="Times New Roman" w:hAnsi="Times New Roman" w:cs="Times New Roman"/>
          <w:color w:val="000000"/>
          <w:spacing w:val="0"/>
          <w:w w:val="100"/>
          <w:position w:val="0"/>
        </w:rPr>
        <w:t>8</w:t>
      </w:r>
      <w:r>
        <w:rPr>
          <w:color w:val="000000"/>
          <w:spacing w:val="0"/>
          <w:w w:val="100"/>
          <w:position w:val="0"/>
        </w:rPr>
        <w:t>）</w:t>
        <w:tab/>
        <w:t>刘波先生：</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月出生，中国国籍，无境外永久居留权，博士学历。</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月至今，先后 担任华南师范大学计算机系助教、讲师、计算机学院副教授、教授。报告期内，担任深圳市微特精密科技 股份有限公司外部董事，担任公司独立董事。</w:t>
      </w:r>
    </w:p>
    <w:p>
      <w:pPr>
        <w:pStyle w:val="Style31"/>
        <w:keepNext w:val="0"/>
        <w:keepLines w:val="0"/>
        <w:widowControl w:val="0"/>
        <w:shd w:val="clear" w:color="auto" w:fill="auto"/>
        <w:tabs>
          <w:tab w:pos="1012" w:val="left"/>
        </w:tabs>
        <w:bidi w:val="0"/>
        <w:spacing w:before="0" w:line="314" w:lineRule="exact"/>
        <w:ind w:left="0" w:right="0" w:firstLine="440"/>
        <w:jc w:val="left"/>
      </w:pPr>
      <w:bookmarkStart w:id="326" w:name="bookmark326"/>
      <w:r>
        <w:rPr>
          <w:color w:val="000000"/>
          <w:spacing w:val="0"/>
          <w:w w:val="100"/>
          <w:position w:val="0"/>
        </w:rPr>
        <w:t>（</w:t>
      </w:r>
      <w:bookmarkEnd w:id="326"/>
      <w:r>
        <w:rPr>
          <w:rFonts w:ascii="Times New Roman" w:eastAsia="Times New Roman" w:hAnsi="Times New Roman" w:cs="Times New Roman"/>
          <w:color w:val="000000"/>
          <w:spacing w:val="0"/>
          <w:w w:val="100"/>
          <w:position w:val="0"/>
        </w:rPr>
        <w:t>9</w:t>
      </w:r>
      <w:r>
        <w:rPr>
          <w:color w:val="000000"/>
          <w:spacing w:val="0"/>
          <w:w w:val="100"/>
          <w:position w:val="0"/>
        </w:rPr>
        <w:t>）</w:t>
        <w:tab/>
        <w:t xml:space="preserve">毛晓玲女士： </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月出生，中国国籍，无境外永久居留权，大专学历。</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1998</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月，担任汕头市科宏电脑有限公司销售经理；</w:t>
      </w:r>
      <w:r>
        <w:rPr>
          <w:rFonts w:ascii="Times New Roman" w:eastAsia="Times New Roman" w:hAnsi="Times New Roman" w:cs="Times New Roman"/>
          <w:color w:val="000000"/>
          <w:spacing w:val="0"/>
          <w:w w:val="100"/>
          <w:position w:val="0"/>
        </w:rPr>
        <w:t>1998</w:t>
      </w:r>
      <w:r>
        <w:rPr>
          <w:color w:val="000000"/>
          <w:spacing w:val="0"/>
          <w:w w:val="100"/>
          <w:position w:val="0"/>
        </w:rPr>
        <w:t>年加入本公司，先后担任公司采购部仓储主管、采购 部经理，现任公司监事会主席、商务部经理。</w:t>
      </w:r>
    </w:p>
    <w:p>
      <w:pPr>
        <w:pStyle w:val="Style31"/>
        <w:keepNext w:val="0"/>
        <w:keepLines w:val="0"/>
        <w:widowControl w:val="0"/>
        <w:shd w:val="clear" w:color="auto" w:fill="auto"/>
        <w:tabs>
          <w:tab w:pos="1066" w:val="left"/>
        </w:tabs>
        <w:bidi w:val="0"/>
        <w:spacing w:before="0" w:line="322" w:lineRule="exact"/>
        <w:ind w:left="0" w:right="0" w:firstLine="440"/>
        <w:jc w:val="left"/>
      </w:pPr>
      <w:bookmarkStart w:id="327" w:name="bookmark327"/>
      <w:r>
        <w:rPr>
          <w:color w:val="000000"/>
          <w:spacing w:val="0"/>
          <w:w w:val="100"/>
          <w:position w:val="0"/>
        </w:rPr>
        <w:t>（</w:t>
      </w:r>
      <w:bookmarkEnd w:id="327"/>
      <w:r>
        <w:rPr>
          <w:rFonts w:ascii="Times New Roman" w:eastAsia="Times New Roman" w:hAnsi="Times New Roman" w:cs="Times New Roman"/>
          <w:color w:val="000000"/>
          <w:spacing w:val="0"/>
          <w:w w:val="100"/>
          <w:position w:val="0"/>
        </w:rPr>
        <w:t>10</w:t>
      </w:r>
      <w:r>
        <w:rPr>
          <w:color w:val="000000"/>
          <w:spacing w:val="0"/>
          <w:w w:val="100"/>
          <w:position w:val="0"/>
        </w:rPr>
        <w:t>）</w:t>
        <w:tab/>
        <w:t xml:space="preserve">黄素芳女士： </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月出生，中国国籍，无境外永久居留权，大专学历。</w:t>
      </w:r>
      <w:r>
        <w:rPr>
          <w:rFonts w:ascii="Times New Roman" w:eastAsia="Times New Roman" w:hAnsi="Times New Roman" w:cs="Times New Roman"/>
          <w:color w:val="000000"/>
          <w:spacing w:val="0"/>
          <w:w w:val="100"/>
          <w:position w:val="0"/>
        </w:rPr>
        <w:t>1998</w:t>
      </w:r>
      <w:r>
        <w:rPr>
          <w:color w:val="000000"/>
          <w:spacing w:val="0"/>
          <w:w w:val="100"/>
          <w:position w:val="0"/>
        </w:rPr>
        <w:t>年加入本公司， 担任财务部会计，现任公司职工代表监事、审计部审计专员。</w:t>
      </w:r>
    </w:p>
    <w:p>
      <w:pPr>
        <w:pStyle w:val="Style31"/>
        <w:keepNext w:val="0"/>
        <w:keepLines w:val="0"/>
        <w:widowControl w:val="0"/>
        <w:shd w:val="clear" w:color="auto" w:fill="auto"/>
        <w:tabs>
          <w:tab w:pos="1066" w:val="left"/>
        </w:tabs>
        <w:bidi w:val="0"/>
        <w:spacing w:before="0" w:line="312" w:lineRule="exact"/>
        <w:ind w:left="0" w:right="0" w:firstLine="440"/>
        <w:jc w:val="left"/>
      </w:pPr>
      <w:bookmarkStart w:id="328" w:name="bookmark328"/>
      <w:r>
        <w:rPr>
          <w:color w:val="000000"/>
          <w:spacing w:val="0"/>
          <w:w w:val="100"/>
          <w:position w:val="0"/>
        </w:rPr>
        <w:t>（</w:t>
      </w:r>
      <w:bookmarkEnd w:id="328"/>
      <w:r>
        <w:rPr>
          <w:rFonts w:ascii="Times New Roman" w:eastAsia="Times New Roman" w:hAnsi="Times New Roman" w:cs="Times New Roman"/>
          <w:color w:val="000000"/>
          <w:spacing w:val="0"/>
          <w:w w:val="100"/>
          <w:position w:val="0"/>
        </w:rPr>
        <w:t>11</w:t>
      </w:r>
      <w:r>
        <w:rPr>
          <w:color w:val="000000"/>
          <w:spacing w:val="0"/>
          <w:w w:val="100"/>
          <w:position w:val="0"/>
        </w:rPr>
        <w:t>）</w:t>
        <w:tab/>
        <w:t xml:space="preserve">刘培璇女士： </w:t>
      </w:r>
      <w:r>
        <w:rPr>
          <w:rFonts w:ascii="Times New Roman" w:eastAsia="Times New Roman" w:hAnsi="Times New Roman" w:cs="Times New Roman"/>
          <w:color w:val="000000"/>
          <w:spacing w:val="0"/>
          <w:w w:val="100"/>
          <w:position w:val="0"/>
        </w:rPr>
        <w:t>1981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月出生，中国国籍，无境外永久居留权，大专学历。</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月加入本公 司，先后担任销售员、采购员、商务部经理助理、副经理、经理等职务，现任公司职工代表监事、采购部 经理。</w:t>
      </w:r>
    </w:p>
    <w:p>
      <w:pPr>
        <w:pStyle w:val="Style31"/>
        <w:keepNext w:val="0"/>
        <w:keepLines w:val="0"/>
        <w:widowControl w:val="0"/>
        <w:shd w:val="clear" w:color="auto" w:fill="auto"/>
        <w:tabs>
          <w:tab w:pos="1071" w:val="left"/>
        </w:tabs>
        <w:bidi w:val="0"/>
        <w:spacing w:before="0" w:line="315" w:lineRule="exact"/>
        <w:ind w:left="0" w:right="0" w:firstLine="440"/>
        <w:jc w:val="left"/>
      </w:pPr>
      <w:bookmarkStart w:id="329" w:name="bookmark329"/>
      <w:r>
        <w:rPr>
          <w:color w:val="000000"/>
          <w:spacing w:val="0"/>
          <w:w w:val="100"/>
          <w:position w:val="0"/>
        </w:rPr>
        <w:t>（</w:t>
      </w:r>
      <w:bookmarkEnd w:id="329"/>
      <w:r>
        <w:rPr>
          <w:rFonts w:ascii="Times New Roman" w:eastAsia="Times New Roman" w:hAnsi="Times New Roman" w:cs="Times New Roman"/>
          <w:color w:val="000000"/>
          <w:spacing w:val="0"/>
          <w:w w:val="100"/>
          <w:position w:val="0"/>
        </w:rPr>
        <w:t>12</w:t>
      </w:r>
      <w:r>
        <w:rPr>
          <w:color w:val="000000"/>
          <w:spacing w:val="0"/>
          <w:w w:val="100"/>
          <w:position w:val="0"/>
        </w:rPr>
        <w:t>）</w:t>
        <w:tab/>
        <w:t>李华青先生：</w:t>
      </w:r>
      <w:r>
        <w:rPr>
          <w:rFonts w:ascii="Times New Roman" w:eastAsia="Times New Roman" w:hAnsi="Times New Roman" w:cs="Times New Roman"/>
          <w:color w:val="000000"/>
          <w:spacing w:val="0"/>
          <w:w w:val="100"/>
          <w:position w:val="0"/>
        </w:rPr>
        <w:t>1978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月出生，中国国籍，无境外永久居留权，本科学历，会计学专业，高级 会计师、注册税务师，已取得深圳证券交易所认可的董事会秘书资格证书。</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 雅士利国际集团有限公司财务总监助理、子公司财务负责人，</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月，任广东天亿马信息 产业有限公司财务总监，</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月至今任广东天亿马信息产业股份有限公司财务总监、董事会秘书，主 要负责公司经营预算、核算、税务筹划、资金管理等财务管理工作，以及证券发行、信息披露等证券事务， 报告期内任公司财务总监、董事会秘书。</w:t>
      </w:r>
    </w:p>
    <w:p>
      <w:pPr>
        <w:pStyle w:val="Style31"/>
        <w:keepNext w:val="0"/>
        <w:keepLines w:val="0"/>
        <w:widowControl w:val="0"/>
        <w:shd w:val="clear" w:color="auto" w:fill="auto"/>
        <w:bidi w:val="0"/>
        <w:spacing w:before="0" w:after="220" w:line="314" w:lineRule="exact"/>
        <w:ind w:left="0" w:right="0" w:firstLine="440"/>
        <w:jc w:val="left"/>
      </w:pPr>
      <w:r>
        <w:rPr>
          <w:color w:val="000000"/>
          <w:spacing w:val="0"/>
          <w:w w:val="100"/>
          <w:position w:val="0"/>
        </w:rPr>
        <w:t>在股东单位任职情况</w:t>
      </w:r>
    </w:p>
    <w:p>
      <w:pPr>
        <w:pStyle w:val="Style31"/>
        <w:keepNext w:val="0"/>
        <w:keepLines w:val="0"/>
        <w:widowControl w:val="0"/>
        <w:shd w:val="clear" w:color="auto" w:fill="auto"/>
        <w:bidi w:val="0"/>
        <w:spacing w:before="0" w:after="40"/>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val="0"/>
        <w:keepLines w:val="0"/>
        <w:widowControl w:val="0"/>
        <w:shd w:val="clear" w:color="auto" w:fill="auto"/>
        <w:bidi w:val="0"/>
        <w:spacing w:before="0" w:after="220" w:line="314" w:lineRule="exact"/>
        <w:ind w:left="0" w:right="0" w:firstLine="440"/>
        <w:jc w:val="both"/>
      </w:pPr>
      <w:r>
        <w:rPr>
          <w:color w:val="000000"/>
          <w:spacing w:val="0"/>
          <w:w w:val="100"/>
          <w:position w:val="0"/>
        </w:rPr>
        <w:t>在其他单位任职情况</w:t>
      </w:r>
    </w:p>
    <w:p>
      <w:pPr>
        <w:pStyle w:val="Style14"/>
        <w:keepNext w:val="0"/>
        <w:keepLines w:val="0"/>
        <w:widowControl w:val="0"/>
        <w:shd w:val="clear" w:color="auto" w:fill="auto"/>
        <w:bidi w:val="0"/>
        <w:spacing w:before="0" w:after="0" w:line="240" w:lineRule="auto"/>
        <w:ind w:left="432" w:right="0" w:firstLine="0"/>
        <w:jc w:val="left"/>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tbl>
      <w:tblPr>
        <w:tblOverlap w:val="never"/>
        <w:jc w:val="center"/>
        <w:tblLayout w:type="fixed"/>
      </w:tblPr>
      <w:tblGrid>
        <w:gridCol w:w="883"/>
        <w:gridCol w:w="3403"/>
        <w:gridCol w:w="1402"/>
        <w:gridCol w:w="1574"/>
        <w:gridCol w:w="1560"/>
        <w:gridCol w:w="88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位是否领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取报酬津</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马学沛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汕头市励志投资管理合伙企业（有限合伙）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执行事务合伙人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李之佳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东兴资本投资管理有限公司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广东汕头超声电子股份有限公司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江门新乐贝食品有限公司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否</w:t>
            </w:r>
          </w:p>
        </w:tc>
      </w:tr>
    </w:tbl>
    <w:tbl>
      <w:tblPr>
        <w:tblOverlap w:val="never"/>
        <w:jc w:val="center"/>
        <w:tblLayout w:type="fixed"/>
      </w:tblPr>
      <w:tblGrid>
        <w:gridCol w:w="883"/>
        <w:gridCol w:w="3403"/>
        <w:gridCol w:w="1402"/>
        <w:gridCol w:w="1574"/>
        <w:gridCol w:w="1560"/>
        <w:gridCol w:w="88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在其他单位担任 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位是否领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取报酬津</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贴</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广州医药集团有限公司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姚明安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宏辉果蔬股份有限公司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姚明安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金发拉比妇婴童用品股份有限公司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姚明安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广东伟达智能装备股份有限公司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姚明安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星辉互动娱乐股份有限公司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深圳市微特精密科技股份有限公司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位任职情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公司现任及报告期内离任董事、监事和高级管理人员近三年证券监管机构处罚的情况</w:t>
      </w:r>
    </w:p>
    <w:p>
      <w:pPr>
        <w:widowControl w:val="0"/>
        <w:spacing w:after="139" w:line="1" w:lineRule="exact"/>
      </w:pPr>
    </w:p>
    <w:p>
      <w:pPr>
        <w:pStyle w:val="Style31"/>
        <w:keepNext w:val="0"/>
        <w:keepLines w:val="0"/>
        <w:widowControl w:val="0"/>
        <w:shd w:val="clear" w:color="auto" w:fill="auto"/>
        <w:bidi w:val="0"/>
        <w:spacing w:before="0" w:after="240" w:line="311"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8"/>
        <w:keepNext/>
        <w:keepLines/>
        <w:widowControl w:val="0"/>
        <w:shd w:val="clear" w:color="auto" w:fill="auto"/>
        <w:bidi w:val="0"/>
        <w:spacing w:before="0" w:after="320" w:line="311" w:lineRule="exact"/>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3</w:t>
      </w:r>
      <w:bookmarkEnd w:id="332"/>
      <w:r>
        <w:rPr>
          <w:color w:val="000000"/>
          <w:spacing w:val="0"/>
          <w:w w:val="100"/>
          <w:position w:val="0"/>
        </w:rPr>
        <w:t>、董事、监事、高级管理人员报酬情况</w:t>
      </w:r>
      <w:bookmarkEnd w:id="330"/>
      <w:bookmarkEnd w:id="331"/>
      <w:bookmarkEnd w:id="333"/>
    </w:p>
    <w:p>
      <w:pPr>
        <w:pStyle w:val="Style31"/>
        <w:keepNext w:val="0"/>
        <w:keepLines w:val="0"/>
        <w:widowControl w:val="0"/>
        <w:shd w:val="clear" w:color="auto" w:fill="auto"/>
        <w:bidi w:val="0"/>
        <w:spacing w:before="0" w:line="311" w:lineRule="exact"/>
        <w:ind w:left="0" w:right="0" w:firstLine="440"/>
        <w:jc w:val="both"/>
      </w:pPr>
      <w:r>
        <w:rPr>
          <w:color w:val="000000"/>
          <w:spacing w:val="0"/>
          <w:w w:val="100"/>
          <w:position w:val="0"/>
        </w:rPr>
        <w:t>董事、监事、高级管理人员报酬的决策程序、确定依据、实际支付情况</w:t>
      </w:r>
    </w:p>
    <w:p>
      <w:pPr>
        <w:pStyle w:val="Style31"/>
        <w:keepNext w:val="0"/>
        <w:keepLines w:val="0"/>
        <w:widowControl w:val="0"/>
        <w:shd w:val="clear" w:color="auto" w:fill="auto"/>
        <w:tabs>
          <w:tab w:pos="889" w:val="left"/>
        </w:tabs>
        <w:bidi w:val="0"/>
        <w:spacing w:before="0" w:line="311" w:lineRule="exact"/>
        <w:ind w:left="0" w:right="0" w:firstLine="440"/>
        <w:jc w:val="both"/>
      </w:pPr>
      <w:bookmarkStart w:id="334" w:name="bookmark334"/>
      <w:r>
        <w:rPr>
          <w:color w:val="000000"/>
          <w:spacing w:val="0"/>
          <w:w w:val="100"/>
          <w:position w:val="0"/>
        </w:rPr>
        <w:t>（</w:t>
      </w:r>
      <w:bookmarkEnd w:id="334"/>
      <w:r>
        <w:rPr>
          <w:rFonts w:ascii="Times New Roman" w:eastAsia="Times New Roman" w:hAnsi="Times New Roman" w:cs="Times New Roman"/>
          <w:color w:val="000000"/>
          <w:spacing w:val="0"/>
          <w:w w:val="100"/>
          <w:position w:val="0"/>
        </w:rPr>
        <w:t>1</w:t>
      </w:r>
      <w:r>
        <w:rPr>
          <w:color w:val="000000"/>
          <w:spacing w:val="0"/>
          <w:w w:val="100"/>
          <w:position w:val="0"/>
        </w:rPr>
        <w:t>）</w:t>
        <w:tab/>
        <w:t>薪酬组成</w:t>
      </w:r>
    </w:p>
    <w:p>
      <w:pPr>
        <w:pStyle w:val="Style31"/>
        <w:keepNext w:val="0"/>
        <w:keepLines w:val="0"/>
        <w:widowControl w:val="0"/>
        <w:shd w:val="clear" w:color="auto" w:fill="auto"/>
        <w:bidi w:val="0"/>
        <w:spacing w:before="0" w:line="313" w:lineRule="exact"/>
        <w:ind w:left="0" w:right="0" w:firstLine="440"/>
        <w:jc w:val="both"/>
      </w:pPr>
      <w:r>
        <w:rPr>
          <w:color w:val="000000"/>
          <w:spacing w:val="0"/>
          <w:w w:val="100"/>
          <w:position w:val="0"/>
        </w:rPr>
        <w:t>除独立董事、外部董事外，公司其他董事、监事、高级管理人员及核心技术人员的薪酬主要由固定工 资、绩效工资和年终奖金构成。其中，每月固定工资根据上述人员加入公司年限、个人能力、工作内容与 强度、同行业平均工资水平综合考虑确定；每月绩效工资根据当月工作考核结果确定；年终奖金根据年度 绩效考核结果确定。公司建立独立董事制度后，独立董事津贴为每年</w:t>
      </w:r>
      <w:r>
        <w:rPr>
          <w:rFonts w:ascii="Times New Roman" w:eastAsia="Times New Roman" w:hAnsi="Times New Roman" w:cs="Times New Roman"/>
          <w:color w:val="000000"/>
          <w:spacing w:val="0"/>
          <w:w w:val="100"/>
          <w:position w:val="0"/>
        </w:rPr>
        <w:t>6.00</w:t>
      </w:r>
      <w:r>
        <w:rPr>
          <w:color w:val="000000"/>
          <w:spacing w:val="0"/>
          <w:w w:val="100"/>
          <w:position w:val="0"/>
        </w:rPr>
        <w:t>万元。外部董事李之佳先生未在 公司领取薪酬。</w:t>
      </w:r>
    </w:p>
    <w:p>
      <w:pPr>
        <w:pStyle w:val="Style31"/>
        <w:keepNext w:val="0"/>
        <w:keepLines w:val="0"/>
        <w:widowControl w:val="0"/>
        <w:shd w:val="clear" w:color="auto" w:fill="auto"/>
        <w:tabs>
          <w:tab w:pos="889" w:val="left"/>
        </w:tabs>
        <w:bidi w:val="0"/>
        <w:spacing w:before="0" w:line="311" w:lineRule="exact"/>
        <w:ind w:left="0" w:right="0" w:firstLine="440"/>
        <w:jc w:val="both"/>
      </w:pPr>
      <w:bookmarkStart w:id="335" w:name="bookmark335"/>
      <w:r>
        <w:rPr>
          <w:color w:val="000000"/>
          <w:spacing w:val="0"/>
          <w:w w:val="100"/>
          <w:position w:val="0"/>
        </w:rPr>
        <w:t>（</w:t>
      </w:r>
      <w:bookmarkEnd w:id="335"/>
      <w:r>
        <w:rPr>
          <w:rFonts w:ascii="Times New Roman" w:eastAsia="Times New Roman" w:hAnsi="Times New Roman" w:cs="Times New Roman"/>
          <w:color w:val="000000"/>
          <w:spacing w:val="0"/>
          <w:w w:val="100"/>
          <w:position w:val="0"/>
        </w:rPr>
        <w:t>2</w:t>
      </w:r>
      <w:r>
        <w:rPr>
          <w:color w:val="000000"/>
          <w:spacing w:val="0"/>
          <w:w w:val="100"/>
          <w:position w:val="0"/>
        </w:rPr>
        <w:t>）</w:t>
        <w:tab/>
        <w:t>确定依据</w:t>
      </w:r>
    </w:p>
    <w:p>
      <w:pPr>
        <w:pStyle w:val="Style31"/>
        <w:keepNext w:val="0"/>
        <w:keepLines w:val="0"/>
        <w:widowControl w:val="0"/>
        <w:shd w:val="clear" w:color="auto" w:fill="auto"/>
        <w:bidi w:val="0"/>
        <w:spacing w:before="0" w:line="310" w:lineRule="exact"/>
        <w:ind w:left="0" w:right="0" w:firstLine="440"/>
        <w:jc w:val="both"/>
      </w:pPr>
      <w:r>
        <w:rPr>
          <w:color w:val="000000"/>
          <w:spacing w:val="0"/>
          <w:w w:val="100"/>
          <w:position w:val="0"/>
        </w:rPr>
        <w:t>薪酬与考核委员会听取董事和高级管理人员的述职和自我评价，按绩效评价标准和程序，对董事及高 级管理人员进行绩效评价，根据岗位绩效评价结果及薪酬分配政策提出董事及高级管理人员的报酬数额和 奖励方式，表决通过后，报公司董事会。</w:t>
      </w:r>
    </w:p>
    <w:p>
      <w:pPr>
        <w:pStyle w:val="Style31"/>
        <w:keepNext w:val="0"/>
        <w:keepLines w:val="0"/>
        <w:widowControl w:val="0"/>
        <w:shd w:val="clear" w:color="auto" w:fill="auto"/>
        <w:tabs>
          <w:tab w:pos="889" w:val="left"/>
        </w:tabs>
        <w:bidi w:val="0"/>
        <w:spacing w:before="0" w:line="311" w:lineRule="exact"/>
        <w:ind w:left="0" w:right="0" w:firstLine="440"/>
        <w:jc w:val="both"/>
      </w:pPr>
      <w:bookmarkStart w:id="336" w:name="bookmark336"/>
      <w:r>
        <w:rPr>
          <w:color w:val="000000"/>
          <w:spacing w:val="0"/>
          <w:w w:val="100"/>
          <w:position w:val="0"/>
        </w:rPr>
        <w:t>（</w:t>
      </w:r>
      <w:bookmarkEnd w:id="336"/>
      <w:r>
        <w:rPr>
          <w:rFonts w:ascii="Times New Roman" w:eastAsia="Times New Roman" w:hAnsi="Times New Roman" w:cs="Times New Roman"/>
          <w:color w:val="000000"/>
          <w:spacing w:val="0"/>
          <w:w w:val="100"/>
          <w:position w:val="0"/>
        </w:rPr>
        <w:t>3</w:t>
      </w:r>
      <w:r>
        <w:rPr>
          <w:color w:val="000000"/>
          <w:spacing w:val="0"/>
          <w:w w:val="100"/>
          <w:position w:val="0"/>
        </w:rPr>
        <w:t>）</w:t>
        <w:tab/>
        <w:t>履行程序</w:t>
      </w:r>
    </w:p>
    <w:p>
      <w:pPr>
        <w:pStyle w:val="Style31"/>
        <w:keepNext w:val="0"/>
        <w:keepLines w:val="0"/>
        <w:widowControl w:val="0"/>
        <w:shd w:val="clear" w:color="auto" w:fill="auto"/>
        <w:bidi w:val="0"/>
        <w:spacing w:before="0" w:after="240" w:line="311"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日第一届董事会第十八次会议、</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年年度股东大会审议通过《关于公司 董事（非独立董事）、监事及高级管理人员</w:t>
      </w:r>
      <w:r>
        <w:rPr>
          <w:rFonts w:ascii="Times New Roman" w:eastAsia="Times New Roman" w:hAnsi="Times New Roman" w:cs="Times New Roman"/>
          <w:color w:val="000000"/>
          <w:spacing w:val="0"/>
          <w:w w:val="100"/>
          <w:position w:val="0"/>
        </w:rPr>
        <w:t>2018</w:t>
      </w:r>
      <w:r>
        <w:rPr>
          <w:color w:val="000000"/>
          <w:spacing w:val="0"/>
          <w:w w:val="100"/>
          <w:position w:val="0"/>
        </w:rPr>
        <w:t>年度薪酬待遇的方案的议案》。</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日第二届董 事会第二次会议、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年年度股东大会审议通过《关于公司董事（非独立董事）、监事及 高级管理人员</w:t>
      </w:r>
      <w:r>
        <w:rPr>
          <w:rFonts w:ascii="Times New Roman" w:eastAsia="Times New Roman" w:hAnsi="Times New Roman" w:cs="Times New Roman"/>
          <w:color w:val="000000"/>
          <w:spacing w:val="0"/>
          <w:w w:val="100"/>
          <w:position w:val="0"/>
        </w:rPr>
        <w:t>2019</w:t>
      </w:r>
      <w:r>
        <w:rPr>
          <w:color w:val="000000"/>
          <w:spacing w:val="0"/>
          <w:w w:val="100"/>
          <w:position w:val="0"/>
        </w:rPr>
        <w:t>年度薪酬待遇的方案的议案》《关于第二届董事会独立董事津贴的议案》。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日第二届董事会第八次会议、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年度股东大会审议通过《关于公司董事、监事及高级管 公司报告期内董事、监事和高级管理人员报酬情况》。</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日第二届董事会第十七次会议、</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年度股东大会审议通过《关于公司董事（非独立董事）、监事及高级管理人员</w:t>
      </w:r>
      <w:r>
        <w:rPr>
          <w:rFonts w:ascii="Times New Roman" w:eastAsia="Times New Roman" w:hAnsi="Times New Roman" w:cs="Times New Roman"/>
          <w:color w:val="000000"/>
          <w:spacing w:val="0"/>
          <w:w w:val="100"/>
          <w:position w:val="0"/>
        </w:rPr>
        <w:t>2021</w:t>
      </w:r>
      <w:r>
        <w:rPr>
          <w:color w:val="000000"/>
          <w:spacing w:val="0"/>
          <w:w w:val="100"/>
          <w:position w:val="0"/>
        </w:rPr>
        <w:t>年度薪</w:t>
        <w:br w:type="page"/>
      </w:r>
      <w:r>
        <w:rPr>
          <w:color w:val="000000"/>
          <w:spacing w:val="0"/>
          <w:w w:val="100"/>
          <w:position w:val="0"/>
        </w:rPr>
        <w:t>酬待遇的方案的议案》。</w:t>
      </w:r>
    </w:p>
    <w:p>
      <w:pPr>
        <w:pStyle w:val="Style31"/>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公司报告期内董事、监事和高级管理人员报酬情况</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686"/>
        <w:gridCol w:w="2122"/>
        <w:gridCol w:w="470"/>
        <w:gridCol w:w="475"/>
        <w:gridCol w:w="893"/>
        <w:gridCol w:w="2525"/>
        <w:gridCol w:w="253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从公司获得的税前报酬总额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是否在公司关联方获取报酬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林明玲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马学沛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陈曼秋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高俊斌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李之佳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李业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姚明安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刘波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李靖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毛晓玲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黄素芳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刘培璇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李华青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5"/>
        <w:keepNext/>
        <w:keepLines/>
        <w:widowControl w:val="0"/>
        <w:shd w:val="clear" w:color="auto" w:fill="auto"/>
        <w:bidi w:val="0"/>
        <w:spacing w:before="0" w:after="360" w:line="240" w:lineRule="auto"/>
        <w:ind w:left="0" w:right="0" w:firstLine="0"/>
        <w:jc w:val="left"/>
      </w:pPr>
      <w:bookmarkStart w:id="337" w:name="bookmark337"/>
      <w:bookmarkStart w:id="338" w:name="bookmark338"/>
      <w:bookmarkStart w:id="339" w:name="bookmark339"/>
      <w:bookmarkStart w:id="340" w:name="bookmark340"/>
      <w:r>
        <w:rPr>
          <w:color w:val="000000"/>
          <w:spacing w:val="0"/>
          <w:w w:val="100"/>
          <w:position w:val="0"/>
        </w:rPr>
        <w:t>八</w:t>
      </w:r>
      <w:bookmarkEnd w:id="339"/>
      <w:r>
        <w:rPr>
          <w:color w:val="000000"/>
          <w:spacing w:val="0"/>
          <w:w w:val="100"/>
          <w:position w:val="0"/>
        </w:rPr>
        <w:t>、报告期内董事履行职责的情况</w:t>
      </w:r>
      <w:bookmarkEnd w:id="337"/>
      <w:bookmarkEnd w:id="338"/>
      <w:bookmarkEnd w:id="340"/>
    </w:p>
    <w:p>
      <w:pPr>
        <w:pStyle w:val="Style28"/>
        <w:keepNext/>
        <w:keepLines/>
        <w:widowControl w:val="0"/>
        <w:shd w:val="clear" w:color="auto" w:fill="auto"/>
        <w:bidi w:val="0"/>
        <w:spacing w:before="0" w:after="320" w:line="240" w:lineRule="auto"/>
        <w:ind w:left="0" w:right="0" w:firstLine="0"/>
        <w:jc w:val="left"/>
      </w:pPr>
      <w:bookmarkStart w:id="341" w:name="bookmark341"/>
      <w:bookmarkStart w:id="342" w:name="bookmark342"/>
      <w:bookmarkStart w:id="343" w:name="bookmark343"/>
      <w:bookmarkStart w:id="344" w:name="bookmark344"/>
      <w:r>
        <w:rPr>
          <w:rFonts w:ascii="Times New Roman" w:eastAsia="Times New Roman" w:hAnsi="Times New Roman" w:cs="Times New Roman"/>
          <w:color w:val="000000"/>
          <w:spacing w:val="0"/>
          <w:w w:val="100"/>
          <w:position w:val="0"/>
        </w:rPr>
        <w:t>1</w:t>
      </w:r>
      <w:bookmarkEnd w:id="343"/>
      <w:r>
        <w:rPr>
          <w:color w:val="000000"/>
          <w:spacing w:val="0"/>
          <w:w w:val="100"/>
          <w:position w:val="0"/>
        </w:rPr>
        <w:t>、本报告期董事会情况</w:t>
      </w:r>
      <w:bookmarkEnd w:id="341"/>
      <w:bookmarkEnd w:id="342"/>
      <w:bookmarkEnd w:id="344"/>
    </w:p>
    <w:tbl>
      <w:tblPr>
        <w:tblOverlap w:val="never"/>
        <w:jc w:val="center"/>
        <w:tblLayout w:type="fixed"/>
      </w:tblPr>
      <w:tblGrid>
        <w:gridCol w:w="2021"/>
        <w:gridCol w:w="1699"/>
        <w:gridCol w:w="1699"/>
        <w:gridCol w:w="429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第二届董事会第十五次 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38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日披露于全国中小企业股份 转让系统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www.neeq.com.cn</w:t>
            </w:r>
            <w:r>
              <w:rPr>
                <w:color w:val="000000"/>
                <w:spacing w:val="0"/>
                <w:w w:val="100"/>
                <w:position w:val="0"/>
              </w:rPr>
              <w:t>)的《广东天亿马信息产 业股份有限公司第二届董事会第十五次会议决议公 告》(公告编号：</w:t>
            </w:r>
            <w:r>
              <w:rPr>
                <w:rFonts w:ascii="Times New Roman" w:eastAsia="Times New Roman" w:hAnsi="Times New Roman" w:cs="Times New Roman"/>
                <w:color w:val="000000"/>
                <w:spacing w:val="0"/>
                <w:w w:val="100"/>
                <w:position w:val="0"/>
                <w:sz w:val="18"/>
                <w:szCs w:val="18"/>
              </w:rPr>
              <w:t>2021-004</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第二届董事会第十六次 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日披露于全国中小企业股份 转让系统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www.neeq.com.cn</w:t>
            </w:r>
            <w:r>
              <w:rPr>
                <w:color w:val="000000"/>
                <w:spacing w:val="0"/>
                <w:w w:val="100"/>
                <w:position w:val="0"/>
              </w:rPr>
              <w:t>)的《广东天亿马信息产 业股份有限公司第二届董事会第十六次会议决议公 告》(公告编号：</w:t>
            </w:r>
            <w:r>
              <w:rPr>
                <w:rFonts w:ascii="Times New Roman" w:eastAsia="Times New Roman" w:hAnsi="Times New Roman" w:cs="Times New Roman"/>
                <w:color w:val="000000"/>
                <w:spacing w:val="0"/>
                <w:w w:val="100"/>
                <w:position w:val="0"/>
                <w:sz w:val="18"/>
                <w:szCs w:val="18"/>
              </w:rPr>
              <w:t>2021-008</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第二届董事会第十七次 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日披露于全国中小企业股份 转让系统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www.neeq.com.cn</w:t>
            </w:r>
            <w:r>
              <w:rPr>
                <w:color w:val="000000"/>
                <w:spacing w:val="0"/>
                <w:w w:val="100"/>
                <w:position w:val="0"/>
              </w:rPr>
              <w:t>)的《广东天亿马信息产 业股份有限公司第二届董事会第十七次会议决议公 告》(公告编号：</w:t>
            </w:r>
            <w:r>
              <w:rPr>
                <w:rFonts w:ascii="Times New Roman" w:eastAsia="Times New Roman" w:hAnsi="Times New Roman" w:cs="Times New Roman"/>
                <w:color w:val="000000"/>
                <w:spacing w:val="0"/>
                <w:w w:val="100"/>
                <w:position w:val="0"/>
                <w:sz w:val="18"/>
                <w:szCs w:val="18"/>
              </w:rPr>
              <w:t>2021-020</w:t>
            </w:r>
            <w:r>
              <w:rPr>
                <w:color w:val="000000"/>
                <w:spacing w:val="0"/>
                <w:w w:val="100"/>
                <w:position w:val="0"/>
              </w:rPr>
              <w:t>)。</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第二届董事会第十八次 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日披露于全国中小企业股份 转让系统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www.neeq.com.cn</w:t>
            </w:r>
            <w:r>
              <w:rPr>
                <w:color w:val="000000"/>
                <w:spacing w:val="0"/>
                <w:w w:val="100"/>
                <w:position w:val="0"/>
              </w:rPr>
              <w:t>)的《广东天亿马信息产</w:t>
            </w:r>
          </w:p>
        </w:tc>
      </w:tr>
    </w:tbl>
    <w:p>
      <w:pPr>
        <w:spacing w:lineRule="exact" w:line="1"/>
        <w:rPr>
          <w:sz w:val="2"/>
          <w:szCs w:val="2"/>
        </w:rPr>
      </w:pPr>
      <w:r>
        <w:br w:type="page"/>
      </w:r>
    </w:p>
    <w:tbl>
      <w:tblPr>
        <w:tblOverlap w:val="never"/>
        <w:jc w:val="center"/>
        <w:tblLayout w:type="fixed"/>
      </w:tblPr>
      <w:tblGrid>
        <w:gridCol w:w="2021"/>
        <w:gridCol w:w="1699"/>
        <w:gridCol w:w="1699"/>
        <w:gridCol w:w="4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67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业股份有限公司第二届董事会第十八次会议决议公 告》（公告编号：</w:t>
            </w:r>
            <w:r>
              <w:rPr>
                <w:rFonts w:ascii="Times New Roman" w:eastAsia="Times New Roman" w:hAnsi="Times New Roman" w:cs="Times New Roman"/>
                <w:color w:val="000000"/>
                <w:spacing w:val="0"/>
                <w:w w:val="100"/>
                <w:position w:val="0"/>
                <w:sz w:val="18"/>
                <w:szCs w:val="18"/>
              </w:rPr>
              <w:t>2021-035</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第二届董事会第十九次 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38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日披露于全国中小企业股份 转让系统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www.neeq.com.cn</w:t>
            </w:r>
            <w:r>
              <w:rPr>
                <w:color w:val="000000"/>
                <w:spacing w:val="0"/>
                <w:w w:val="100"/>
                <w:position w:val="0"/>
              </w:rPr>
              <w:t>）的《广东天亿马信息产 业股份有限公司第二届董事会第十九次会议决议公 告》（公告编号：</w:t>
            </w:r>
            <w:r>
              <w:rPr>
                <w:rFonts w:ascii="Times New Roman" w:eastAsia="Times New Roman" w:hAnsi="Times New Roman" w:cs="Times New Roman"/>
                <w:color w:val="000000"/>
                <w:spacing w:val="0"/>
                <w:w w:val="100"/>
                <w:position w:val="0"/>
                <w:sz w:val="18"/>
                <w:szCs w:val="18"/>
              </w:rPr>
              <w:t>2021-038</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第二届董事会第二十次 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日披露于全国中小企业股份 转让系统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www.neeq.com.cn</w:t>
            </w:r>
            <w:r>
              <w:rPr>
                <w:color w:val="000000"/>
                <w:spacing w:val="0"/>
                <w:w w:val="100"/>
                <w:position w:val="0"/>
              </w:rPr>
              <w:t>）的《广东天亿马信息产 业股份有限公司第二届董事会第二十次会议决议公 告》（公告编号：</w:t>
            </w:r>
            <w:r>
              <w:rPr>
                <w:rFonts w:ascii="Times New Roman" w:eastAsia="Times New Roman" w:hAnsi="Times New Roman" w:cs="Times New Roman"/>
                <w:color w:val="000000"/>
                <w:spacing w:val="0"/>
                <w:w w:val="100"/>
                <w:position w:val="0"/>
                <w:sz w:val="18"/>
                <w:szCs w:val="18"/>
              </w:rPr>
              <w:t>2021-044</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第二届董事会第二十一 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日披露于全国中小企业股份转 让系统（</w:t>
            </w:r>
            <w:r>
              <w:rPr>
                <w:rFonts w:ascii="Times New Roman" w:eastAsia="Times New Roman" w:hAnsi="Times New Roman" w:cs="Times New Roman"/>
                <w:color w:val="000000"/>
                <w:spacing w:val="0"/>
                <w:w w:val="100"/>
                <w:position w:val="0"/>
                <w:sz w:val="18"/>
                <w:szCs w:val="18"/>
              </w:rPr>
              <w:t>www.neeq.com.cn</w:t>
            </w:r>
            <w:r>
              <w:rPr>
                <w:color w:val="000000"/>
                <w:spacing w:val="0"/>
                <w:w w:val="100"/>
                <w:position w:val="0"/>
              </w:rPr>
              <w:t>）的《广东天亿马信息产业 股份有限公司第二届董事会第二十一次会议决议公 告》（公告编号：</w:t>
            </w:r>
            <w:r>
              <w:rPr>
                <w:rFonts w:ascii="Times New Roman" w:eastAsia="Times New Roman" w:hAnsi="Times New Roman" w:cs="Times New Roman"/>
                <w:color w:val="000000"/>
                <w:spacing w:val="0"/>
                <w:w w:val="100"/>
                <w:position w:val="0"/>
                <w:sz w:val="18"/>
                <w:szCs w:val="18"/>
              </w:rPr>
              <w:t>2021-050</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第二届董事会第二十二 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日披露于全国中小企业股份 转让系统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www.neeq.com.cn</w:t>
            </w:r>
            <w:r>
              <w:rPr>
                <w:color w:val="000000"/>
                <w:spacing w:val="0"/>
                <w:w w:val="100"/>
                <w:position w:val="0"/>
              </w:rPr>
              <w:t>）的《广东天亿马信息产 业股份有限公司第二届董事会第二十二次会议决议公 告》（公告编号：</w:t>
            </w:r>
            <w:r>
              <w:rPr>
                <w:rFonts w:ascii="Times New Roman" w:eastAsia="Times New Roman" w:hAnsi="Times New Roman" w:cs="Times New Roman"/>
                <w:color w:val="000000"/>
                <w:spacing w:val="0"/>
                <w:w w:val="100"/>
                <w:position w:val="0"/>
                <w:sz w:val="18"/>
                <w:szCs w:val="18"/>
              </w:rPr>
              <w:t>2021-051</w:t>
            </w:r>
            <w:r>
              <w:rPr>
                <w:color w:val="000000"/>
                <w:spacing w:val="0"/>
                <w:w w:val="100"/>
                <w:position w:val="0"/>
              </w:rPr>
              <w:t>）。</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第二届董事会第二十三 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日披露于巨潮资讯网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w:t>
            </w:r>
            <w:r>
              <w:rPr>
                <w:color w:val="000000"/>
                <w:spacing w:val="0"/>
                <w:w w:val="100"/>
                <w:position w:val="0"/>
              </w:rPr>
              <w:t>）及刊登在《证券日报》《证券时报》</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《中国证券报》《上海证券报》的《广东天亿马信息产 业股份有限公司第二届董事会第二十三次会议决议公 告》（公告编号：</w:t>
            </w:r>
            <w:r>
              <w:rPr>
                <w:rFonts w:ascii="Times New Roman" w:eastAsia="Times New Roman" w:hAnsi="Times New Roman" w:cs="Times New Roman"/>
                <w:color w:val="000000"/>
                <w:spacing w:val="0"/>
                <w:w w:val="100"/>
                <w:position w:val="0"/>
                <w:sz w:val="18"/>
                <w:szCs w:val="18"/>
              </w:rPr>
              <w:t>2021-001</w:t>
            </w: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2</w:t>
      </w:r>
      <w:bookmarkEnd w:id="347"/>
      <w:r>
        <w:rPr>
          <w:color w:val="000000"/>
          <w:spacing w:val="0"/>
          <w:w w:val="100"/>
          <w:position w:val="0"/>
        </w:rPr>
        <w:t>、董事出席董事会及股东大会的情况</w:t>
      </w:r>
      <w:bookmarkEnd w:id="345"/>
      <w:bookmarkEnd w:id="346"/>
      <w:bookmarkEnd w:id="348"/>
    </w:p>
    <w:tbl>
      <w:tblPr>
        <w:tblOverlap w:val="never"/>
        <w:jc w:val="center"/>
        <w:tblLayout w:type="fixed"/>
      </w:tblPr>
      <w:tblGrid>
        <w:gridCol w:w="1450"/>
        <w:gridCol w:w="1181"/>
        <w:gridCol w:w="1176"/>
        <w:gridCol w:w="1181"/>
        <w:gridCol w:w="1181"/>
        <w:gridCol w:w="1176"/>
        <w:gridCol w:w="1181"/>
        <w:gridCol w:w="1186"/>
      </w:tblGrid>
      <w:tr>
        <w:trPr>
          <w:trHeight w:val="40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是否连续两次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未亲自参加董</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林明玲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马学沛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陈曼秋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高俊斌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李之佳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姚明安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31"/>
        <w:keepNext w:val="0"/>
        <w:keepLines w:val="0"/>
        <w:widowControl w:val="0"/>
        <w:shd w:val="clear" w:color="auto" w:fill="auto"/>
        <w:bidi w:val="0"/>
        <w:spacing w:before="0" w:line="317" w:lineRule="exact"/>
        <w:ind w:left="0" w:right="0" w:firstLine="0"/>
        <w:jc w:val="left"/>
      </w:pPr>
      <w:r>
        <w:rPr>
          <w:color w:val="000000"/>
          <w:spacing w:val="0"/>
          <w:w w:val="100"/>
          <w:position w:val="0"/>
        </w:rPr>
        <w:t>连续两次未亲自出席董事会的说明</w:t>
      </w:r>
    </w:p>
    <w:p>
      <w:pPr>
        <w:pStyle w:val="Style3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报告期内，公司董事不存在连续两次未亲自出席董事会的情况。</w:t>
      </w:r>
    </w:p>
    <w:p>
      <w:pPr>
        <w:pStyle w:val="Style28"/>
        <w:keepNext/>
        <w:keepLines/>
        <w:widowControl w:val="0"/>
        <w:shd w:val="clear" w:color="auto" w:fill="auto"/>
        <w:tabs>
          <w:tab w:pos="378" w:val="left"/>
        </w:tabs>
        <w:bidi w:val="0"/>
        <w:spacing w:before="0" w:after="200" w:line="331"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3</w:t>
      </w:r>
      <w:bookmarkEnd w:id="351"/>
      <w:r>
        <w:rPr>
          <w:color w:val="000000"/>
          <w:spacing w:val="0"/>
          <w:w w:val="100"/>
          <w:position w:val="0"/>
        </w:rPr>
        <w:t>、</w:t>
        <w:tab/>
        <w:t>董事对公司有关事项提出异议的情况</w:t>
      </w:r>
      <w:bookmarkEnd w:id="349"/>
      <w:bookmarkEnd w:id="350"/>
      <w:bookmarkEnd w:id="352"/>
    </w:p>
    <w:p>
      <w:pPr>
        <w:pStyle w:val="Style31"/>
        <w:keepNext w:val="0"/>
        <w:keepLines w:val="0"/>
        <w:widowControl w:val="0"/>
        <w:shd w:val="clear" w:color="auto" w:fill="auto"/>
        <w:bidi w:val="0"/>
        <w:spacing w:before="0" w:after="200" w:line="317" w:lineRule="exact"/>
        <w:ind w:left="0" w:right="0" w:firstLine="0"/>
        <w:jc w:val="left"/>
      </w:pPr>
      <w:r>
        <w:rPr>
          <w:color w:val="000000"/>
          <w:spacing w:val="0"/>
          <w:w w:val="100"/>
          <w:position w:val="0"/>
        </w:rPr>
        <w:t>董事对公司有关事项是否提出异议</w:t>
      </w:r>
    </w:p>
    <w:p>
      <w:pPr>
        <w:pStyle w:val="Style31"/>
        <w:keepNext w:val="0"/>
        <w:keepLines w:val="0"/>
        <w:widowControl w:val="0"/>
        <w:shd w:val="clear" w:color="auto" w:fill="auto"/>
        <w:bidi w:val="0"/>
        <w:spacing w:before="0" w:after="40" w:line="331"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报告期内董事对公司有关事项未提出异议。</w:t>
      </w:r>
    </w:p>
    <w:p>
      <w:pPr>
        <w:pStyle w:val="Style28"/>
        <w:keepNext/>
        <w:keepLines/>
        <w:widowControl w:val="0"/>
        <w:shd w:val="clear" w:color="auto" w:fill="auto"/>
        <w:tabs>
          <w:tab w:pos="378" w:val="left"/>
        </w:tabs>
        <w:bidi w:val="0"/>
        <w:spacing w:before="0" w:after="200" w:line="331" w:lineRule="auto"/>
        <w:ind w:left="0" w:right="0" w:firstLine="0"/>
        <w:jc w:val="left"/>
      </w:pPr>
      <w:bookmarkStart w:id="353" w:name="bookmark353"/>
      <w:bookmarkStart w:id="354" w:name="bookmark354"/>
      <w:bookmarkStart w:id="355" w:name="bookmark355"/>
      <w:bookmarkStart w:id="356" w:name="bookmark356"/>
      <w:r>
        <w:rPr>
          <w:rFonts w:ascii="Times New Roman" w:eastAsia="Times New Roman" w:hAnsi="Times New Roman" w:cs="Times New Roman"/>
          <w:color w:val="000000"/>
          <w:spacing w:val="0"/>
          <w:w w:val="100"/>
          <w:position w:val="0"/>
        </w:rPr>
        <w:t>4</w:t>
      </w:r>
      <w:bookmarkEnd w:id="355"/>
      <w:r>
        <w:rPr>
          <w:color w:val="000000"/>
          <w:spacing w:val="0"/>
          <w:w w:val="100"/>
          <w:position w:val="0"/>
        </w:rPr>
        <w:t>、</w:t>
        <w:tab/>
        <w:t>董事履行职责的其他说明</w:t>
      </w:r>
      <w:bookmarkEnd w:id="353"/>
      <w:bookmarkEnd w:id="354"/>
      <w:bookmarkEnd w:id="356"/>
    </w:p>
    <w:p>
      <w:pPr>
        <w:pStyle w:val="Style31"/>
        <w:keepNext w:val="0"/>
        <w:keepLines w:val="0"/>
        <w:widowControl w:val="0"/>
        <w:shd w:val="clear" w:color="auto" w:fill="auto"/>
        <w:bidi w:val="0"/>
        <w:spacing w:before="0" w:after="200" w:line="317" w:lineRule="exact"/>
        <w:ind w:left="0" w:right="0" w:firstLine="0"/>
        <w:jc w:val="left"/>
      </w:pPr>
      <w:r>
        <w:rPr>
          <w:color w:val="000000"/>
          <w:spacing w:val="0"/>
          <w:w w:val="100"/>
          <w:position w:val="0"/>
        </w:rPr>
        <w:t>董事对公司有关建议是否被采纳</w:t>
      </w:r>
    </w:p>
    <w:p>
      <w:pPr>
        <w:pStyle w:val="Style31"/>
        <w:keepNext w:val="0"/>
        <w:keepLines w:val="0"/>
        <w:widowControl w:val="0"/>
        <w:shd w:val="clear" w:color="auto" w:fill="auto"/>
        <w:bidi w:val="0"/>
        <w:spacing w:before="0" w:after="40" w:line="331"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1"/>
        <w:keepNext w:val="0"/>
        <w:keepLines w:val="0"/>
        <w:widowControl w:val="0"/>
        <w:shd w:val="clear" w:color="auto" w:fill="auto"/>
        <w:bidi w:val="0"/>
        <w:spacing w:before="0" w:line="317" w:lineRule="exact"/>
        <w:ind w:left="0" w:right="0" w:firstLine="0"/>
        <w:jc w:val="left"/>
      </w:pPr>
      <w:r>
        <w:rPr>
          <w:color w:val="000000"/>
          <w:spacing w:val="0"/>
          <w:w w:val="100"/>
          <w:position w:val="0"/>
        </w:rPr>
        <w:t>董事对公司有关建议被采纳或未被采纳的说明</w:t>
      </w:r>
    </w:p>
    <w:p>
      <w:pPr>
        <w:pStyle w:val="Style31"/>
        <w:keepNext w:val="0"/>
        <w:keepLines w:val="0"/>
        <w:widowControl w:val="0"/>
        <w:shd w:val="clear" w:color="auto" w:fill="auto"/>
        <w:bidi w:val="0"/>
        <w:spacing w:before="0" w:after="360" w:line="317" w:lineRule="exact"/>
        <w:ind w:left="0" w:right="0" w:firstLine="440"/>
        <w:jc w:val="left"/>
      </w:pPr>
      <w:r>
        <w:rPr>
          <w:color w:val="000000"/>
          <w:spacing w:val="0"/>
          <w:w w:val="100"/>
          <w:position w:val="0"/>
        </w:rPr>
        <w:t>报告期内，公司董事严格按照《公司法》《证券法》《公司章程》《董事会议事规则》等制度，并遵照 中国证监会、深圳证券交易所、全国中小企业股份转让有限公司的相关规定及指引开展工作，积极按时出 席董事会会议、列席股东大会，对报告期内公司发生的须经董事会审批的事项进行表决，忠实、勤勉、尽 责地履行职责，有效维护上市公司和广大股东的利益。</w:t>
      </w:r>
    </w:p>
    <w:p>
      <w:pPr>
        <w:pStyle w:val="Style25"/>
        <w:keepNext/>
        <w:keepLines/>
        <w:widowControl w:val="0"/>
        <w:shd w:val="clear" w:color="auto" w:fill="auto"/>
        <w:bidi w:val="0"/>
        <w:spacing w:before="0" w:after="360" w:line="240" w:lineRule="auto"/>
        <w:ind w:left="0" w:right="0" w:firstLine="0"/>
        <w:jc w:val="left"/>
      </w:pPr>
      <w:bookmarkStart w:id="357" w:name="bookmark357"/>
      <w:bookmarkStart w:id="358" w:name="bookmark358"/>
      <w:bookmarkStart w:id="359" w:name="bookmark359"/>
      <w:bookmarkStart w:id="360" w:name="bookmark360"/>
      <w:r>
        <w:rPr>
          <w:color w:val="000000"/>
          <w:spacing w:val="0"/>
          <w:w w:val="100"/>
          <w:position w:val="0"/>
        </w:rPr>
        <w:t>九</w:t>
      </w:r>
      <w:bookmarkEnd w:id="359"/>
      <w:r>
        <w:rPr>
          <w:color w:val="000000"/>
          <w:spacing w:val="0"/>
          <w:w w:val="100"/>
          <w:position w:val="0"/>
        </w:rPr>
        <w:t>、董事会下设专门委员会在报告期内的情况</w:t>
      </w:r>
      <w:bookmarkEnd w:id="357"/>
      <w:bookmarkEnd w:id="358"/>
      <w:bookmarkEnd w:id="360"/>
    </w:p>
    <w:tbl>
      <w:tblPr>
        <w:tblOverlap w:val="never"/>
        <w:jc w:val="center"/>
        <w:tblLayout w:type="fixed"/>
      </w:tblPr>
      <w:tblGrid>
        <w:gridCol w:w="1219"/>
        <w:gridCol w:w="1210"/>
        <w:gridCol w:w="581"/>
        <w:gridCol w:w="994"/>
        <w:gridCol w:w="1560"/>
        <w:gridCol w:w="850"/>
        <w:gridCol w:w="2698"/>
        <w:gridCol w:w="60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召开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提出的重</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要意见和</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其他履行职责的情况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异议</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事项 具体 情况</w:t>
            </w:r>
          </w:p>
        </w:tc>
      </w:tr>
      <w:tr>
        <w:trPr>
          <w:trHeight w:val="164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姚明安、刘波、 陈曼秋</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年度审阅报 告</w:t>
            </w:r>
            <w:r>
              <w:rPr>
                <w:color w:val="000000"/>
                <w:spacing w:val="0"/>
                <w:w w:val="100"/>
                <w:position w:val="0"/>
                <w:sz w:val="18"/>
                <w:szCs w:val="18"/>
              </w:rPr>
              <w:t>〉</w:t>
            </w:r>
            <w:r>
              <w:rPr>
                <w:color w:val="000000"/>
                <w:spacing w:val="0"/>
                <w:w w:val="100"/>
                <w:position w:val="0"/>
              </w:rPr>
              <w:t>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根据《公司法》《公司章程》 和公司《董事会审计委员会工作细 则》有关规定，审议通过了《关于 </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年度审阅报告</w:t>
            </w:r>
            <w:r>
              <w:rPr>
                <w:color w:val="000000"/>
                <w:spacing w:val="0"/>
                <w:w w:val="100"/>
                <w:position w:val="0"/>
                <w:sz w:val="18"/>
                <w:szCs w:val="18"/>
              </w:rPr>
              <w:t>〉</w:t>
            </w:r>
            <w:r>
              <w:rPr>
                <w:color w:val="000000"/>
                <w:spacing w:val="0"/>
                <w:w w:val="100"/>
                <w:position w:val="0"/>
              </w:rPr>
              <w:t>的议 案》并提交公司董事会审议。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5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审议《关于预计</w:t>
            </w:r>
          </w:p>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年度日常性关 联交易的议案》。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根据《公司法》《公司章程》 和公司《董事会审计委员会工作细 则》有关规定，审议通过了《关于 预计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年度日常性关联交易的 议案》并提交公司董事会审议。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22"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审议《关于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年度财务审计报 告</w:t>
            </w:r>
            <w:r>
              <w:rPr>
                <w:color w:val="000000"/>
                <w:spacing w:val="0"/>
                <w:w w:val="100"/>
                <w:position w:val="0"/>
                <w:sz w:val="18"/>
                <w:szCs w:val="18"/>
              </w:rPr>
              <w:t>〉</w:t>
            </w:r>
            <w:r>
              <w:rPr>
                <w:color w:val="000000"/>
                <w:spacing w:val="0"/>
                <w:w w:val="100"/>
                <w:position w:val="0"/>
              </w:rPr>
              <w:t xml:space="preserve">的议案》《公司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年度控股股 东、实际控制人及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 xml:space="preserve">根据《公司法》《公司章程》 和公司《董事会审计委员会工作细 则》有关规定，审议通过了《公司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年度控股股东、实际控制人 及其关联方资金占用情况汇总表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19"/>
        <w:gridCol w:w="1210"/>
        <w:gridCol w:w="581"/>
        <w:gridCol w:w="994"/>
        <w:gridCol w:w="1560"/>
        <w:gridCol w:w="850"/>
        <w:gridCol w:w="2698"/>
        <w:gridCol w:w="60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召开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提出的重</w:t>
            </w:r>
          </w:p>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要意见和 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其他履行职责的情况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异议</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事项 具体 情况</w:t>
            </w:r>
          </w:p>
        </w:tc>
      </w:tr>
      <w:tr>
        <w:trPr>
          <w:trHeight w:val="984"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其关联方资金占用 情况汇总表的专项 审计报告》。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的专项审计报告》并提交公司董事 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年度一季度审 阅报告</w:t>
            </w:r>
            <w:r>
              <w:rPr>
                <w:color w:val="000000"/>
                <w:spacing w:val="0"/>
                <w:w w:val="100"/>
                <w:position w:val="0"/>
                <w:sz w:val="18"/>
                <w:szCs w:val="18"/>
              </w:rPr>
              <w:t>〉</w:t>
            </w:r>
            <w:r>
              <w:rPr>
                <w:color w:val="000000"/>
                <w:spacing w:val="0"/>
                <w:w w:val="100"/>
                <w:position w:val="0"/>
              </w:rPr>
              <w:t>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根据《公司法》《公司章程》 和公司《董事会审计委员会工作细 则》有关规定，审议通过了《关于 </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年度一季度审阅报告</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的议案》并提交公司董事会审议。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审议《关于公司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年度半年度财 务报表审阅报告的 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根据《公司法》《公司章程》 和公司《董事会审计委员会工作细 则》有关规定，审议通过了《关于 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年度半年度财务报表审 阅报告的议案》并提交公司董事会 审议。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5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审议《关于公司</w:t>
            </w:r>
          </w:p>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月 财务报表和审计情 况的议案》。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根据《公司法》《公司章程》 和公司《董事会审计委员会工作细 则》有关规定，审议通过了《关于 公司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年及 </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月财务报表和审计情况的议 案》并提交公司董事会审议。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战略委员会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林明玲、马学 沛、李业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 xml:space="preserve">审议《关于公司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年度目标与发 展规划的议案》。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根据《公司法》《公司章程》 和公司《董事会战略委员会工作细 则》有关规定，审议通过了《关于 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年度目标与发展规划的 议案》。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7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薪酬与考核委 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320" w:right="0" w:hanging="320"/>
              <w:jc w:val="left"/>
            </w:pPr>
            <w:r>
              <w:rPr>
                <w:color w:val="000000"/>
                <w:spacing w:val="0"/>
                <w:w w:val="100"/>
                <w:position w:val="0"/>
              </w:rPr>
              <w:t>李业、姚明安、 李之佳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 xml:space="preserve">审议《关于公司董 事及高级管理人员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年度薪酬待遇 的方案的议案》。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根据《公司法》《公司章程》 和公司《董事会薪酬与考核委员会 工作细则》有关规定，审议通过了 《关于公司董事及高级管理人员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年度薪酬待遇的方案的议 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361" w:name="bookmark361"/>
      <w:bookmarkStart w:id="362" w:name="bookmark362"/>
      <w:bookmarkStart w:id="363" w:name="bookmark363"/>
      <w:r>
        <w:rPr>
          <w:color w:val="000000"/>
          <w:spacing w:val="0"/>
          <w:w w:val="100"/>
          <w:position w:val="0"/>
        </w:rPr>
        <w:t>十、监事会工作情况</w:t>
      </w:r>
      <w:bookmarkEnd w:id="361"/>
      <w:bookmarkEnd w:id="362"/>
      <w:bookmarkEnd w:id="363"/>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监事会在报告期内的监督活动中发现公司是否存在风险</w:t>
      </w:r>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公司监事会就有关风险召开监事会会议情况及相关意见</w:t>
      </w:r>
      <w:r>
        <w:br w:type="page"/>
      </w:r>
    </w:p>
    <w:tbl>
      <w:tblPr>
        <w:tblOverlap w:val="never"/>
        <w:jc w:val="center"/>
        <w:tblLayout w:type="fixed"/>
      </w:tblPr>
      <w:tblGrid>
        <w:gridCol w:w="1603"/>
        <w:gridCol w:w="1594"/>
        <w:gridCol w:w="1594"/>
        <w:gridCol w:w="3010"/>
        <w:gridCol w:w="994"/>
        <w:gridCol w:w="787"/>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参会监事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会议决议披露网站的查询索引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会议决议刊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登的信息披</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有关风险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的简要意</w:t>
            </w:r>
          </w:p>
          <w:p>
            <w:pPr>
              <w:pStyle w:val="Style2"/>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见</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第二届监事会第八 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毛晓玲、黄素芳、刘 培璇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日披露于全 国中小企业股份转让系统</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fldChar w:fldCharType="begin"/>
            </w:r>
            <w:r>
              <w:rPr/>
              <w:instrText> HYPERLINK "http://www.neeq" </w:instrText>
            </w:r>
            <w:r>
              <w:fldChar w:fldCharType="separate"/>
            </w:r>
            <w:r>
              <w:rPr>
                <w:rFonts w:ascii="Times New Roman" w:eastAsia="Times New Roman" w:hAnsi="Times New Roman" w:cs="Times New Roman"/>
                <w:color w:val="000000"/>
                <w:spacing w:val="0"/>
                <w:w w:val="100"/>
                <w:position w:val="0"/>
                <w:sz w:val="18"/>
                <w:szCs w:val="18"/>
              </w:rPr>
              <w:t>www.neeq</w:t>
            </w:r>
            <w:r>
              <w:fldChar w:fldCharType="end"/>
            </w:r>
            <w:r>
              <w:rPr>
                <w:rFonts w:ascii="Times New Roman" w:eastAsia="Times New Roman" w:hAnsi="Times New Roman" w:cs="Times New Roman"/>
                <w:color w:val="000000"/>
                <w:spacing w:val="0"/>
                <w:w w:val="100"/>
                <w:position w:val="0"/>
                <w:sz w:val="18"/>
                <w:szCs w:val="18"/>
              </w:rPr>
              <w:t>. com. cn</w:t>
            </w:r>
            <w:r>
              <w:rPr>
                <w:color w:val="000000"/>
                <w:spacing w:val="0"/>
                <w:w w:val="100"/>
                <w:position w:val="0"/>
              </w:rPr>
              <w:t xml:space="preserve">)的《广东天亿马 信息产业股份有限公司第二届监事会 第八次会议决议公告》(公告编号： </w:t>
            </w:r>
            <w:r>
              <w:rPr>
                <w:rFonts w:ascii="Times New Roman" w:eastAsia="Times New Roman" w:hAnsi="Times New Roman" w:cs="Times New Roman"/>
                <w:color w:val="000000"/>
                <w:spacing w:val="0"/>
                <w:w w:val="100"/>
                <w:position w:val="0"/>
                <w:sz w:val="18"/>
                <w:szCs w:val="18"/>
              </w:rPr>
              <w:t>2021-005</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第二届监事会第九 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毛晓玲、黄素芳、刘 培璇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日披露于全 国中小企业股份转让系统</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fldChar w:fldCharType="begin"/>
            </w:r>
            <w:r>
              <w:rPr/>
              <w:instrText> HYPERLINK "http://www.neeq" </w:instrText>
            </w:r>
            <w:r>
              <w:fldChar w:fldCharType="separate"/>
            </w:r>
            <w:r>
              <w:rPr>
                <w:rFonts w:ascii="Times New Roman" w:eastAsia="Times New Roman" w:hAnsi="Times New Roman" w:cs="Times New Roman"/>
                <w:color w:val="000000"/>
                <w:spacing w:val="0"/>
                <w:w w:val="100"/>
                <w:position w:val="0"/>
                <w:sz w:val="18"/>
                <w:szCs w:val="18"/>
              </w:rPr>
              <w:t>www.neeq</w:t>
            </w:r>
            <w:r>
              <w:fldChar w:fldCharType="end"/>
            </w:r>
            <w:r>
              <w:rPr>
                <w:rFonts w:ascii="Times New Roman" w:eastAsia="Times New Roman" w:hAnsi="Times New Roman" w:cs="Times New Roman"/>
                <w:color w:val="000000"/>
                <w:spacing w:val="0"/>
                <w:w w:val="100"/>
                <w:position w:val="0"/>
                <w:sz w:val="18"/>
                <w:szCs w:val="18"/>
              </w:rPr>
              <w:t>. com. cn</w:t>
            </w:r>
            <w:r>
              <w:rPr>
                <w:color w:val="000000"/>
                <w:spacing w:val="0"/>
                <w:w w:val="100"/>
                <w:position w:val="0"/>
              </w:rPr>
              <w:t xml:space="preserve">)的《广东天亿马 信息产业股份有限公司第二届监事会 第九次会议决议公告》(公告编号： </w:t>
            </w:r>
            <w:r>
              <w:rPr>
                <w:rFonts w:ascii="Times New Roman" w:eastAsia="Times New Roman" w:hAnsi="Times New Roman" w:cs="Times New Roman"/>
                <w:color w:val="000000"/>
                <w:spacing w:val="0"/>
                <w:w w:val="100"/>
                <w:position w:val="0"/>
                <w:sz w:val="18"/>
                <w:szCs w:val="18"/>
              </w:rPr>
              <w:t>2021-009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第二届监事会第十 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毛晓玲、黄素芳、刘 培璇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日披露于全 国中小企业股份转让系统</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fldChar w:fldCharType="begin"/>
            </w:r>
            <w:r>
              <w:rPr/>
              <w:instrText> HYPERLINK "http://www.neeq" </w:instrText>
            </w:r>
            <w:r>
              <w:fldChar w:fldCharType="separate"/>
            </w:r>
            <w:r>
              <w:rPr>
                <w:rFonts w:ascii="Times New Roman" w:eastAsia="Times New Roman" w:hAnsi="Times New Roman" w:cs="Times New Roman"/>
                <w:color w:val="000000"/>
                <w:spacing w:val="0"/>
                <w:w w:val="100"/>
                <w:position w:val="0"/>
                <w:sz w:val="18"/>
                <w:szCs w:val="18"/>
              </w:rPr>
              <w:t>www.neeq</w:t>
            </w:r>
            <w:r>
              <w:fldChar w:fldCharType="end"/>
            </w:r>
            <w:r>
              <w:rPr>
                <w:rFonts w:ascii="Times New Roman" w:eastAsia="Times New Roman" w:hAnsi="Times New Roman" w:cs="Times New Roman"/>
                <w:color w:val="000000"/>
                <w:spacing w:val="0"/>
                <w:w w:val="100"/>
                <w:position w:val="0"/>
                <w:sz w:val="18"/>
                <w:szCs w:val="18"/>
              </w:rPr>
              <w:t>. com. cn</w:t>
            </w:r>
            <w:r>
              <w:rPr>
                <w:color w:val="000000"/>
                <w:spacing w:val="0"/>
                <w:w w:val="100"/>
                <w:position w:val="0"/>
              </w:rPr>
              <w:t xml:space="preserve">)的《广东天亿马 信息产业股份有限公司第二届监事会 第十次会议决议公告》(公告编号： </w:t>
            </w:r>
            <w:r>
              <w:rPr>
                <w:rFonts w:ascii="Times New Roman" w:eastAsia="Times New Roman" w:hAnsi="Times New Roman" w:cs="Times New Roman"/>
                <w:color w:val="000000"/>
                <w:spacing w:val="0"/>
                <w:w w:val="100"/>
                <w:position w:val="0"/>
                <w:sz w:val="18"/>
                <w:szCs w:val="18"/>
              </w:rPr>
              <w:t>2021-021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第二届监事会第十 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毛晓玲、黄素芳、刘 培璇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日披露于全 国中小企业股份转让系统</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fldChar w:fldCharType="begin"/>
            </w:r>
            <w:r>
              <w:rPr/>
              <w:instrText> HYPERLINK "http://www.neeq" </w:instrText>
            </w:r>
            <w:r>
              <w:fldChar w:fldCharType="separate"/>
            </w:r>
            <w:r>
              <w:rPr>
                <w:rFonts w:ascii="Times New Roman" w:eastAsia="Times New Roman" w:hAnsi="Times New Roman" w:cs="Times New Roman"/>
                <w:color w:val="000000"/>
                <w:spacing w:val="0"/>
                <w:w w:val="100"/>
                <w:position w:val="0"/>
                <w:sz w:val="18"/>
                <w:szCs w:val="18"/>
              </w:rPr>
              <w:t>www.neeq</w:t>
            </w:r>
            <w:r>
              <w:fldChar w:fldCharType="end"/>
            </w:r>
            <w:r>
              <w:rPr>
                <w:rFonts w:ascii="Times New Roman" w:eastAsia="Times New Roman" w:hAnsi="Times New Roman" w:cs="Times New Roman"/>
                <w:color w:val="000000"/>
                <w:spacing w:val="0"/>
                <w:w w:val="100"/>
                <w:position w:val="0"/>
                <w:sz w:val="18"/>
                <w:szCs w:val="18"/>
              </w:rPr>
              <w:t>. com. cn</w:t>
            </w:r>
            <w:r>
              <w:rPr>
                <w:color w:val="000000"/>
                <w:spacing w:val="0"/>
                <w:w w:val="100"/>
                <w:position w:val="0"/>
              </w:rPr>
              <w:t xml:space="preserve">)的《广东天亿马 信息产业股份有限公司第二届监事会 第十一次会议决议公告》(公告编号： </w:t>
            </w:r>
            <w:r>
              <w:rPr>
                <w:rFonts w:ascii="Times New Roman" w:eastAsia="Times New Roman" w:hAnsi="Times New Roman" w:cs="Times New Roman"/>
                <w:color w:val="000000"/>
                <w:spacing w:val="0"/>
                <w:w w:val="100"/>
                <w:position w:val="0"/>
                <w:sz w:val="18"/>
                <w:szCs w:val="18"/>
              </w:rPr>
              <w:t>2021-036</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第二届监事会第十 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毛晓玲、黄素芳、刘 培璇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日披露于全 国中小企业股份转让系统</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fldChar w:fldCharType="begin"/>
            </w:r>
            <w:r>
              <w:rPr/>
              <w:instrText> HYPERLINK "http://www.neeq" </w:instrText>
            </w:r>
            <w:r>
              <w:fldChar w:fldCharType="separate"/>
            </w:r>
            <w:r>
              <w:rPr>
                <w:rFonts w:ascii="Times New Roman" w:eastAsia="Times New Roman" w:hAnsi="Times New Roman" w:cs="Times New Roman"/>
                <w:color w:val="000000"/>
                <w:spacing w:val="0"/>
                <w:w w:val="100"/>
                <w:position w:val="0"/>
                <w:sz w:val="18"/>
                <w:szCs w:val="18"/>
              </w:rPr>
              <w:t>www.neeq</w:t>
            </w:r>
            <w:r>
              <w:fldChar w:fldCharType="end"/>
            </w:r>
            <w:r>
              <w:rPr>
                <w:rFonts w:ascii="Times New Roman" w:eastAsia="Times New Roman" w:hAnsi="Times New Roman" w:cs="Times New Roman"/>
                <w:color w:val="000000"/>
                <w:spacing w:val="0"/>
                <w:w w:val="100"/>
                <w:position w:val="0"/>
                <w:sz w:val="18"/>
                <w:szCs w:val="18"/>
              </w:rPr>
              <w:t>. com. cn</w:t>
            </w:r>
            <w:r>
              <w:rPr>
                <w:color w:val="000000"/>
                <w:spacing w:val="0"/>
                <w:w w:val="100"/>
                <w:position w:val="0"/>
              </w:rPr>
              <w:t xml:space="preserve">)的《广东天亿马 信息产业股份有限公司第二届监事会 第十二次会议决议公告》(公告编号： </w:t>
            </w:r>
            <w:r>
              <w:rPr>
                <w:rFonts w:ascii="Times New Roman" w:eastAsia="Times New Roman" w:hAnsi="Times New Roman" w:cs="Times New Roman"/>
                <w:color w:val="000000"/>
                <w:spacing w:val="0"/>
                <w:w w:val="100"/>
                <w:position w:val="0"/>
                <w:sz w:val="18"/>
                <w:szCs w:val="18"/>
              </w:rPr>
              <w:t>2021-046</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第二届监事会第十 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毛晓玲、黄素芳、刘 培璇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日披露于全国 中小企业股份转让系统</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fldChar w:fldCharType="begin"/>
            </w:r>
            <w:r>
              <w:rPr/>
              <w:instrText> HYPERLINK "http://www.neeq" </w:instrText>
            </w:r>
            <w:r>
              <w:fldChar w:fldCharType="separate"/>
            </w:r>
            <w:r>
              <w:rPr>
                <w:rFonts w:ascii="Times New Roman" w:eastAsia="Times New Roman" w:hAnsi="Times New Roman" w:cs="Times New Roman"/>
                <w:color w:val="000000"/>
                <w:spacing w:val="0"/>
                <w:w w:val="100"/>
                <w:position w:val="0"/>
                <w:sz w:val="18"/>
                <w:szCs w:val="18"/>
              </w:rPr>
              <w:t>www.neeq</w:t>
            </w:r>
            <w:r>
              <w:fldChar w:fldCharType="end"/>
            </w:r>
            <w:r>
              <w:rPr>
                <w:rFonts w:ascii="Times New Roman" w:eastAsia="Times New Roman" w:hAnsi="Times New Roman" w:cs="Times New Roman"/>
                <w:color w:val="000000"/>
                <w:spacing w:val="0"/>
                <w:w w:val="100"/>
                <w:position w:val="0"/>
                <w:sz w:val="18"/>
                <w:szCs w:val="18"/>
              </w:rPr>
              <w:t>. com. cn</w:t>
            </w:r>
            <w:r>
              <w:rPr>
                <w:color w:val="000000"/>
                <w:spacing w:val="0"/>
                <w:w w:val="100"/>
                <w:position w:val="0"/>
              </w:rPr>
              <w:t xml:space="preserve">)的《广东天亿马 信息产业股份有限公司第二届监事会 第十三次会议决议公告》(公告编号： </w:t>
            </w:r>
            <w:r>
              <w:rPr>
                <w:rFonts w:ascii="Times New Roman" w:eastAsia="Times New Roman" w:hAnsi="Times New Roman" w:cs="Times New Roman"/>
                <w:color w:val="000000"/>
                <w:spacing w:val="0"/>
                <w:w w:val="100"/>
                <w:position w:val="0"/>
                <w:sz w:val="18"/>
                <w:szCs w:val="18"/>
              </w:rPr>
              <w:t>2021-049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第二届监事会第十 四次会议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毛晓玲、黄素芳、刘 培璇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日披露于巨 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)的《广 东天亿马信息产业股份有限公司第二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603"/>
        <w:gridCol w:w="1594"/>
        <w:gridCol w:w="1589"/>
        <w:gridCol w:w="3014"/>
        <w:gridCol w:w="994"/>
        <w:gridCol w:w="787"/>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参会监事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会议决议披露网站的查询索引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会议决议刊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登的信息披</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有关风险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的简要意</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见</w:t>
            </w:r>
          </w:p>
        </w:tc>
      </w:tr>
      <w:tr>
        <w:trPr>
          <w:trHeight w:val="68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届监事会第十四次会议决议公告》（公 告编号：</w:t>
            </w:r>
            <w:r>
              <w:rPr>
                <w:rFonts w:ascii="Times New Roman" w:eastAsia="Times New Roman" w:hAnsi="Times New Roman" w:cs="Times New Roman"/>
                <w:color w:val="000000"/>
                <w:spacing w:val="0"/>
                <w:w w:val="100"/>
                <w:position w:val="0"/>
                <w:sz w:val="18"/>
                <w:szCs w:val="18"/>
              </w:rPr>
              <w:t>2021-002</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5"/>
        <w:keepNext/>
        <w:keepLines/>
        <w:widowControl w:val="0"/>
        <w:shd w:val="clear" w:color="auto" w:fill="auto"/>
        <w:bidi w:val="0"/>
        <w:spacing w:before="0" w:after="380" w:line="240" w:lineRule="auto"/>
        <w:ind w:left="0" w:right="0" w:firstLine="0"/>
        <w:jc w:val="left"/>
      </w:pPr>
      <w:bookmarkStart w:id="364" w:name="bookmark364"/>
      <w:bookmarkStart w:id="365" w:name="bookmark365"/>
      <w:bookmarkStart w:id="366" w:name="bookmark366"/>
      <w:r>
        <w:rPr>
          <w:color w:val="000000"/>
          <w:spacing w:val="0"/>
          <w:w w:val="100"/>
          <w:position w:val="0"/>
        </w:rPr>
        <w:t>十一、公司员工情况</w:t>
      </w:r>
      <w:bookmarkEnd w:id="364"/>
      <w:bookmarkEnd w:id="365"/>
      <w:bookmarkEnd w:id="366"/>
    </w:p>
    <w:p>
      <w:pPr>
        <w:pStyle w:val="Style28"/>
        <w:keepNext/>
        <w:keepLines/>
        <w:widowControl w:val="0"/>
        <w:shd w:val="clear" w:color="auto" w:fill="auto"/>
        <w:bidi w:val="0"/>
        <w:spacing w:before="0" w:after="300" w:line="240" w:lineRule="auto"/>
        <w:ind w:left="0" w:right="0" w:firstLine="0"/>
        <w:jc w:val="left"/>
      </w:pPr>
      <w:bookmarkStart w:id="367" w:name="bookmark367"/>
      <w:bookmarkStart w:id="368" w:name="bookmark368"/>
      <w:bookmarkStart w:id="369" w:name="bookmark369"/>
      <w:bookmarkStart w:id="370" w:name="bookmark370"/>
      <w:r>
        <w:rPr>
          <w:rFonts w:ascii="Times New Roman" w:eastAsia="Times New Roman" w:hAnsi="Times New Roman" w:cs="Times New Roman"/>
          <w:color w:val="000000"/>
          <w:spacing w:val="0"/>
          <w:w w:val="100"/>
          <w:position w:val="0"/>
        </w:rPr>
        <w:t>1</w:t>
      </w:r>
      <w:bookmarkEnd w:id="369"/>
      <w:r>
        <w:rPr>
          <w:color w:val="000000"/>
          <w:spacing w:val="0"/>
          <w:w w:val="100"/>
          <w:position w:val="0"/>
        </w:rPr>
        <w:t>、员工数量、专业构成及教育程度</w:t>
      </w:r>
      <w:bookmarkEnd w:id="367"/>
      <w:bookmarkEnd w:id="368"/>
      <w:bookmarkEnd w:id="370"/>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287</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4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8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287</w:t>
            </w:r>
          </w:p>
        </w:tc>
      </w:tr>
    </w:tbl>
    <w:p>
      <w:pPr>
        <w:widowControl w:val="0"/>
        <w:spacing w:after="299" w:line="1" w:lineRule="exact"/>
      </w:pPr>
    </w:p>
    <w:p>
      <w:pPr>
        <w:pStyle w:val="Style28"/>
        <w:keepNext/>
        <w:keepLines/>
        <w:widowControl w:val="0"/>
        <w:shd w:val="clear" w:color="auto" w:fill="auto"/>
        <w:bidi w:val="0"/>
        <w:spacing w:before="0" w:after="300" w:line="317" w:lineRule="exact"/>
        <w:ind w:left="0" w:right="0" w:firstLine="0"/>
        <w:jc w:val="left"/>
      </w:pPr>
      <w:bookmarkStart w:id="371" w:name="bookmark371"/>
      <w:bookmarkStart w:id="372" w:name="bookmark372"/>
      <w:bookmarkStart w:id="373" w:name="bookmark373"/>
      <w:bookmarkStart w:id="374" w:name="bookmark374"/>
      <w:r>
        <w:rPr>
          <w:rFonts w:ascii="Times New Roman" w:eastAsia="Times New Roman" w:hAnsi="Times New Roman" w:cs="Times New Roman"/>
          <w:color w:val="000000"/>
          <w:spacing w:val="0"/>
          <w:w w:val="100"/>
          <w:position w:val="0"/>
        </w:rPr>
        <w:t>2</w:t>
      </w:r>
      <w:bookmarkEnd w:id="373"/>
      <w:r>
        <w:rPr>
          <w:color w:val="000000"/>
          <w:spacing w:val="0"/>
          <w:w w:val="100"/>
          <w:position w:val="0"/>
        </w:rPr>
        <w:t>、薪酬政策</w:t>
      </w:r>
      <w:bookmarkEnd w:id="371"/>
      <w:bookmarkEnd w:id="372"/>
      <w:bookmarkEnd w:id="374"/>
    </w:p>
    <w:p>
      <w:pPr>
        <w:pStyle w:val="Style31"/>
        <w:keepNext w:val="0"/>
        <w:keepLines w:val="0"/>
        <w:widowControl w:val="0"/>
        <w:shd w:val="clear" w:color="auto" w:fill="auto"/>
        <w:bidi w:val="0"/>
        <w:spacing w:before="0" w:after="120" w:line="317" w:lineRule="exact"/>
        <w:ind w:left="0" w:right="0" w:firstLine="440"/>
        <w:jc w:val="left"/>
      </w:pPr>
      <w:bookmarkStart w:id="375" w:name="bookmark375"/>
      <w:r>
        <w:rPr>
          <w:color w:val="000000"/>
          <w:spacing w:val="0"/>
          <w:w w:val="100"/>
          <w:position w:val="0"/>
        </w:rPr>
        <w:t>（</w:t>
      </w:r>
      <w:bookmarkEnd w:id="375"/>
      <w:r>
        <w:rPr>
          <w:rFonts w:ascii="Times New Roman" w:eastAsia="Times New Roman" w:hAnsi="Times New Roman" w:cs="Times New Roman"/>
          <w:color w:val="000000"/>
          <w:spacing w:val="0"/>
          <w:w w:val="100"/>
          <w:position w:val="0"/>
        </w:rPr>
        <w:t>1</w:t>
      </w:r>
      <w:r>
        <w:rPr>
          <w:color w:val="000000"/>
          <w:spacing w:val="0"/>
          <w:w w:val="100"/>
          <w:position w:val="0"/>
        </w:rPr>
        <w:t>）公司的薪酬政策</w:t>
      </w:r>
    </w:p>
    <w:p>
      <w:pPr>
        <w:pStyle w:val="Style31"/>
        <w:keepNext w:val="0"/>
        <w:keepLines w:val="0"/>
        <w:widowControl w:val="0"/>
        <w:shd w:val="clear" w:color="auto" w:fill="auto"/>
        <w:bidi w:val="0"/>
        <w:spacing w:before="0" w:line="317" w:lineRule="exact"/>
        <w:ind w:left="0" w:right="0" w:firstLine="440"/>
        <w:jc w:val="left"/>
      </w:pPr>
      <w:r>
        <w:rPr>
          <w:color w:val="000000"/>
          <w:spacing w:val="0"/>
          <w:w w:val="100"/>
          <w:position w:val="0"/>
        </w:rPr>
        <w:t>公司基于</w:t>
      </w:r>
      <w:r>
        <w:rPr>
          <w:rFonts w:ascii="Times New Roman" w:eastAsia="Times New Roman" w:hAnsi="Times New Roman" w:cs="Times New Roman"/>
          <w:color w:val="000000"/>
          <w:spacing w:val="0"/>
          <w:w w:val="100"/>
          <w:position w:val="0"/>
        </w:rPr>
        <w:t>IT</w:t>
      </w:r>
      <w:r>
        <w:rPr>
          <w:color w:val="000000"/>
          <w:spacing w:val="0"/>
          <w:w w:val="100"/>
          <w:position w:val="0"/>
        </w:rPr>
        <w:t xml:space="preserve">行业人力资源管理的特点和难点，建立了系统的人力资源管理体系以保障员工的合法权 益。为了吸引、激励和保留优秀人才，帮助公司达成战略目标，公司在兼顾市场竞争力和内部公平性的基 </w:t>
      </w:r>
      <w:r>
        <w:rPr>
          <w:color w:val="000000"/>
          <w:spacing w:val="0"/>
          <w:w w:val="100"/>
          <w:position w:val="0"/>
        </w:rPr>
        <w:t>础上，为员工提供全面、富有竞争力的报酬。</w:t>
      </w:r>
    </w:p>
    <w:p>
      <w:pPr>
        <w:pStyle w:val="Style31"/>
        <w:keepNext w:val="0"/>
        <w:keepLines w:val="0"/>
        <w:widowControl w:val="0"/>
        <w:shd w:val="clear" w:color="auto" w:fill="auto"/>
        <w:bidi w:val="0"/>
        <w:spacing w:before="0" w:line="312" w:lineRule="exact"/>
        <w:ind w:left="0" w:right="0" w:firstLine="440"/>
        <w:jc w:val="left"/>
      </w:pPr>
      <w:r>
        <w:rPr>
          <w:color w:val="000000"/>
          <w:spacing w:val="0"/>
          <w:w w:val="100"/>
          <w:position w:val="0"/>
        </w:rPr>
        <w:t>公司对经理级及以上级别员工采用年薪制，普通员工实行</w:t>
      </w:r>
      <w:r>
        <w:rPr>
          <w:rFonts w:ascii="Times New Roman" w:eastAsia="Times New Roman" w:hAnsi="Times New Roman" w:cs="Times New Roman"/>
          <w:color w:val="000000"/>
          <w:spacing w:val="0"/>
          <w:w w:val="100"/>
          <w:position w:val="0"/>
        </w:rPr>
        <w:t>“</w:t>
      </w:r>
      <w:r>
        <w:rPr>
          <w:color w:val="000000"/>
          <w:spacing w:val="0"/>
          <w:w w:val="100"/>
          <w:position w:val="0"/>
        </w:rPr>
        <w:t>基本工资</w:t>
      </w:r>
      <w:r>
        <w:rPr>
          <w:rFonts w:ascii="Times New Roman" w:eastAsia="Times New Roman" w:hAnsi="Times New Roman" w:cs="Times New Roman"/>
          <w:color w:val="000000"/>
          <w:spacing w:val="0"/>
          <w:w w:val="100"/>
          <w:position w:val="0"/>
        </w:rPr>
        <w:t>+</w:t>
      </w:r>
      <w:r>
        <w:rPr>
          <w:color w:val="000000"/>
          <w:spacing w:val="0"/>
          <w:w w:val="100"/>
          <w:position w:val="0"/>
        </w:rPr>
        <w:t>浮动工资</w:t>
      </w:r>
      <w:r>
        <w:rPr>
          <w:rFonts w:ascii="Times New Roman" w:eastAsia="Times New Roman" w:hAnsi="Times New Roman" w:cs="Times New Roman"/>
          <w:color w:val="000000"/>
          <w:spacing w:val="0"/>
          <w:w w:val="100"/>
          <w:position w:val="0"/>
        </w:rPr>
        <w:t>+</w:t>
      </w:r>
      <w:r>
        <w:rPr>
          <w:color w:val="000000"/>
          <w:spacing w:val="0"/>
          <w:w w:val="100"/>
          <w:position w:val="0"/>
        </w:rPr>
        <w:t>绩效奖金年终资金</w:t>
      </w:r>
      <w:r>
        <w:rPr>
          <w:rFonts w:ascii="Times New Roman" w:eastAsia="Times New Roman" w:hAnsi="Times New Roman" w:cs="Times New Roman"/>
          <w:color w:val="000000"/>
          <w:spacing w:val="0"/>
          <w:w w:val="100"/>
          <w:position w:val="0"/>
        </w:rPr>
        <w:t>''</w:t>
      </w:r>
      <w:r>
        <w:rPr>
          <w:color w:val="000000"/>
          <w:spacing w:val="0"/>
          <w:w w:val="100"/>
          <w:position w:val="0"/>
        </w:rPr>
        <w:t>组 成的薪酬结构。公司已制定并实施明确的薪酬增长机制和考核奖励制度，有效激发员工的主动性和创造性， 增强企业的凝聚力和战斗力。</w:t>
      </w:r>
    </w:p>
    <w:p>
      <w:pPr>
        <w:pStyle w:val="Style31"/>
        <w:keepNext w:val="0"/>
        <w:keepLines w:val="0"/>
        <w:widowControl w:val="0"/>
        <w:shd w:val="clear" w:color="auto" w:fill="auto"/>
        <w:bidi w:val="0"/>
        <w:spacing w:before="0" w:line="313" w:lineRule="exact"/>
        <w:ind w:left="0" w:right="0" w:firstLine="440"/>
        <w:jc w:val="both"/>
      </w:pPr>
      <w:bookmarkStart w:id="376" w:name="bookmark376"/>
      <w:r>
        <w:rPr>
          <w:color w:val="000000"/>
          <w:spacing w:val="0"/>
          <w:w w:val="100"/>
          <w:position w:val="0"/>
        </w:rPr>
        <w:t>（</w:t>
      </w:r>
      <w:bookmarkEnd w:id="376"/>
      <w:r>
        <w:rPr>
          <w:rFonts w:ascii="Times New Roman" w:eastAsia="Times New Roman" w:hAnsi="Times New Roman" w:cs="Times New Roman"/>
          <w:color w:val="000000"/>
          <w:spacing w:val="0"/>
          <w:w w:val="100"/>
          <w:position w:val="0"/>
        </w:rPr>
        <w:t>2</w:t>
      </w:r>
      <w:r>
        <w:rPr>
          <w:color w:val="000000"/>
          <w:spacing w:val="0"/>
          <w:w w:val="100"/>
          <w:position w:val="0"/>
        </w:rPr>
        <w:t>）公司职工薪酬情况</w:t>
      </w:r>
    </w:p>
    <w:p>
      <w:pPr>
        <w:pStyle w:val="Style31"/>
        <w:keepNext w:val="0"/>
        <w:keepLines w:val="0"/>
        <w:widowControl w:val="0"/>
        <w:shd w:val="clear" w:color="auto" w:fill="auto"/>
        <w:bidi w:val="0"/>
        <w:spacing w:before="0" w:line="317" w:lineRule="exact"/>
        <w:ind w:left="0" w:right="0" w:firstLine="44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号——行业信息披露》中的“软件与信息技 术服务业”的披露要求。</w:t>
      </w:r>
    </w:p>
    <w:p>
      <w:pPr>
        <w:pStyle w:val="Style31"/>
        <w:keepNext w:val="0"/>
        <w:keepLines w:val="0"/>
        <w:widowControl w:val="0"/>
        <w:shd w:val="clear" w:color="auto" w:fill="auto"/>
        <w:bidi w:val="0"/>
        <w:spacing w:before="0" w:line="313" w:lineRule="exact"/>
        <w:ind w:left="0" w:right="0" w:firstLine="440"/>
        <w:jc w:val="both"/>
      </w:pPr>
      <w:r>
        <w:rPr>
          <w:color w:val="000000"/>
          <w:spacing w:val="0"/>
          <w:w w:val="100"/>
          <w:position w:val="0"/>
        </w:rPr>
        <w:t>公司职工薪酬总额（计入成本部分）</w:t>
      </w:r>
      <w:r>
        <w:rPr>
          <w:rFonts w:ascii="Times New Roman" w:eastAsia="Times New Roman" w:hAnsi="Times New Roman" w:cs="Times New Roman"/>
          <w:color w:val="000000"/>
          <w:spacing w:val="0"/>
          <w:w w:val="100"/>
          <w:position w:val="0"/>
        </w:rPr>
        <w:t>10,518,822.95</w:t>
      </w:r>
      <w:r>
        <w:rPr>
          <w:color w:val="000000"/>
          <w:spacing w:val="0"/>
          <w:w w:val="100"/>
          <w:position w:val="0"/>
        </w:rPr>
        <w:t>元，占公司营业成本的</w:t>
      </w:r>
      <w:r>
        <w:rPr>
          <w:rFonts w:ascii="Times New Roman" w:eastAsia="Times New Roman" w:hAnsi="Times New Roman" w:cs="Times New Roman"/>
          <w:color w:val="000000"/>
          <w:spacing w:val="0"/>
          <w:w w:val="100"/>
          <w:position w:val="0"/>
        </w:rPr>
        <w:t>3.01%</w:t>
      </w:r>
      <w:r>
        <w:rPr>
          <w:color w:val="000000"/>
          <w:spacing w:val="0"/>
          <w:w w:val="100"/>
          <w:position w:val="0"/>
        </w:rPr>
        <w:t>。</w:t>
      </w:r>
    </w:p>
    <w:p>
      <w:pPr>
        <w:pStyle w:val="Style31"/>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日，公司核心技术人员为</w:t>
      </w:r>
      <w:r>
        <w:rPr>
          <w:rFonts w:ascii="Times New Roman" w:eastAsia="Times New Roman" w:hAnsi="Times New Roman" w:cs="Times New Roman"/>
          <w:color w:val="000000"/>
          <w:spacing w:val="0"/>
          <w:w w:val="100"/>
          <w:position w:val="0"/>
        </w:rPr>
        <w:t>4</w:t>
      </w:r>
      <w:r>
        <w:rPr>
          <w:color w:val="000000"/>
          <w:spacing w:val="0"/>
          <w:w w:val="100"/>
          <w:position w:val="0"/>
        </w:rPr>
        <w:t>人，占全体员工人数的</w:t>
      </w:r>
      <w:r>
        <w:rPr>
          <w:rFonts w:ascii="Times New Roman" w:eastAsia="Times New Roman" w:hAnsi="Times New Roman" w:cs="Times New Roman"/>
          <w:color w:val="000000"/>
          <w:spacing w:val="0"/>
          <w:w w:val="100"/>
          <w:position w:val="0"/>
        </w:rPr>
        <w:t>1.39%</w:t>
      </w:r>
      <w:r>
        <w:rPr>
          <w:color w:val="000000"/>
          <w:spacing w:val="0"/>
          <w:w w:val="100"/>
          <w:position w:val="0"/>
        </w:rPr>
        <w:t xml:space="preserve">，上年同期核心技术人员为 </w:t>
      </w:r>
      <w:r>
        <w:rPr>
          <w:rFonts w:ascii="Times New Roman" w:eastAsia="Times New Roman" w:hAnsi="Times New Roman" w:cs="Times New Roman"/>
          <w:color w:val="000000"/>
          <w:spacing w:val="0"/>
          <w:w w:val="100"/>
          <w:position w:val="0"/>
        </w:rPr>
        <w:t>4</w:t>
      </w:r>
      <w:r>
        <w:rPr>
          <w:color w:val="000000"/>
          <w:spacing w:val="0"/>
          <w:w w:val="100"/>
          <w:position w:val="0"/>
        </w:rPr>
        <w:t>人，占全体员工人数的</w:t>
      </w:r>
      <w:r>
        <w:rPr>
          <w:rFonts w:ascii="Times New Roman" w:eastAsia="Times New Roman" w:hAnsi="Times New Roman" w:cs="Times New Roman"/>
          <w:color w:val="000000"/>
          <w:spacing w:val="0"/>
          <w:w w:val="100"/>
          <w:position w:val="0"/>
        </w:rPr>
        <w:t xml:space="preserve">1.48% </w:t>
      </w:r>
      <w:r>
        <w:rPr>
          <w:color w:val="000000"/>
          <w:spacing w:val="0"/>
          <w:w w:val="100"/>
          <w:position w:val="0"/>
        </w:rPr>
        <w:t>；截至报告期末，核心技术人员薪酬占全体员工薪酬的</w:t>
      </w:r>
      <w:r>
        <w:rPr>
          <w:rFonts w:ascii="Times New Roman" w:eastAsia="Times New Roman" w:hAnsi="Times New Roman" w:cs="Times New Roman"/>
          <w:color w:val="000000"/>
          <w:spacing w:val="0"/>
          <w:w w:val="100"/>
          <w:position w:val="0"/>
        </w:rPr>
        <w:t>10.69%</w:t>
      </w:r>
      <w:r>
        <w:rPr>
          <w:color w:val="000000"/>
          <w:spacing w:val="0"/>
          <w:w w:val="100"/>
          <w:position w:val="0"/>
        </w:rPr>
        <w:t>。</w:t>
      </w:r>
    </w:p>
    <w:p>
      <w:pPr>
        <w:pStyle w:val="Style28"/>
        <w:keepNext/>
        <w:keepLines/>
        <w:widowControl w:val="0"/>
        <w:shd w:val="clear" w:color="auto" w:fill="auto"/>
        <w:tabs>
          <w:tab w:pos="378" w:val="left"/>
        </w:tabs>
        <w:bidi w:val="0"/>
        <w:spacing w:before="0" w:after="220" w:line="326" w:lineRule="auto"/>
        <w:ind w:left="0" w:right="0" w:firstLine="0"/>
        <w:jc w:val="both"/>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3</w:t>
      </w:r>
      <w:bookmarkEnd w:id="379"/>
      <w:r>
        <w:rPr>
          <w:color w:val="000000"/>
          <w:spacing w:val="0"/>
          <w:w w:val="100"/>
          <w:position w:val="0"/>
        </w:rPr>
        <w:t>、</w:t>
        <w:tab/>
        <w:t>培训计划</w:t>
      </w:r>
      <w:bookmarkEnd w:id="377"/>
      <w:bookmarkEnd w:id="378"/>
      <w:bookmarkEnd w:id="380"/>
    </w:p>
    <w:p>
      <w:pPr>
        <w:pStyle w:val="Style31"/>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为确保员工安全高效开展工作，在思想理念价值观与企业保持一致，并与社会、企业发展同步，公司 每年初制定年度培训计划，长期有序推进企业职业技能培训工作和管理干部管理能力提升培训、营销培训、 保密培训等，通过线上、线下教学，电子、纸质资料相结合等多种形式进行员工培训。培训内容涵盖行业 信息、政策导向、企业文化、制度流程、员工素质、技能技术等多方面，培训效果显著，团队战斗力、凝 聚力，员工素养，业务技能，服务意识等均有较大提升。</w:t>
      </w:r>
    </w:p>
    <w:p>
      <w:pPr>
        <w:pStyle w:val="Style28"/>
        <w:keepNext/>
        <w:keepLines/>
        <w:widowControl w:val="0"/>
        <w:shd w:val="clear" w:color="auto" w:fill="auto"/>
        <w:tabs>
          <w:tab w:pos="378" w:val="left"/>
        </w:tabs>
        <w:bidi w:val="0"/>
        <w:spacing w:before="0" w:after="300" w:line="326" w:lineRule="auto"/>
        <w:ind w:left="0" w:right="0" w:firstLine="0"/>
        <w:jc w:val="left"/>
      </w:pPr>
      <w:bookmarkStart w:id="381" w:name="bookmark381"/>
      <w:bookmarkStart w:id="382" w:name="bookmark382"/>
      <w:bookmarkStart w:id="383" w:name="bookmark383"/>
      <w:bookmarkStart w:id="384" w:name="bookmark384"/>
      <w:r>
        <w:rPr>
          <w:rFonts w:ascii="Times New Roman" w:eastAsia="Times New Roman" w:hAnsi="Times New Roman" w:cs="Times New Roman"/>
          <w:color w:val="000000"/>
          <w:spacing w:val="0"/>
          <w:w w:val="100"/>
          <w:position w:val="0"/>
        </w:rPr>
        <w:t>4</w:t>
      </w:r>
      <w:bookmarkEnd w:id="383"/>
      <w:r>
        <w:rPr>
          <w:color w:val="000000"/>
          <w:spacing w:val="0"/>
          <w:w w:val="100"/>
          <w:position w:val="0"/>
        </w:rPr>
        <w:t>、</w:t>
        <w:tab/>
        <w:t>劳务外包情况</w:t>
      </w:r>
      <w:bookmarkEnd w:id="381"/>
      <w:bookmarkEnd w:id="382"/>
      <w:bookmarkEnd w:id="384"/>
    </w:p>
    <w:p>
      <w:pPr>
        <w:pStyle w:val="Style31"/>
        <w:keepNext w:val="0"/>
        <w:keepLines w:val="0"/>
        <w:widowControl w:val="0"/>
        <w:shd w:val="clear" w:color="auto" w:fill="auto"/>
        <w:bidi w:val="0"/>
        <w:spacing w:before="0" w:after="220" w:line="32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bidi w:val="0"/>
        <w:spacing w:before="0" w:after="300" w:line="240" w:lineRule="auto"/>
        <w:ind w:left="0" w:right="0" w:firstLine="0"/>
        <w:jc w:val="left"/>
      </w:pPr>
      <w:bookmarkStart w:id="385" w:name="bookmark385"/>
      <w:bookmarkStart w:id="386" w:name="bookmark386"/>
      <w:bookmarkStart w:id="387" w:name="bookmark387"/>
      <w:r>
        <w:rPr>
          <w:color w:val="000000"/>
          <w:spacing w:val="0"/>
          <w:w w:val="100"/>
          <w:position w:val="0"/>
        </w:rPr>
        <w:t>十二、公司利润分配及资本公积金转增股本情况</w:t>
      </w:r>
      <w:bookmarkEnd w:id="385"/>
      <w:bookmarkEnd w:id="386"/>
      <w:bookmarkEnd w:id="387"/>
    </w:p>
    <w:p>
      <w:pPr>
        <w:pStyle w:val="Style31"/>
        <w:keepNext w:val="0"/>
        <w:keepLines w:val="0"/>
        <w:widowControl w:val="0"/>
        <w:shd w:val="clear" w:color="auto" w:fill="auto"/>
        <w:bidi w:val="0"/>
        <w:spacing w:before="0" w:line="313" w:lineRule="exact"/>
        <w:ind w:left="0" w:right="0" w:firstLine="0"/>
        <w:jc w:val="left"/>
      </w:pPr>
      <w:r>
        <w:rPr>
          <w:color w:val="000000"/>
          <w:spacing w:val="0"/>
          <w:w w:val="100"/>
          <w:position w:val="0"/>
        </w:rPr>
        <w:t>报告期内利润分配政策，特别是现金分红政策的制定、执行或调整情况</w:t>
      </w:r>
    </w:p>
    <w:p>
      <w:pPr>
        <w:pStyle w:val="Style31"/>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1"/>
        <w:keepNext w:val="0"/>
        <w:keepLines w:val="0"/>
        <w:widowControl w:val="0"/>
        <w:shd w:val="clear" w:color="auto" w:fill="auto"/>
        <w:bidi w:val="0"/>
        <w:spacing w:before="0" w:line="313" w:lineRule="exact"/>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31"/>
        <w:keepNext w:val="0"/>
        <w:keepLines w:val="0"/>
        <w:widowControl w:val="0"/>
        <w:shd w:val="clear" w:color="auto" w:fill="auto"/>
        <w:bidi w:val="0"/>
        <w:spacing w:before="0" w:after="0" w:line="326" w:lineRule="auto"/>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公司报告期利润分配预案及资本公积金转增股本预案符合公司章程等的相关规定。</w:t>
      </w:r>
    </w:p>
    <w:p>
      <w:pPr>
        <w:pStyle w:val="Style31"/>
        <w:keepNext w:val="0"/>
        <w:keepLines w:val="0"/>
        <w:widowControl w:val="0"/>
        <w:shd w:val="clear" w:color="auto" w:fill="auto"/>
        <w:bidi w:val="0"/>
        <w:spacing w:before="0" w:after="40" w:line="313" w:lineRule="exact"/>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5107"/>
        <w:gridCol w:w="447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47,112,000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18,844,800.00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18,844,800.00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141,247,524.07</w:t>
            </w:r>
          </w:p>
        </w:tc>
      </w:tr>
    </w:tbl>
    <w:p>
      <w:pPr>
        <w:pStyle w:val="Style21"/>
        <w:keepNext w:val="0"/>
        <w:keepLines w:val="0"/>
        <w:widowControl w:val="0"/>
        <w:shd w:val="clear" w:color="auto" w:fill="auto"/>
        <w:tabs>
          <w:tab w:pos="8846" w:val="left"/>
        </w:tabs>
        <w:bidi w:val="0"/>
        <w:spacing w:before="0" w:after="0" w:line="403" w:lineRule="exact"/>
        <w:ind w:left="0" w:right="0" w:firstLine="0"/>
        <w:jc w:val="left"/>
        <w:rPr>
          <w:sz w:val="18"/>
          <w:szCs w:val="18"/>
        </w:rPr>
      </w:pPr>
      <w:r>
        <w:rPr>
          <w:color w:val="000000"/>
          <w:spacing w:val="0"/>
          <w:w w:val="100"/>
          <w:position w:val="0"/>
          <w:sz w:val="17"/>
          <w:szCs w:val="17"/>
        </w:rPr>
        <w:t>现金分红总额（含其他方式）占利润分配总额的比例</w:t>
        <w:tab/>
      </w: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pBdr>
          <w:bottom w:val="single" w:sz="4" w:space="0" w:color="auto"/>
        </w:pBdr>
        <w:shd w:val="clear" w:color="auto" w:fill="auto"/>
        <w:bidi w:val="0"/>
        <w:spacing w:before="0" w:after="0" w:line="403" w:lineRule="exact"/>
        <w:ind w:left="0" w:right="0" w:firstLine="0"/>
        <w:jc w:val="center"/>
      </w:pPr>
      <w:r>
        <w:rPr>
          <w:color w:val="000000"/>
          <w:spacing w:val="0"/>
          <w:w w:val="100"/>
          <w:position w:val="0"/>
        </w:rPr>
        <w:t>本次现金分红情况</w:t>
      </w:r>
    </w:p>
    <w:p>
      <w:pPr>
        <w:pStyle w:val="Style21"/>
        <w:keepNext w:val="0"/>
        <w:keepLines w:val="0"/>
        <w:widowControl w:val="0"/>
        <w:pBdr>
          <w:top w:val="single" w:sz="4" w:space="0" w:color="auto"/>
          <w:bottom w:val="single" w:sz="4" w:space="0" w:color="auto"/>
        </w:pBdr>
        <w:shd w:val="clear" w:color="auto" w:fill="auto"/>
        <w:bidi w:val="0"/>
        <w:spacing w:before="0" w:after="200" w:line="403" w:lineRule="exact"/>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br/>
        <w:t>利润分配或资本公积金转增预案的详细情况说明</w:t>
      </w:r>
    </w:p>
    <w:p>
      <w:pPr>
        <w:pStyle w:val="Style21"/>
        <w:keepNext w:val="0"/>
        <w:keepLines w:val="0"/>
        <w:widowControl w:val="0"/>
        <w:shd w:val="clear" w:color="auto" w:fill="auto"/>
        <w:bidi w:val="0"/>
        <w:spacing w:before="0" w:line="314" w:lineRule="exact"/>
        <w:ind w:left="0" w:right="0" w:firstLine="440"/>
        <w:jc w:val="both"/>
      </w:pPr>
      <w:r>
        <w:rPr>
          <w:color w:val="000000"/>
          <w:spacing w:val="0"/>
          <w:w w:val="100"/>
          <w:position w:val="0"/>
        </w:rPr>
        <w:t>公司董事会拟定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年度利润分配及资本公积金转增股本预案如下：以公司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 xml:space="preserve">47,112,000 </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元（含税），合计派发现金股利人民币</w:t>
      </w:r>
      <w:r>
        <w:rPr>
          <w:rFonts w:ascii="Times New Roman" w:eastAsia="Times New Roman" w:hAnsi="Times New Roman" w:cs="Times New Roman"/>
          <w:color w:val="000000"/>
          <w:spacing w:val="0"/>
          <w:w w:val="100"/>
          <w:position w:val="0"/>
          <w:sz w:val="18"/>
          <w:szCs w:val="18"/>
        </w:rPr>
        <w:t xml:space="preserve">18,844,800.00 </w:t>
      </w:r>
      <w:r>
        <w:rPr>
          <w:color w:val="000000"/>
          <w:spacing w:val="0"/>
          <w:w w:val="100"/>
          <w:position w:val="0"/>
        </w:rPr>
        <w:t>（含税）</w:t>
      </w:r>
      <w:r>
        <w:rPr>
          <w:color w:val="000000"/>
          <w:spacing w:val="0"/>
          <w:w w:val="100"/>
          <w:position w:val="0"/>
          <w:sz w:val="18"/>
          <w:szCs w:val="18"/>
        </w:rPr>
        <w:t>；</w:t>
      </w:r>
      <w:r>
        <w:rPr>
          <w:color w:val="000000"/>
          <w:spacing w:val="0"/>
          <w:w w:val="100"/>
          <w:position w:val="0"/>
        </w:rPr>
        <w:t>不 送红股，剩余未分配利润结转至以后年度；以资本公积金向全体股东每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18,844,800</w:t>
      </w:r>
      <w:r>
        <w:rPr>
          <w:color w:val="000000"/>
          <w:spacing w:val="0"/>
          <w:w w:val="100"/>
          <w:position w:val="0"/>
        </w:rPr>
        <w:t>股，转增后 公司总股本为</w:t>
      </w:r>
      <w:r>
        <w:rPr>
          <w:rFonts w:ascii="Times New Roman" w:eastAsia="Times New Roman" w:hAnsi="Times New Roman" w:cs="Times New Roman"/>
          <w:color w:val="000000"/>
          <w:spacing w:val="0"/>
          <w:w w:val="100"/>
          <w:position w:val="0"/>
          <w:sz w:val="18"/>
          <w:szCs w:val="18"/>
        </w:rPr>
        <w:t>65,956,800</w:t>
      </w:r>
      <w:r>
        <w:rPr>
          <w:color w:val="000000"/>
          <w:spacing w:val="0"/>
          <w:w w:val="100"/>
          <w:position w:val="0"/>
        </w:rPr>
        <w:t>股。</w:t>
      </w:r>
    </w:p>
    <w:p>
      <w:pPr>
        <w:pStyle w:val="Style21"/>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本利润分配预案经公司第三届董事会第三次会议、第三届监事会第二次会议审议通过，独立董事发表同意意见，预案 尚需提交股东大会审议。公司董事会、监事会对该议案的审议程序符合《公司章程》《董事会议事规则》《监事会议事规则》 等相关规定。</w:t>
      </w:r>
    </w:p>
    <w:p>
      <w:pPr>
        <w:pStyle w:val="Style31"/>
        <w:keepNext w:val="0"/>
        <w:keepLines w:val="0"/>
        <w:widowControl w:val="0"/>
        <w:shd w:val="clear" w:color="auto" w:fill="auto"/>
        <w:bidi w:val="0"/>
        <w:spacing w:before="0" w:after="40" w:line="313" w:lineRule="exact"/>
        <w:ind w:left="0" w:right="0" w:firstLine="0"/>
        <w:jc w:val="left"/>
      </w:pPr>
      <w:r>
        <w:rPr>
          <w:color w:val="000000"/>
          <w:spacing w:val="0"/>
          <w:w w:val="100"/>
          <w:position w:val="0"/>
        </w:rPr>
        <w:t>公司报告期内盈利且母公司可供股东分配利润为正但未提出现金红利分配预案</w:t>
      </w:r>
    </w:p>
    <w:p>
      <w:pPr>
        <w:pStyle w:val="Style31"/>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bidi w:val="0"/>
        <w:spacing w:before="0" w:after="300" w:line="240" w:lineRule="auto"/>
        <w:ind w:left="0" w:right="0" w:firstLine="0"/>
        <w:jc w:val="left"/>
      </w:pPr>
      <w:bookmarkStart w:id="388" w:name="bookmark388"/>
      <w:bookmarkStart w:id="389" w:name="bookmark389"/>
      <w:bookmarkStart w:id="390" w:name="bookmark390"/>
      <w:r>
        <w:rPr>
          <w:color w:val="000000"/>
          <w:spacing w:val="0"/>
          <w:w w:val="100"/>
          <w:position w:val="0"/>
        </w:rPr>
        <w:t>十三、公司股权激励计划、员工持股计划或其他员工激励措施的实施情况</w:t>
      </w:r>
      <w:bookmarkEnd w:id="388"/>
      <w:bookmarkEnd w:id="389"/>
      <w:bookmarkEnd w:id="390"/>
    </w:p>
    <w:p>
      <w:pPr>
        <w:pStyle w:val="Style31"/>
        <w:keepNext w:val="0"/>
        <w:keepLines w:val="0"/>
        <w:widowControl w:val="0"/>
        <w:shd w:val="clear" w:color="auto" w:fill="auto"/>
        <w:bidi w:val="0"/>
        <w:spacing w:before="0" w:line="313"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1"/>
        <w:keepNext w:val="0"/>
        <w:keepLines w:val="0"/>
        <w:widowControl w:val="0"/>
        <w:shd w:val="clear" w:color="auto" w:fill="auto"/>
        <w:bidi w:val="0"/>
        <w:spacing w:before="0" w:after="360" w:line="313" w:lineRule="exact"/>
        <w:ind w:left="0" w:right="0" w:firstLine="420"/>
        <w:jc w:val="left"/>
      </w:pPr>
      <w:r>
        <w:rPr>
          <w:color w:val="000000"/>
          <w:spacing w:val="0"/>
          <w:w w:val="100"/>
          <w:position w:val="0"/>
        </w:rPr>
        <w:t>公司报告期无股权激励计划、员工持股计划或其他员工激励措施及其实施情况。</w:t>
      </w:r>
    </w:p>
    <w:p>
      <w:pPr>
        <w:pStyle w:val="Style25"/>
        <w:keepNext/>
        <w:keepLines/>
        <w:widowControl w:val="0"/>
        <w:shd w:val="clear" w:color="auto" w:fill="auto"/>
        <w:bidi w:val="0"/>
        <w:spacing w:before="0" w:after="300" w:line="240" w:lineRule="auto"/>
        <w:ind w:left="0" w:right="0" w:firstLine="0"/>
        <w:jc w:val="left"/>
      </w:pPr>
      <w:bookmarkStart w:id="391" w:name="bookmark391"/>
      <w:bookmarkStart w:id="392" w:name="bookmark392"/>
      <w:bookmarkStart w:id="393" w:name="bookmark393"/>
      <w:r>
        <w:rPr>
          <w:color w:val="000000"/>
          <w:spacing w:val="0"/>
          <w:w w:val="100"/>
          <w:position w:val="0"/>
        </w:rPr>
        <w:t>十四、报告期内的内部控制制度建设及实施情况</w:t>
      </w:r>
      <w:bookmarkEnd w:id="391"/>
      <w:bookmarkEnd w:id="392"/>
      <w:bookmarkEnd w:id="393"/>
    </w:p>
    <w:p>
      <w:pPr>
        <w:pStyle w:val="Style28"/>
        <w:keepNext/>
        <w:keepLines/>
        <w:widowControl w:val="0"/>
        <w:shd w:val="clear" w:color="auto" w:fill="auto"/>
        <w:tabs>
          <w:tab w:pos="368" w:val="left"/>
        </w:tabs>
        <w:bidi w:val="0"/>
        <w:spacing w:before="0" w:after="300" w:line="313" w:lineRule="exact"/>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1</w:t>
      </w:r>
      <w:bookmarkEnd w:id="396"/>
      <w:r>
        <w:rPr>
          <w:color w:val="000000"/>
          <w:spacing w:val="0"/>
          <w:w w:val="100"/>
          <w:position w:val="0"/>
        </w:rPr>
        <w:t>、</w:t>
        <w:tab/>
        <w:t>内部控制建设及实施情况</w:t>
      </w:r>
      <w:bookmarkEnd w:id="394"/>
      <w:bookmarkEnd w:id="395"/>
      <w:bookmarkEnd w:id="397"/>
    </w:p>
    <w:p>
      <w:pPr>
        <w:pStyle w:val="Style31"/>
        <w:keepNext w:val="0"/>
        <w:keepLines w:val="0"/>
        <w:widowControl w:val="0"/>
        <w:shd w:val="clear" w:color="auto" w:fill="auto"/>
        <w:bidi w:val="0"/>
        <w:spacing w:before="0" w:line="313" w:lineRule="exact"/>
        <w:ind w:left="0" w:right="0" w:firstLine="440"/>
        <w:jc w:val="left"/>
      </w:pPr>
      <w:r>
        <w:rPr>
          <w:color w:val="000000"/>
          <w:spacing w:val="0"/>
          <w:w w:val="100"/>
          <w:position w:val="0"/>
        </w:rPr>
        <w:t>根据《企业内部控制基本规范》及其配套指引的规定和其他内部控制监管要求，结合行业特点和实际 运营情况，公司已建立了较为完整、合理的内部控制制度。所建立的内部控制制度贯穿于公司经营活动的 各个层面和各环节，形成了一套比较完整且运行有效的管理体系，合理控制了各种风险，能够预防和及时 发现、纠正公司运营过程中可能出现的重要错误和舞弊，保护公司资产的安全和完整，保证了会计记录和 会计信息的真实性、准确性和及时性，保证了公司经营的正常有效运行，促进了公司各项经营目标的实现。</w:t>
      </w:r>
    </w:p>
    <w:p>
      <w:pPr>
        <w:pStyle w:val="Style31"/>
        <w:keepNext w:val="0"/>
        <w:keepLines w:val="0"/>
        <w:widowControl w:val="0"/>
        <w:shd w:val="clear" w:color="auto" w:fill="auto"/>
        <w:bidi w:val="0"/>
        <w:spacing w:before="0" w:after="300" w:line="310" w:lineRule="exact"/>
        <w:ind w:left="0" w:right="0" w:firstLine="440"/>
        <w:jc w:val="left"/>
      </w:pPr>
      <w:r>
        <w:rPr>
          <w:color w:val="000000"/>
          <w:spacing w:val="0"/>
          <w:w w:val="100"/>
          <w:position w:val="0"/>
        </w:rPr>
        <w:t>报告期内，根据公司财务报告内部控制重大缺陷的认定情况，于内部控制报告基准日不存在财务报告 内部控制重大缺陷。公司已按照企业内部控制规范体系和相关规定的要求在所有重大方面保持了有效的财 务报告内部控制。</w:t>
      </w:r>
    </w:p>
    <w:p>
      <w:pPr>
        <w:pStyle w:val="Style28"/>
        <w:keepNext/>
        <w:keepLines/>
        <w:widowControl w:val="0"/>
        <w:shd w:val="clear" w:color="auto" w:fill="auto"/>
        <w:tabs>
          <w:tab w:pos="378" w:val="left"/>
        </w:tabs>
        <w:bidi w:val="0"/>
        <w:spacing w:before="0" w:line="313" w:lineRule="exact"/>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2</w:t>
      </w:r>
      <w:bookmarkEnd w:id="400"/>
      <w:r>
        <w:rPr>
          <w:color w:val="000000"/>
          <w:spacing w:val="0"/>
          <w:w w:val="100"/>
          <w:position w:val="0"/>
        </w:rPr>
        <w:t>、</w:t>
        <w:tab/>
        <w:t>报告期内发现的内部控制重大缺陷的具体情况</w:t>
      </w:r>
      <w:bookmarkEnd w:id="398"/>
      <w:bookmarkEnd w:id="399"/>
      <w:bookmarkEnd w:id="401"/>
    </w:p>
    <w:p>
      <w:pPr>
        <w:pStyle w:val="Style31"/>
        <w:keepNext w:val="0"/>
        <w:keepLines w:val="0"/>
        <w:widowControl w:val="0"/>
        <w:shd w:val="clear" w:color="auto" w:fill="auto"/>
        <w:bidi w:val="0"/>
        <w:spacing w:before="0" w:after="300" w:line="32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25"/>
        <w:keepNext/>
        <w:keepLines/>
        <w:widowControl w:val="0"/>
        <w:shd w:val="clear" w:color="auto" w:fill="auto"/>
        <w:bidi w:val="0"/>
        <w:spacing w:before="0" w:after="300" w:line="240" w:lineRule="auto"/>
        <w:ind w:left="0" w:right="0" w:firstLine="0"/>
        <w:jc w:val="left"/>
      </w:pPr>
      <w:bookmarkStart w:id="402" w:name="bookmark402"/>
      <w:bookmarkStart w:id="403" w:name="bookmark403"/>
      <w:bookmarkStart w:id="404" w:name="bookmark404"/>
      <w:r>
        <w:rPr>
          <w:color w:val="000000"/>
          <w:spacing w:val="0"/>
          <w:w w:val="100"/>
          <w:position w:val="0"/>
        </w:rPr>
        <w:t>十五、公司报告期内对子公司的管理控制情况</w:t>
      </w:r>
      <w:bookmarkEnd w:id="402"/>
      <w:bookmarkEnd w:id="403"/>
      <w:bookmarkEnd w:id="404"/>
    </w:p>
    <w:tbl>
      <w:tblPr>
        <w:tblOverlap w:val="never"/>
        <w:jc w:val="center"/>
        <w:tblLayout w:type="fixed"/>
      </w:tblPr>
      <w:tblGrid>
        <w:gridCol w:w="2909"/>
        <w:gridCol w:w="816"/>
        <w:gridCol w:w="816"/>
        <w:gridCol w:w="1574"/>
        <w:gridCol w:w="1574"/>
        <w:gridCol w:w="816"/>
        <w:gridCol w:w="120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整合中遇到的问题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已采取的解决措施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深圳市互联精英信息技术有限公司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2909"/>
        <w:gridCol w:w="816"/>
        <w:gridCol w:w="816"/>
        <w:gridCol w:w="1574"/>
        <w:gridCol w:w="1574"/>
        <w:gridCol w:w="816"/>
        <w:gridCol w:w="120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整合中遇到的问题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已采取的解决措施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后续解决计划</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天亿马(香港)信息产业有限公司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重庆天亿马信息技术有限公司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天亿马信息技术有限公司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广东天亿马信息科技有限公司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405" w:name="bookmark405"/>
      <w:bookmarkStart w:id="406" w:name="bookmark406"/>
      <w:bookmarkStart w:id="407" w:name="bookmark407"/>
      <w:r>
        <w:rPr>
          <w:color w:val="000000"/>
          <w:spacing w:val="0"/>
          <w:w w:val="100"/>
          <w:position w:val="0"/>
        </w:rPr>
        <w:t>十六、内部控制自我评价报告或内部控制审计报告</w:t>
      </w:r>
      <w:bookmarkEnd w:id="405"/>
      <w:bookmarkEnd w:id="406"/>
      <w:bookmarkEnd w:id="407"/>
    </w:p>
    <w:p>
      <w:pPr>
        <w:pStyle w:val="Style28"/>
        <w:keepNext/>
        <w:keepLines/>
        <w:widowControl w:val="0"/>
        <w:shd w:val="clear" w:color="auto" w:fill="auto"/>
        <w:bidi w:val="0"/>
        <w:spacing w:before="0" w:after="32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1</w:t>
      </w:r>
      <w:bookmarkEnd w:id="410"/>
      <w:r>
        <w:rPr>
          <w:color w:val="000000"/>
          <w:spacing w:val="0"/>
          <w:w w:val="100"/>
          <w:position w:val="0"/>
        </w:rPr>
        <w:t>、内控自我评价报告</w:t>
      </w:r>
      <w:bookmarkEnd w:id="408"/>
      <w:bookmarkEnd w:id="409"/>
      <w:bookmarkEnd w:id="411"/>
    </w:p>
    <w:tbl>
      <w:tblPr>
        <w:tblOverlap w:val="never"/>
        <w:jc w:val="center"/>
        <w:tblLayout w:type="fixed"/>
      </w:tblPr>
      <w:tblGrid>
        <w:gridCol w:w="3139"/>
        <w:gridCol w:w="3245"/>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 cninf. com.cn</w:t>
            </w: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纳入评价范围单位营业收入占公司合并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01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numPr>
                <w:ilvl w:val="0"/>
                <w:numId w:val="99"/>
              </w:numPr>
              <w:shd w:val="clear" w:color="auto" w:fill="auto"/>
              <w:bidi w:val="0"/>
              <w:spacing w:before="0" w:after="140" w:line="313" w:lineRule="exact"/>
              <w:ind w:left="0" w:right="0" w:firstLine="36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财务报告重大缺陷的迹象包括：① 董事、监事和高级管理人员的舞弊行为； ②当期财务报告存在重大错报，而内部控 制在运行过程中未能发现该错报；③审计 委员会和内部审计部门对财务报告内部 控制监督无效；</w:t>
            </w:r>
          </w:p>
          <w:p>
            <w:pPr>
              <w:pStyle w:val="Style2"/>
              <w:keepNext w:val="0"/>
              <w:keepLines w:val="0"/>
              <w:widowControl w:val="0"/>
              <w:numPr>
                <w:ilvl w:val="0"/>
                <w:numId w:val="99"/>
              </w:numPr>
              <w:shd w:val="clear" w:color="auto" w:fill="auto"/>
              <w:bidi w:val="0"/>
              <w:spacing w:before="0" w:after="140" w:line="314" w:lineRule="exact"/>
              <w:ind w:left="0" w:right="0" w:firstLine="36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财务报告重要缺陷迹象包括：①未 依照公认会计准则选择和应用会计政策； ②未建立反舞弊程序和控制措施；③对于 非常规或特殊交易的账务处理没有建立 相应的控制机制或没有实施且没有相应 的补偿性控制。</w:t>
            </w:r>
          </w:p>
          <w:p>
            <w:pPr>
              <w:pStyle w:val="Style2"/>
              <w:keepNext w:val="0"/>
              <w:keepLines w:val="0"/>
              <w:widowControl w:val="0"/>
              <w:numPr>
                <w:ilvl w:val="0"/>
                <w:numId w:val="99"/>
              </w:numPr>
              <w:shd w:val="clear" w:color="auto" w:fill="auto"/>
              <w:tabs>
                <w:tab w:pos="499" w:val="left"/>
              </w:tabs>
              <w:bidi w:val="0"/>
              <w:spacing w:before="0" w:after="140" w:line="322" w:lineRule="exact"/>
              <w:ind w:left="0" w:right="0" w:firstLine="360"/>
              <w:jc w:val="both"/>
            </w:pPr>
            <w:r>
              <w:rPr>
                <w:color w:val="000000"/>
                <w:spacing w:val="0"/>
                <w:w w:val="100"/>
                <w:position w:val="0"/>
              </w:rPr>
              <w:t>一般缺陷是指除上述重大缺陷、重 要缺陷之外的其他控制缺陷。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出现以下情形的，可认定为重大缺 陷，其他情形按影响程度分别确定为重 要缺陷或一般缺陷：</w:t>
            </w:r>
          </w:p>
          <w:p>
            <w:pPr>
              <w:pStyle w:val="Style2"/>
              <w:keepNext w:val="0"/>
              <w:keepLines w:val="0"/>
              <w:widowControl w:val="0"/>
              <w:numPr>
                <w:ilvl w:val="0"/>
                <w:numId w:val="101"/>
              </w:numPr>
              <w:shd w:val="clear" w:color="auto" w:fill="auto"/>
              <w:tabs>
                <w:tab w:pos="634" w:val="left"/>
              </w:tabs>
              <w:bidi w:val="0"/>
              <w:spacing w:before="0" w:after="0" w:line="312" w:lineRule="exact"/>
              <w:ind w:left="0" w:right="0" w:firstLine="380"/>
              <w:jc w:val="both"/>
            </w:pPr>
            <w:r>
              <w:rPr>
                <w:color w:val="000000"/>
                <w:spacing w:val="0"/>
                <w:w w:val="100"/>
                <w:position w:val="0"/>
              </w:rPr>
              <w:t>违反国家现行法律、法规，如出 现重大安全生产或环境污染事故；</w:t>
            </w:r>
          </w:p>
          <w:p>
            <w:pPr>
              <w:pStyle w:val="Style2"/>
              <w:keepNext w:val="0"/>
              <w:keepLines w:val="0"/>
              <w:widowControl w:val="0"/>
              <w:numPr>
                <w:ilvl w:val="0"/>
                <w:numId w:val="101"/>
              </w:numPr>
              <w:shd w:val="clear" w:color="auto" w:fill="auto"/>
              <w:tabs>
                <w:tab w:pos="542" w:val="left"/>
              </w:tabs>
              <w:bidi w:val="0"/>
              <w:spacing w:before="0" w:after="0" w:line="322" w:lineRule="exact"/>
              <w:ind w:left="0" w:right="0" w:firstLine="380"/>
              <w:jc w:val="both"/>
            </w:pPr>
            <w:r>
              <w:rPr>
                <w:color w:val="000000"/>
                <w:spacing w:val="0"/>
                <w:w w:val="100"/>
                <w:position w:val="0"/>
              </w:rPr>
              <w:t>公司决策程序不科学，造成决策 失误等；</w:t>
            </w:r>
          </w:p>
          <w:p>
            <w:pPr>
              <w:pStyle w:val="Style2"/>
              <w:keepNext w:val="0"/>
              <w:keepLines w:val="0"/>
              <w:widowControl w:val="0"/>
              <w:numPr>
                <w:ilvl w:val="0"/>
                <w:numId w:val="101"/>
              </w:numPr>
              <w:shd w:val="clear" w:color="auto" w:fill="auto"/>
              <w:tabs>
                <w:tab w:pos="542" w:val="left"/>
              </w:tabs>
              <w:bidi w:val="0"/>
              <w:spacing w:before="0" w:after="0" w:line="312" w:lineRule="exact"/>
              <w:ind w:left="0" w:right="0" w:firstLine="380"/>
              <w:jc w:val="both"/>
            </w:pPr>
            <w:r>
              <w:rPr>
                <w:color w:val="000000"/>
                <w:spacing w:val="0"/>
                <w:w w:val="100"/>
                <w:position w:val="0"/>
              </w:rPr>
              <w:t>主要管理人员或关键岗位技术人 员大量离职；</w:t>
            </w:r>
          </w:p>
          <w:p>
            <w:pPr>
              <w:pStyle w:val="Style2"/>
              <w:keepNext w:val="0"/>
              <w:keepLines w:val="0"/>
              <w:widowControl w:val="0"/>
              <w:numPr>
                <w:ilvl w:val="0"/>
                <w:numId w:val="101"/>
              </w:numPr>
              <w:shd w:val="clear" w:color="auto" w:fill="auto"/>
              <w:tabs>
                <w:tab w:pos="562" w:val="left"/>
              </w:tabs>
              <w:bidi w:val="0"/>
              <w:spacing w:before="0" w:after="0" w:line="317" w:lineRule="exact"/>
              <w:ind w:left="0" w:right="0" w:firstLine="380"/>
              <w:jc w:val="both"/>
            </w:pPr>
            <w:r>
              <w:rPr>
                <w:color w:val="000000"/>
                <w:spacing w:val="0"/>
                <w:w w:val="100"/>
                <w:position w:val="0"/>
              </w:rPr>
              <w:t>内部控制评价结论中涉及的重大 或重要缺陷未得到整改；</w:t>
            </w:r>
          </w:p>
          <w:p>
            <w:pPr>
              <w:pStyle w:val="Style2"/>
              <w:keepNext w:val="0"/>
              <w:keepLines w:val="0"/>
              <w:widowControl w:val="0"/>
              <w:numPr>
                <w:ilvl w:val="0"/>
                <w:numId w:val="101"/>
              </w:numPr>
              <w:shd w:val="clear" w:color="auto" w:fill="auto"/>
              <w:tabs>
                <w:tab w:pos="542" w:val="left"/>
              </w:tabs>
              <w:bidi w:val="0"/>
              <w:spacing w:before="0" w:after="0" w:line="322" w:lineRule="exact"/>
              <w:ind w:left="0" w:right="0" w:firstLine="380"/>
              <w:jc w:val="both"/>
            </w:pPr>
            <w:r>
              <w:rPr>
                <w:color w:val="000000"/>
                <w:spacing w:val="0"/>
                <w:w w:val="100"/>
                <w:position w:val="0"/>
              </w:rPr>
              <w:t>重要业务缺乏制度控制或制度失 效；</w:t>
            </w:r>
          </w:p>
          <w:p>
            <w:pPr>
              <w:pStyle w:val="Style2"/>
              <w:keepNext w:val="0"/>
              <w:keepLines w:val="0"/>
              <w:widowControl w:val="0"/>
              <w:numPr>
                <w:ilvl w:val="0"/>
                <w:numId w:val="101"/>
              </w:numPr>
              <w:shd w:val="clear" w:color="auto" w:fill="auto"/>
              <w:tabs>
                <w:tab w:pos="542" w:val="left"/>
              </w:tabs>
              <w:bidi w:val="0"/>
              <w:spacing w:before="0" w:after="0" w:line="317" w:lineRule="exact"/>
              <w:ind w:left="0" w:right="0" w:firstLine="380"/>
              <w:jc w:val="both"/>
            </w:pPr>
            <w:r>
              <w:rPr>
                <w:color w:val="000000"/>
                <w:spacing w:val="0"/>
                <w:w w:val="100"/>
                <w:position w:val="0"/>
              </w:rPr>
              <w:t>媒体负面新闻频频曝光</w:t>
            </w:r>
            <w:r>
              <w:rPr>
                <w:color w:val="000000"/>
                <w:spacing w:val="0"/>
                <w:w w:val="100"/>
                <w:position w:val="0"/>
                <w:sz w:val="18"/>
                <w:szCs w:val="18"/>
              </w:rPr>
              <w:t>，</w:t>
            </w:r>
            <w:r>
              <w:rPr>
                <w:color w:val="000000"/>
                <w:spacing w:val="0"/>
                <w:w w:val="100"/>
                <w:position w:val="0"/>
              </w:rPr>
              <w:t>对公司声 誉造成重大损害。</w:t>
            </w:r>
          </w:p>
        </w:tc>
      </w:tr>
      <w:tr>
        <w:trPr>
          <w:trHeight w:val="213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numPr>
                <w:ilvl w:val="0"/>
                <w:numId w:val="103"/>
              </w:numPr>
              <w:shd w:val="clear" w:color="auto" w:fill="auto"/>
              <w:tabs>
                <w:tab w:pos="490" w:val="left"/>
              </w:tabs>
              <w:bidi w:val="0"/>
              <w:spacing w:before="0" w:after="0" w:line="312" w:lineRule="exact"/>
              <w:ind w:left="0" w:right="0" w:firstLine="360"/>
              <w:jc w:val="both"/>
            </w:pPr>
            <w:r>
              <w:rPr>
                <w:color w:val="000000"/>
                <w:spacing w:val="0"/>
                <w:w w:val="100"/>
                <w:position w:val="0"/>
              </w:rPr>
              <w:t>涉及经营成果潜在错报：</w:t>
            </w:r>
          </w:p>
          <w:p>
            <w:pPr>
              <w:pStyle w:val="Style2"/>
              <w:keepNext w:val="0"/>
              <w:keepLines w:val="0"/>
              <w:widowControl w:val="0"/>
              <w:numPr>
                <w:ilvl w:val="0"/>
                <w:numId w:val="105"/>
              </w:numPr>
              <w:shd w:val="clear" w:color="auto" w:fill="auto"/>
              <w:tabs>
                <w:tab w:pos="547" w:val="left"/>
              </w:tabs>
              <w:bidi w:val="0"/>
              <w:spacing w:before="0" w:after="0" w:line="312" w:lineRule="exact"/>
              <w:ind w:left="0" w:right="0" w:firstLine="360"/>
              <w:jc w:val="both"/>
            </w:pPr>
            <w:r>
              <w:rPr>
                <w:color w:val="000000"/>
                <w:spacing w:val="0"/>
                <w:w w:val="100"/>
                <w:position w:val="0"/>
              </w:rPr>
              <w:t>重大缺陷：错报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营业收入的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
              <w:keepNext w:val="0"/>
              <w:keepLines w:val="0"/>
              <w:widowControl w:val="0"/>
              <w:numPr>
                <w:ilvl w:val="0"/>
                <w:numId w:val="105"/>
              </w:numPr>
              <w:shd w:val="clear" w:color="auto" w:fill="auto"/>
              <w:tabs>
                <w:tab w:pos="538" w:val="left"/>
              </w:tabs>
              <w:bidi w:val="0"/>
              <w:spacing w:before="0" w:after="0" w:line="312" w:lineRule="exact"/>
              <w:ind w:left="0" w:right="0" w:firstLine="360"/>
              <w:jc w:val="both"/>
            </w:pPr>
            <w:r>
              <w:rPr>
                <w:color w:val="000000"/>
                <w:spacing w:val="0"/>
                <w:w w:val="100"/>
                <w:position w:val="0"/>
              </w:rPr>
              <w:t>重要缺陷：营业收入的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错报＜ 营业收入的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
              <w:keepNext w:val="0"/>
              <w:keepLines w:val="0"/>
              <w:widowControl w:val="0"/>
              <w:numPr>
                <w:ilvl w:val="0"/>
                <w:numId w:val="105"/>
              </w:numPr>
              <w:shd w:val="clear" w:color="auto" w:fill="auto"/>
              <w:tabs>
                <w:tab w:pos="547" w:val="left"/>
              </w:tabs>
              <w:bidi w:val="0"/>
              <w:spacing w:before="0" w:after="0" w:line="312" w:lineRule="exact"/>
              <w:ind w:left="0" w:right="0" w:firstLine="360"/>
              <w:jc w:val="both"/>
              <w:rPr>
                <w:sz w:val="18"/>
                <w:szCs w:val="18"/>
              </w:rPr>
            </w:pPr>
            <w:r>
              <w:rPr>
                <w:color w:val="000000"/>
                <w:spacing w:val="0"/>
                <w:w w:val="100"/>
                <w:position w:val="0"/>
                <w:sz w:val="17"/>
                <w:szCs w:val="17"/>
              </w:rPr>
              <w:t>一般缺陷：错报〈营业收入的</w:t>
            </w:r>
            <w:r>
              <w:rPr>
                <w:rFonts w:ascii="Times New Roman" w:eastAsia="Times New Roman" w:hAnsi="Times New Roman" w:cs="Times New Roman"/>
                <w:color w:val="000000"/>
                <w:spacing w:val="0"/>
                <w:w w:val="100"/>
                <w:position w:val="0"/>
                <w:sz w:val="18"/>
                <w:szCs w:val="18"/>
              </w:rPr>
              <w:t>5%</w:t>
            </w:r>
          </w:p>
          <w:p>
            <w:pPr>
              <w:pStyle w:val="Style2"/>
              <w:keepNext w:val="0"/>
              <w:keepLines w:val="0"/>
              <w:widowControl w:val="0"/>
              <w:numPr>
                <w:ilvl w:val="0"/>
                <w:numId w:val="103"/>
              </w:numPr>
              <w:shd w:val="clear" w:color="auto" w:fill="auto"/>
              <w:tabs>
                <w:tab w:pos="509" w:val="left"/>
              </w:tabs>
              <w:bidi w:val="0"/>
              <w:spacing w:before="0" w:after="0" w:line="312" w:lineRule="exact"/>
              <w:ind w:left="0" w:right="0" w:firstLine="360"/>
              <w:jc w:val="both"/>
            </w:pPr>
            <w:r>
              <w:rPr>
                <w:color w:val="000000"/>
                <w:spacing w:val="0"/>
                <w:w w:val="100"/>
                <w:position w:val="0"/>
              </w:rPr>
              <w:t>涉及财务状况潜在错报：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3125"/>
        <w:gridCol w:w="3259"/>
        <w:gridCol w:w="3197"/>
      </w:tblGrid>
      <w:tr>
        <w:trPr>
          <w:trHeight w:val="138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numPr>
                <w:ilvl w:val="0"/>
                <w:numId w:val="107"/>
              </w:numPr>
              <w:shd w:val="clear" w:color="auto" w:fill="auto"/>
              <w:tabs>
                <w:tab w:pos="567" w:val="left"/>
              </w:tabs>
              <w:bidi w:val="0"/>
              <w:spacing w:before="0" w:after="120" w:line="240" w:lineRule="auto"/>
              <w:ind w:left="0" w:right="0" w:firstLine="380"/>
              <w:jc w:val="left"/>
            </w:pPr>
            <w:r>
              <w:rPr>
                <w:color w:val="000000"/>
                <w:spacing w:val="0"/>
                <w:w w:val="100"/>
                <w:position w:val="0"/>
              </w:rPr>
              <w:t>重大缺陷：错报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
              <w:keepNext w:val="0"/>
              <w:keepLines w:val="0"/>
              <w:widowControl w:val="0"/>
              <w:numPr>
                <w:ilvl w:val="0"/>
                <w:numId w:val="107"/>
              </w:numPr>
              <w:shd w:val="clear" w:color="auto" w:fill="auto"/>
              <w:tabs>
                <w:tab w:pos="572" w:val="left"/>
              </w:tabs>
              <w:bidi w:val="0"/>
              <w:spacing w:before="0" w:after="120" w:line="240" w:lineRule="auto"/>
              <w:ind w:left="0" w:right="0" w:firstLine="380"/>
              <w:jc w:val="left"/>
            </w:pP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5%w</w:t>
            </w:r>
            <w:r>
              <w:rPr>
                <w:color w:val="000000"/>
                <w:spacing w:val="0"/>
                <w:w w:val="100"/>
                <w:position w:val="0"/>
              </w:rPr>
              <w:t>错报〈资产总额</w:t>
            </w:r>
          </w:p>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的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
              <w:keepNext w:val="0"/>
              <w:keepLines w:val="0"/>
              <w:widowControl w:val="0"/>
              <w:numPr>
                <w:ilvl w:val="0"/>
                <w:numId w:val="107"/>
              </w:numPr>
              <w:shd w:val="clear" w:color="auto" w:fill="auto"/>
              <w:tabs>
                <w:tab w:pos="562" w:val="left"/>
              </w:tabs>
              <w:bidi w:val="0"/>
              <w:spacing w:before="0" w:after="140" w:line="240" w:lineRule="auto"/>
              <w:ind w:left="0" w:right="0" w:firstLine="380"/>
              <w:jc w:val="left"/>
              <w:rPr>
                <w:sz w:val="18"/>
                <w:szCs w:val="18"/>
              </w:rPr>
            </w:pPr>
            <w:r>
              <w:rPr>
                <w:color w:val="000000"/>
                <w:spacing w:val="0"/>
                <w:w w:val="100"/>
                <w:position w:val="0"/>
                <w:sz w:val="17"/>
                <w:szCs w:val="17"/>
              </w:rPr>
              <w:t>错报〈资产总额的</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2</w:t>
      </w:r>
      <w:bookmarkEnd w:id="414"/>
      <w:r>
        <w:rPr>
          <w:color w:val="000000"/>
          <w:spacing w:val="0"/>
          <w:w w:val="100"/>
          <w:position w:val="0"/>
        </w:rPr>
        <w:t>、内部控制审计报告或鉴证报告</w:t>
      </w:r>
      <w:bookmarkEnd w:id="412"/>
      <w:bookmarkEnd w:id="413"/>
      <w:bookmarkEnd w:id="415"/>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416" w:name="bookmark416"/>
      <w:bookmarkStart w:id="417" w:name="bookmark417"/>
      <w:bookmarkStart w:id="418" w:name="bookmark418"/>
      <w:r>
        <w:rPr>
          <w:color w:val="000000"/>
          <w:spacing w:val="0"/>
          <w:w w:val="100"/>
          <w:position w:val="0"/>
        </w:rPr>
        <w:t>十七、上市公司治理专项行动自查问题整改情况</w:t>
      </w:r>
      <w:bookmarkEnd w:id="416"/>
      <w:bookmarkEnd w:id="417"/>
      <w:bookmarkEnd w:id="418"/>
    </w:p>
    <w:p>
      <w:pPr>
        <w:pStyle w:val="Style31"/>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54" w:right="1028" w:bottom="1512" w:left="1066" w:header="0" w:footer="3" w:gutter="0"/>
          <w:cols w:space="720"/>
          <w:noEndnote/>
          <w:rtlGutter w:val="0"/>
          <w:docGrid w:linePitch="360"/>
        </w:sectPr>
      </w:pPr>
      <w:r>
        <w:rPr>
          <w:color w:val="000000"/>
          <w:spacing w:val="0"/>
          <w:w w:val="100"/>
          <w:position w:val="0"/>
        </w:rPr>
        <w:t>不适用。</w:t>
      </w:r>
    </w:p>
    <w:p>
      <w:pPr>
        <w:pStyle w:val="Style9"/>
        <w:keepNext/>
        <w:keepLines/>
        <w:widowControl w:val="0"/>
        <w:shd w:val="clear" w:color="auto" w:fill="auto"/>
        <w:bidi w:val="0"/>
        <w:spacing w:before="560" w:line="240" w:lineRule="auto"/>
        <w:ind w:left="0" w:right="0" w:firstLine="0"/>
        <w:jc w:val="center"/>
      </w:pPr>
      <w:bookmarkStart w:id="419" w:name="bookmark419"/>
      <w:bookmarkStart w:id="420" w:name="bookmark420"/>
      <w:bookmarkStart w:id="421" w:name="bookmark421"/>
      <w:r>
        <w:rPr>
          <w:color w:val="000000"/>
          <w:spacing w:val="0"/>
          <w:w w:val="100"/>
          <w:position w:val="0"/>
        </w:rPr>
        <w:t>第五节环境和社会责任</w:t>
      </w:r>
      <w:bookmarkEnd w:id="419"/>
      <w:bookmarkEnd w:id="420"/>
      <w:bookmarkEnd w:id="421"/>
    </w:p>
    <w:p>
      <w:pPr>
        <w:pStyle w:val="Style25"/>
        <w:keepNext/>
        <w:keepLines/>
        <w:widowControl w:val="0"/>
        <w:shd w:val="clear" w:color="auto" w:fill="auto"/>
        <w:bidi w:val="0"/>
        <w:spacing w:before="0" w:after="360" w:line="240" w:lineRule="auto"/>
        <w:ind w:left="0" w:right="0" w:firstLine="0"/>
        <w:jc w:val="left"/>
      </w:pPr>
      <w:bookmarkStart w:id="422" w:name="bookmark422"/>
      <w:bookmarkStart w:id="423" w:name="bookmark423"/>
      <w:bookmarkStart w:id="424" w:name="bookmark424"/>
      <w:bookmarkStart w:id="425" w:name="bookmark425"/>
      <w:bookmarkStart w:id="426" w:name="bookmark426"/>
      <w:r>
        <w:rPr>
          <w:color w:val="000000"/>
          <w:spacing w:val="0"/>
          <w:w w:val="100"/>
          <w:position w:val="0"/>
        </w:rPr>
        <w:t>一</w:t>
      </w:r>
      <w:bookmarkEnd w:id="425"/>
      <w:r>
        <w:rPr>
          <w:color w:val="000000"/>
          <w:spacing w:val="0"/>
          <w:w w:val="100"/>
          <w:position w:val="0"/>
        </w:rPr>
        <w:t>、重大环保问题</w:t>
      </w:r>
      <w:bookmarkEnd w:id="423"/>
      <w:bookmarkEnd w:id="424"/>
      <w:bookmarkEnd w:id="426"/>
      <w:bookmarkEnd w:id="422"/>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上市公司及其子公司是否属于环境保护部门公布的重点排污单位</w:t>
      </w:r>
    </w:p>
    <w:p>
      <w:pPr>
        <w:pStyle w:val="Style31"/>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报告期内因环境问题受到行政处罚的情况</w:t>
      </w:r>
    </w:p>
    <w:tbl>
      <w:tblPr>
        <w:tblOverlap w:val="never"/>
        <w:jc w:val="center"/>
        <w:tblLayout w:type="fixed"/>
      </w:tblPr>
      <w:tblGrid>
        <w:gridCol w:w="1603"/>
        <w:gridCol w:w="1594"/>
        <w:gridCol w:w="1584"/>
        <w:gridCol w:w="1603"/>
        <w:gridCol w:w="1594"/>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139" w:line="1" w:lineRule="exact"/>
      </w:pPr>
    </w:p>
    <w:p>
      <w:pPr>
        <w:pStyle w:val="Style31"/>
        <w:keepNext w:val="0"/>
        <w:keepLines w:val="0"/>
        <w:widowControl w:val="0"/>
        <w:shd w:val="clear" w:color="auto" w:fill="auto"/>
        <w:bidi w:val="0"/>
        <w:spacing w:before="0" w:line="312" w:lineRule="exact"/>
        <w:ind w:left="0" w:right="0" w:firstLine="0"/>
        <w:jc w:val="left"/>
      </w:pPr>
      <w:r>
        <w:rPr>
          <w:color w:val="000000"/>
          <w:spacing w:val="0"/>
          <w:w w:val="100"/>
          <w:position w:val="0"/>
        </w:rPr>
        <w:t>参照重点排污单位披露的其他环境信息</w:t>
      </w:r>
    </w:p>
    <w:p>
      <w:pPr>
        <w:pStyle w:val="Style31"/>
        <w:keepNext w:val="0"/>
        <w:keepLines w:val="0"/>
        <w:widowControl w:val="0"/>
        <w:shd w:val="clear" w:color="auto" w:fill="auto"/>
        <w:bidi w:val="0"/>
        <w:spacing w:before="0" w:line="312" w:lineRule="exact"/>
        <w:ind w:left="0" w:right="0" w:firstLine="0"/>
        <w:jc w:val="left"/>
      </w:pPr>
      <w:r>
        <w:rPr>
          <w:color w:val="000000"/>
          <w:spacing w:val="0"/>
          <w:w w:val="100"/>
          <w:position w:val="0"/>
        </w:rPr>
        <w:t>不适用。</w:t>
      </w:r>
    </w:p>
    <w:p>
      <w:pPr>
        <w:pStyle w:val="Style31"/>
        <w:keepNext w:val="0"/>
        <w:keepLines w:val="0"/>
        <w:widowControl w:val="0"/>
        <w:shd w:val="clear" w:color="auto" w:fill="auto"/>
        <w:bidi w:val="0"/>
        <w:spacing w:before="0" w:after="220" w:line="312" w:lineRule="exact"/>
        <w:ind w:left="0" w:right="0" w:firstLine="0"/>
        <w:jc w:val="left"/>
      </w:pPr>
      <w:r>
        <w:rPr>
          <w:color w:val="000000"/>
          <w:spacing w:val="0"/>
          <w:w w:val="100"/>
          <w:position w:val="0"/>
        </w:rPr>
        <w:t>在报告期内为减少其碳排放所采取的措施及效果</w:t>
      </w:r>
    </w:p>
    <w:p>
      <w:pPr>
        <w:pStyle w:val="Style31"/>
        <w:keepNext w:val="0"/>
        <w:keepLines w:val="0"/>
        <w:widowControl w:val="0"/>
        <w:shd w:val="clear" w:color="auto" w:fill="auto"/>
        <w:bidi w:val="0"/>
        <w:spacing w:before="0" w:after="60" w:line="32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line="312" w:lineRule="exact"/>
        <w:ind w:left="0" w:right="0" w:firstLine="0"/>
        <w:jc w:val="left"/>
      </w:pPr>
      <w:r>
        <w:rPr>
          <w:color w:val="000000"/>
          <w:spacing w:val="0"/>
          <w:w w:val="100"/>
          <w:position w:val="0"/>
        </w:rPr>
        <w:t>未披露其他环境信息的原因</w:t>
      </w:r>
    </w:p>
    <w:p>
      <w:pPr>
        <w:pStyle w:val="Style31"/>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二</w:t>
      </w:r>
      <w:bookmarkEnd w:id="429"/>
      <w:r>
        <w:rPr>
          <w:color w:val="000000"/>
          <w:spacing w:val="0"/>
          <w:w w:val="100"/>
          <w:position w:val="0"/>
        </w:rPr>
        <w:t>、社会责任情况</w:t>
      </w:r>
      <w:bookmarkEnd w:id="427"/>
      <w:bookmarkEnd w:id="428"/>
      <w:bookmarkEnd w:id="430"/>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报告期内，公司认真遵守国家有关法律、法规及相关政策的要求，秉承“技术缔造价值，服务成就未 来”的经营理念，专注智慧城市领域的业务发展，诚信经营，依法纳税，为股东创造价值，对员工、客户 与供应商、社会等利益相关者承担责任。</w:t>
      </w:r>
    </w:p>
    <w:p>
      <w:pPr>
        <w:pStyle w:val="Style31"/>
        <w:keepNext w:val="0"/>
        <w:keepLines w:val="0"/>
        <w:widowControl w:val="0"/>
        <w:shd w:val="clear" w:color="auto" w:fill="auto"/>
        <w:tabs>
          <w:tab w:pos="1034" w:val="left"/>
        </w:tabs>
        <w:bidi w:val="0"/>
        <w:spacing w:before="0" w:line="312" w:lineRule="exact"/>
        <w:ind w:left="0" w:right="0" w:firstLine="440"/>
        <w:jc w:val="both"/>
      </w:pPr>
      <w:bookmarkStart w:id="431" w:name="bookmark431"/>
      <w:r>
        <w:rPr>
          <w:color w:val="000000"/>
          <w:spacing w:val="0"/>
          <w:w w:val="100"/>
          <w:position w:val="0"/>
        </w:rPr>
        <w:t>（</w:t>
      </w:r>
      <w:bookmarkEnd w:id="431"/>
      <w:r>
        <w:rPr>
          <w:color w:val="000000"/>
          <w:spacing w:val="0"/>
          <w:w w:val="100"/>
          <w:position w:val="0"/>
        </w:rPr>
        <w:t>一）</w:t>
        <w:tab/>
        <w:t>股东权益保护</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公司遵照《公司法》《证券法》等法律法规、部门规章、规范性文件和《公司章程》的规定，依法召 开股东大会，确保股东对公司重大事项的知情权、参与权和表决权，真实、准确、完整、及时、公平地向 所有股东披露信息，在经营决策中积极构建与股东的良好关系。</w:t>
      </w:r>
    </w:p>
    <w:p>
      <w:pPr>
        <w:pStyle w:val="Style31"/>
        <w:keepNext w:val="0"/>
        <w:keepLines w:val="0"/>
        <w:widowControl w:val="0"/>
        <w:shd w:val="clear" w:color="auto" w:fill="auto"/>
        <w:tabs>
          <w:tab w:pos="1034" w:val="left"/>
        </w:tabs>
        <w:bidi w:val="0"/>
        <w:spacing w:before="0" w:line="312" w:lineRule="exact"/>
        <w:ind w:left="0" w:right="0" w:firstLine="440"/>
        <w:jc w:val="both"/>
      </w:pPr>
      <w:bookmarkStart w:id="432" w:name="bookmark432"/>
      <w:r>
        <w:rPr>
          <w:color w:val="000000"/>
          <w:spacing w:val="0"/>
          <w:w w:val="100"/>
          <w:position w:val="0"/>
        </w:rPr>
        <w:t>（</w:t>
      </w:r>
      <w:bookmarkEnd w:id="432"/>
      <w:r>
        <w:rPr>
          <w:color w:val="000000"/>
          <w:spacing w:val="0"/>
          <w:w w:val="100"/>
          <w:position w:val="0"/>
        </w:rPr>
        <w:t>二）</w:t>
        <w:tab/>
        <w:t>职工权益保护</w:t>
      </w:r>
    </w:p>
    <w:p>
      <w:pPr>
        <w:pStyle w:val="Style31"/>
        <w:keepNext w:val="0"/>
        <w:keepLines w:val="0"/>
        <w:widowControl w:val="0"/>
        <w:shd w:val="clear" w:color="auto" w:fill="auto"/>
        <w:bidi w:val="0"/>
        <w:spacing w:before="0" w:line="310" w:lineRule="exact"/>
        <w:ind w:left="0" w:right="0" w:firstLine="440"/>
        <w:jc w:val="both"/>
      </w:pPr>
      <w:r>
        <w:rPr>
          <w:color w:val="000000"/>
          <w:spacing w:val="0"/>
          <w:w w:val="100"/>
          <w:position w:val="0"/>
        </w:rPr>
        <w:t>公司遵照《劳动法》《劳动合同法》等法律法规的要求，建立了完善的人力资源管理制度。在劳动安 全卫生制度、社会保障等方面严格执行国家规定和标准，保障职工合法权益，为职工提供健康、安全的工 作环境和全面的福利待遇，包括不限于基本养老保险、基本医疗保险、工伤保险、生育保险、失业保险和 住房公积金，法定公休假、婚假、产假、丧假等带薪假期。公司按照有关规定建立工会组织，支持工会依 法开展工作，保障员工依法行使民主管理的权利。</w:t>
      </w:r>
    </w:p>
    <w:p>
      <w:pPr>
        <w:pStyle w:val="Style31"/>
        <w:keepNext w:val="0"/>
        <w:keepLines w:val="0"/>
        <w:widowControl w:val="0"/>
        <w:shd w:val="clear" w:color="auto" w:fill="auto"/>
        <w:bidi w:val="0"/>
        <w:spacing w:before="0" w:line="317" w:lineRule="exact"/>
        <w:ind w:left="0" w:right="0" w:firstLine="440"/>
        <w:jc w:val="both"/>
      </w:pPr>
      <w:r>
        <w:rPr>
          <w:color w:val="000000"/>
          <w:spacing w:val="0"/>
          <w:w w:val="100"/>
          <w:position w:val="0"/>
        </w:rPr>
        <w:t>公司重视人才培养，为员工提供行业知识、岗位能力、办公技能等丰富的课程和培训计划，为员工发 展才能、提升自我提供条件，实现与公司共同成长。</w:t>
      </w:r>
    </w:p>
    <w:p>
      <w:pPr>
        <w:pStyle w:val="Style31"/>
        <w:keepNext w:val="0"/>
        <w:keepLines w:val="0"/>
        <w:widowControl w:val="0"/>
        <w:shd w:val="clear" w:color="auto" w:fill="auto"/>
        <w:tabs>
          <w:tab w:pos="1034" w:val="left"/>
        </w:tabs>
        <w:bidi w:val="0"/>
        <w:spacing w:before="0" w:line="310" w:lineRule="exact"/>
        <w:ind w:left="0" w:right="0" w:firstLine="440"/>
        <w:jc w:val="both"/>
      </w:pPr>
      <w:bookmarkStart w:id="433" w:name="bookmark433"/>
      <w:r>
        <w:rPr>
          <w:color w:val="000000"/>
          <w:spacing w:val="0"/>
          <w:w w:val="100"/>
          <w:position w:val="0"/>
        </w:rPr>
        <w:t>（</w:t>
      </w:r>
      <w:bookmarkEnd w:id="433"/>
      <w:r>
        <w:rPr>
          <w:color w:val="000000"/>
          <w:spacing w:val="0"/>
          <w:w w:val="100"/>
          <w:position w:val="0"/>
        </w:rPr>
        <w:t>三）</w:t>
        <w:tab/>
        <w:t>客户权益保护</w:t>
      </w:r>
    </w:p>
    <w:p>
      <w:pPr>
        <w:pStyle w:val="Style31"/>
        <w:keepNext w:val="0"/>
        <w:keepLines w:val="0"/>
        <w:widowControl w:val="0"/>
        <w:shd w:val="clear" w:color="auto" w:fill="auto"/>
        <w:bidi w:val="0"/>
        <w:spacing w:before="0" w:line="310" w:lineRule="exact"/>
        <w:ind w:left="0" w:right="0" w:firstLine="440"/>
        <w:jc w:val="left"/>
      </w:pPr>
      <w:r>
        <w:rPr>
          <w:color w:val="000000"/>
          <w:spacing w:val="0"/>
          <w:w w:val="100"/>
          <w:position w:val="0"/>
        </w:rPr>
        <w:t>公司坚持“技术+服务”的经营理念，致力于为客户提供专业、全面、高效的服务。通过建立专业化 的项目实施和技术服务团队，打造全面的服务能力，建立标准化的服务体系，实现持续完善服务质量，提 升客户满意度，从而与客户建立长期、稳定的合作关系。</w:t>
      </w:r>
    </w:p>
    <w:p>
      <w:pPr>
        <w:pStyle w:val="Style31"/>
        <w:keepNext w:val="0"/>
        <w:keepLines w:val="0"/>
        <w:widowControl w:val="0"/>
        <w:shd w:val="clear" w:color="auto" w:fill="auto"/>
        <w:tabs>
          <w:tab w:pos="1034" w:val="left"/>
        </w:tabs>
        <w:bidi w:val="0"/>
        <w:spacing w:before="0" w:line="310" w:lineRule="exact"/>
        <w:ind w:left="0" w:right="0" w:firstLine="440"/>
        <w:jc w:val="both"/>
      </w:pPr>
      <w:bookmarkStart w:id="434" w:name="bookmark434"/>
      <w:r>
        <w:rPr>
          <w:color w:val="000000"/>
          <w:spacing w:val="0"/>
          <w:w w:val="100"/>
          <w:position w:val="0"/>
        </w:rPr>
        <w:t>（</w:t>
      </w:r>
      <w:bookmarkEnd w:id="434"/>
      <w:r>
        <w:rPr>
          <w:color w:val="000000"/>
          <w:spacing w:val="0"/>
          <w:w w:val="100"/>
          <w:position w:val="0"/>
        </w:rPr>
        <w:t>四）</w:t>
        <w:tab/>
        <w:t>供应商权益保护</w:t>
      </w:r>
    </w:p>
    <w:p>
      <w:pPr>
        <w:pStyle w:val="Style31"/>
        <w:keepNext w:val="0"/>
        <w:keepLines w:val="0"/>
        <w:widowControl w:val="0"/>
        <w:shd w:val="clear" w:color="auto" w:fill="auto"/>
        <w:bidi w:val="0"/>
        <w:spacing w:before="0" w:line="310" w:lineRule="exact"/>
        <w:ind w:left="0" w:right="0" w:firstLine="440"/>
        <w:jc w:val="left"/>
      </w:pPr>
      <w:r>
        <w:rPr>
          <w:color w:val="000000"/>
          <w:spacing w:val="0"/>
          <w:w w:val="100"/>
          <w:position w:val="0"/>
        </w:rPr>
        <w:t>公司先后制定了《采购管理制度》《供应商管理流程》《合同评审管理制度》《工程项目采购管理制 度》等若干制度文件，依据市场化的定价原则和询价程序，采购相关劳务、服务的同时保证采购的公平性、 公允性。</w:t>
      </w:r>
    </w:p>
    <w:p>
      <w:pPr>
        <w:pStyle w:val="Style31"/>
        <w:keepNext w:val="0"/>
        <w:keepLines w:val="0"/>
        <w:widowControl w:val="0"/>
        <w:shd w:val="clear" w:color="auto" w:fill="auto"/>
        <w:tabs>
          <w:tab w:pos="1034" w:val="left"/>
        </w:tabs>
        <w:bidi w:val="0"/>
        <w:spacing w:before="0" w:line="310" w:lineRule="exact"/>
        <w:ind w:left="0" w:right="0" w:firstLine="440"/>
        <w:jc w:val="both"/>
      </w:pPr>
      <w:bookmarkStart w:id="435" w:name="bookmark435"/>
      <w:r>
        <w:rPr>
          <w:color w:val="000000"/>
          <w:spacing w:val="0"/>
          <w:w w:val="100"/>
          <w:position w:val="0"/>
        </w:rPr>
        <w:t>（</w:t>
      </w:r>
      <w:bookmarkEnd w:id="435"/>
      <w:r>
        <w:rPr>
          <w:color w:val="000000"/>
          <w:spacing w:val="0"/>
          <w:w w:val="100"/>
          <w:position w:val="0"/>
        </w:rPr>
        <w:t>五）</w:t>
        <w:tab/>
        <w:t>社会公益</w:t>
      </w:r>
    </w:p>
    <w:p>
      <w:pPr>
        <w:pStyle w:val="Style31"/>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公司积极承担社会责任，参与社会公益事业。报告期内，公司持续免费开放</w:t>
      </w:r>
      <w:r>
        <w:rPr>
          <w:rFonts w:ascii="Times New Roman" w:eastAsia="Times New Roman" w:hAnsi="Times New Roman" w:cs="Times New Roman"/>
          <w:color w:val="000000"/>
          <w:spacing w:val="0"/>
          <w:w w:val="100"/>
          <w:position w:val="0"/>
        </w:rPr>
        <w:t>“</w:t>
      </w:r>
      <w:r>
        <w:rPr>
          <w:color w:val="000000"/>
          <w:spacing w:val="0"/>
          <w:w w:val="100"/>
          <w:position w:val="0"/>
        </w:rPr>
        <w:t>疫情防控网格化管理平 台</w:t>
      </w:r>
      <w:r>
        <w:rPr>
          <w:rFonts w:ascii="Times New Roman" w:eastAsia="Times New Roman" w:hAnsi="Times New Roman" w:cs="Times New Roman"/>
          <w:color w:val="000000"/>
          <w:spacing w:val="0"/>
          <w:w w:val="100"/>
          <w:position w:val="0"/>
        </w:rPr>
        <w:t>”</w:t>
      </w:r>
      <w:r>
        <w:rPr>
          <w:color w:val="000000"/>
          <w:spacing w:val="0"/>
          <w:w w:val="100"/>
          <w:position w:val="0"/>
        </w:rPr>
        <w:t>，为全国多地实现科学精准防疫提供技术支持和保障，助力疫情防控。</w:t>
      </w:r>
    </w:p>
    <w:p>
      <w:pPr>
        <w:pStyle w:val="Style25"/>
        <w:keepNext/>
        <w:keepLines/>
        <w:widowControl w:val="0"/>
        <w:shd w:val="clear" w:color="auto" w:fill="auto"/>
        <w:bidi w:val="0"/>
        <w:spacing w:before="0" w:after="38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rPr>
        <w:t>三</w:t>
      </w:r>
      <w:bookmarkEnd w:id="438"/>
      <w:r>
        <w:rPr>
          <w:color w:val="000000"/>
          <w:spacing w:val="0"/>
          <w:w w:val="100"/>
          <w:position w:val="0"/>
        </w:rPr>
        <w:t>、巩固拓展脱贫攻坚成果、乡村振兴的情况</w:t>
      </w:r>
      <w:bookmarkEnd w:id="436"/>
      <w:bookmarkEnd w:id="437"/>
      <w:bookmarkEnd w:id="439"/>
    </w:p>
    <w:p>
      <w:pPr>
        <w:pStyle w:val="Style21"/>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402" w:right="1003" w:bottom="1781" w:left="1109" w:header="0" w:footer="3" w:gutter="0"/>
          <w:cols w:space="720"/>
          <w:noEndnote/>
          <w:rtlGutter w:val="0"/>
          <w:docGrid w:linePitch="360"/>
        </w:sectPr>
      </w:pPr>
      <w:r>
        <w:rPr>
          <w:color w:val="000000"/>
          <w:spacing w:val="0"/>
          <w:w w:val="100"/>
          <w:position w:val="0"/>
        </w:rPr>
        <w:t>不适用。</w:t>
      </w:r>
    </w:p>
    <w:p>
      <w:pPr>
        <w:pStyle w:val="Style9"/>
        <w:keepNext/>
        <w:keepLines/>
        <w:widowControl w:val="0"/>
        <w:shd w:val="clear" w:color="auto" w:fill="auto"/>
        <w:bidi w:val="0"/>
        <w:spacing w:before="520" w:line="240" w:lineRule="auto"/>
        <w:ind w:left="0" w:right="0" w:firstLine="0"/>
        <w:jc w:val="center"/>
      </w:pPr>
      <w:bookmarkStart w:id="440" w:name="bookmark440"/>
      <w:bookmarkStart w:id="441" w:name="bookmark441"/>
      <w:bookmarkStart w:id="442" w:name="bookmark442"/>
      <w:r>
        <w:rPr>
          <w:color w:val="000000"/>
          <w:spacing w:val="0"/>
          <w:w w:val="100"/>
          <w:position w:val="0"/>
        </w:rPr>
        <w:t>第六节重要事项</w:t>
      </w:r>
      <w:bookmarkEnd w:id="440"/>
      <w:bookmarkEnd w:id="441"/>
      <w:bookmarkEnd w:id="442"/>
    </w:p>
    <w:p>
      <w:pPr>
        <w:pStyle w:val="Style25"/>
        <w:keepNext/>
        <w:keepLines/>
        <w:widowControl w:val="0"/>
        <w:shd w:val="clear" w:color="auto" w:fill="auto"/>
        <w:bidi w:val="0"/>
        <w:spacing w:before="0" w:after="380" w:line="240" w:lineRule="auto"/>
        <w:ind w:left="0" w:right="0" w:firstLine="0"/>
        <w:jc w:val="left"/>
      </w:pPr>
      <w:bookmarkStart w:id="443" w:name="bookmark443"/>
      <w:bookmarkStart w:id="444" w:name="bookmark444"/>
      <w:bookmarkStart w:id="445" w:name="bookmark445"/>
      <w:bookmarkStart w:id="446" w:name="bookmark446"/>
      <w:bookmarkStart w:id="447" w:name="bookmark447"/>
      <w:r>
        <w:rPr>
          <w:color w:val="000000"/>
          <w:spacing w:val="0"/>
          <w:w w:val="100"/>
          <w:position w:val="0"/>
        </w:rPr>
        <w:t>一</w:t>
      </w:r>
      <w:bookmarkEnd w:id="446"/>
      <w:r>
        <w:rPr>
          <w:color w:val="000000"/>
          <w:spacing w:val="0"/>
          <w:w w:val="100"/>
          <w:position w:val="0"/>
        </w:rPr>
        <w:t>、承诺事项履行情况</w:t>
      </w:r>
      <w:bookmarkEnd w:id="444"/>
      <w:bookmarkEnd w:id="445"/>
      <w:bookmarkEnd w:id="447"/>
      <w:bookmarkEnd w:id="443"/>
    </w:p>
    <w:p>
      <w:pPr>
        <w:pStyle w:val="Style28"/>
        <w:keepNext/>
        <w:keepLines/>
        <w:widowControl w:val="0"/>
        <w:shd w:val="clear" w:color="auto" w:fill="auto"/>
        <w:bidi w:val="0"/>
        <w:spacing w:before="0" w:after="4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1</w:t>
      </w:r>
      <w:bookmarkEnd w:id="450"/>
      <w:r>
        <w:rPr>
          <w:color w:val="000000"/>
          <w:spacing w:val="0"/>
          <w:w w:val="100"/>
          <w:position w:val="0"/>
        </w:rPr>
        <w:t>、公司实际控制人、股东、关联方、收购人以及公司等承诺相关方在报告期内履行完毕及截至报告期末尚未履行完毕的承诺事项</w:t>
      </w:r>
      <w:bookmarkEnd w:id="448"/>
      <w:bookmarkEnd w:id="449"/>
      <w:bookmarkEnd w:id="451"/>
      <w:r>
        <w:rPr>
          <w:color w:val="000000"/>
          <w:spacing w:val="0"/>
          <w:w w:val="100"/>
          <w:position w:val="0"/>
        </w:rPr>
        <w:t xml:space="preserve"> </w:t>
      </w:r>
      <w:r>
        <w:rPr>
          <w:rStyle w:val="CharStyle32"/>
          <w:rFonts w:ascii="Times New Roman" w:eastAsia="Times New Roman" w:hAnsi="Times New Roman" w:cs="Times New Roman"/>
          <w:b w:val="0"/>
          <w:bCs w:val="0"/>
        </w:rPr>
        <w:t>q</w:t>
      </w:r>
      <w:r>
        <w:rPr>
          <w:rStyle w:val="CharStyle32"/>
          <w:b w:val="0"/>
          <w:bCs w:val="0"/>
        </w:rPr>
        <w:t>适用</w:t>
      </w:r>
      <w:r>
        <w:rPr>
          <w:rStyle w:val="CharStyle32"/>
          <w:b w:val="0"/>
          <w:bCs w:val="0"/>
        </w:rPr>
        <w:t>口</w:t>
      </w:r>
      <w:r>
        <w:rPr>
          <w:rStyle w:val="CharStyle32"/>
          <w:b w:val="0"/>
          <w:bCs w:val="0"/>
        </w:rPr>
        <w:t>不适用</w:t>
      </w:r>
    </w:p>
    <w:tbl>
      <w:tblPr>
        <w:tblOverlap w:val="never"/>
        <w:jc w:val="center"/>
        <w:tblLayout w:type="fixed"/>
      </w:tblPr>
      <w:tblGrid>
        <w:gridCol w:w="1738"/>
        <w:gridCol w:w="2266"/>
        <w:gridCol w:w="1560"/>
        <w:gridCol w:w="4963"/>
        <w:gridCol w:w="1128"/>
        <w:gridCol w:w="1282"/>
        <w:gridCol w:w="10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61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 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林明玲、马学沛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股份限售承诺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571" w:val="left"/>
              </w:tabs>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自发行人的股票在证券交易所上市之日起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个月内（“锁 定期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），不转让或者委托他人管理本人直接或间接持有的发行 人公开发行股票前已发行的股份，也不由发行人回购本人直接 或间接持有的发行人公开发行股票前已发行的股份。</w:t>
            </w:r>
          </w:p>
          <w:p>
            <w:pPr>
              <w:pStyle w:val="Style2"/>
              <w:keepNext w:val="0"/>
              <w:keepLines w:val="0"/>
              <w:widowControl w:val="0"/>
              <w:shd w:val="clear" w:color="auto" w:fill="auto"/>
              <w:tabs>
                <w:tab w:pos="619" w:val="left"/>
              </w:tabs>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上述锁定期满后，本人在担任发行人董事、监事或者高 级管理人员期间每年转让的发行人股份不超过本人所持有发行 人股份总数的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，且在本人离职后半年内不转让持有的发行 人股份。本人在任期届满前离职的，在本人就任时确定的任期 内和任期届满后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个月内，仍应遵守前述规定。</w:t>
            </w:r>
          </w:p>
          <w:p>
            <w:pPr>
              <w:pStyle w:val="Style2"/>
              <w:keepNext w:val="0"/>
              <w:keepLines w:val="0"/>
              <w:widowControl w:val="0"/>
              <w:shd w:val="clear" w:color="auto" w:fill="auto"/>
              <w:tabs>
                <w:tab w:pos="638" w:val="left"/>
              </w:tabs>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 盘价均低于发行价，或者上市后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个月期末收盘价低于发行价， 本人持有公司股票的锁定期限自动延长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个月。若公司股票在 期间发生派息、送股、资本公积金转增股本等除权除息事项的， 发行价将进行相应除权除息调整。</w:t>
            </w:r>
          </w:p>
          <w:p>
            <w:pPr>
              <w:pStyle w:val="Style2"/>
              <w:keepNext w:val="0"/>
              <w:keepLines w:val="0"/>
              <w:widowControl w:val="0"/>
              <w:shd w:val="clear" w:color="auto" w:fill="auto"/>
              <w:tabs>
                <w:tab w:pos="610" w:val="left"/>
              </w:tabs>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若本人违反股份锁定承诺而获得股份转让收益的，转让 收益无偿划归发行人所有；在转让收益全部缴付发行人前，如 发行人进行现金分红的，可直接从本人应得现金分红中扣除尚 未缴付的收益金额；转让收益全部缴付发行人前，不得转让直 接或间接持有的发行人股份。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738"/>
        <w:gridCol w:w="2266"/>
        <w:gridCol w:w="1560"/>
        <w:gridCol w:w="4963"/>
        <w:gridCol w:w="1128"/>
        <w:gridCol w:w="1282"/>
        <w:gridCol w:w="1094"/>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67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、上述承诺一经作出即对本人具有法律拘束力；本人不 因在公司职务变更、离职等原因，而放弃履行承诺。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9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广州奥邦投资咨询有限公 司、汕头市励志投资管理合 伙企业（有限合伙）、深圳市 乐成信息咨询管理企业（有 限合伙）、西藏思科瑞股权投 资中心（有限合伙）、宁波梅 山保税港区信度投资中心 （有限合伙）、共青城东兴博 元投资中心（有限合伙）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571" w:val="left"/>
              </w:tabs>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自发行人的股票在证券交易所上市之日起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个月内（“锁 定期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），不转让或者委托他人管理本单位直接或间接持有的发 行人公开发行股票前已发行的股份，也不由发行人回购本单位 直接或间接持有的发行人公开发行股票前已发行的股份。</w:t>
            </w:r>
          </w:p>
          <w:p>
            <w:pPr>
              <w:pStyle w:val="Style2"/>
              <w:keepNext w:val="0"/>
              <w:keepLines w:val="0"/>
              <w:widowControl w:val="0"/>
              <w:shd w:val="clear" w:color="auto" w:fill="auto"/>
              <w:tabs>
                <w:tab w:pos="610" w:val="left"/>
              </w:tabs>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若本单位违反股份锁定承诺而获得股份转让收益的，转 让收益无偿划归发行人所有；在转让收益全部缴付发行人前， 如发行人进行现金分红的，可直接从本单位应得现金分红中扣 除尚未缴付的收益金额；转让收益全部缴付发行人前，不得转 让直接或间接持有的发行人股份。</w:t>
            </w:r>
          </w:p>
          <w:p>
            <w:pPr>
              <w:pStyle w:val="Style2"/>
              <w:keepNext w:val="0"/>
              <w:keepLines w:val="0"/>
              <w:widowControl w:val="0"/>
              <w:shd w:val="clear" w:color="auto" w:fill="auto"/>
              <w:tabs>
                <w:tab w:pos="625" w:val="left"/>
              </w:tabs>
              <w:bidi w:val="0"/>
              <w:spacing w:before="0" w:after="0" w:line="316"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上述承诺一经作出即对本单位具有法律拘束力。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356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广东天亿马信息产业股份有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分红承诺</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581" w:val="left"/>
              </w:tabs>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在符合现金分红的条件且本公司未来十二个月内无重大 投资计划或重大资金支出发生的情况下，本公司及合并报表范 围内的子公司每年累计分红比例将不低于本公司合并报表当年 实现的归属于母公司可分配净利润的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。本公司每年将根据 公司财务状况统筹制定分红方案，从而确保本公司分红政策切 实实施。</w:t>
            </w:r>
          </w:p>
          <w:p>
            <w:pPr>
              <w:pStyle w:val="Style2"/>
              <w:keepNext w:val="0"/>
              <w:keepLines w:val="0"/>
              <w:widowControl w:val="0"/>
              <w:shd w:val="clear" w:color="auto" w:fill="auto"/>
              <w:tabs>
                <w:tab w:pos="629" w:val="left"/>
              </w:tabs>
              <w:bidi w:val="0"/>
              <w:spacing w:before="0" w:after="0" w:line="311"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本公司将积极履行利润分配政策，若违反前述承诺，将 及时公告违反的事实及理由，除因不可抗力或其他非归属于本 公司的原因外，将向本公司股东和社会公众投资者道歉，同时 向投资者提出补充承诺或替代承诺，以尽可能保护投资者的利 益，并在本公司股东大会审议通过后实施补充承诺或替代承诺。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6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广州奥邦投资咨询有限公 司、汕头市励志投资管理合 伙企业（有限合伙）、深圳市 乐成信息咨询管理企业（有 限合伙）、西藏思科瑞股权投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关于同业竞争、关 联关系、资金占用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、本单位将严格遵守相关法律法规及内部规章制度，不以 任何方式占用或使用公司的资产和资源，不以任何方式从事损 害或可能损害公司及其他股东利益的行为。如出现违反上述承 诺与保证，而导致公司或其股东的权益受到损害，将依法承担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持有公司股票 期间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738"/>
        <w:gridCol w:w="2266"/>
        <w:gridCol w:w="1560"/>
        <w:gridCol w:w="4963"/>
        <w:gridCol w:w="1128"/>
        <w:gridCol w:w="1282"/>
        <w:gridCol w:w="1094"/>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25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资中心（有限合伙）、宁波梅 山保税港区信度投资中心 （有限合伙）、共青城东兴博 元投资中心（有限合伙）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相应的赔偿责任。</w:t>
            </w:r>
          </w:p>
          <w:p>
            <w:pPr>
              <w:pStyle w:val="Style2"/>
              <w:keepNext w:val="0"/>
              <w:keepLines w:val="0"/>
              <w:widowControl w:val="0"/>
              <w:shd w:val="clear" w:color="auto" w:fill="auto"/>
              <w:tabs>
                <w:tab w:pos="605" w:val="left"/>
              </w:tabs>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在作为公司股东期间，本单位将尽量避免与公司发生关 联交易；如与公司发生不可避免的关联交易，本单位将严格按 照有关法律、法规、规范性文件及公司章程的规定规范关联交 易行为，遵循等价、有偿、公平交易的原则，并按有关规定履 行信息披露义务和办理有关报批程序，保证关联交易的公允性， 保证不通过关联交易损害公司及其股东的合法权益。</w:t>
            </w:r>
          </w:p>
          <w:p>
            <w:pPr>
              <w:pStyle w:val="Style2"/>
              <w:keepNext w:val="0"/>
              <w:keepLines w:val="0"/>
              <w:widowControl w:val="0"/>
              <w:shd w:val="clear" w:color="auto" w:fill="auto"/>
              <w:tabs>
                <w:tab w:pos="590" w:val="left"/>
              </w:tabs>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本单位有关关联交易的承诺将同样适用于本单位控制的 其他企业，本单位将在合法权限内促成控制的企业履行上述有 关关联交易承诺。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林明玲、马学沛、高俊斌、 李华青、毛晓玲、黄素芳、 刘培璇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关于同业竞争、关 联关系、资金占用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614" w:val="left"/>
              </w:tabs>
              <w:bidi w:val="0"/>
              <w:spacing w:before="0" w:after="40" w:line="313"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本人将严格遵守相关法律法规及内部规章制度，不以任 何方式占用或使用公司的资产和资源，不以任何方式从事损害 或可能损害公司及股东利益的行为。如出现违反上述承诺与保 证，而导致公司或其股东的权益受到损害，将依法承担相应的 赔偿责任。</w:t>
            </w:r>
          </w:p>
          <w:p>
            <w:pPr>
              <w:pStyle w:val="Style2"/>
              <w:keepNext w:val="0"/>
              <w:keepLines w:val="0"/>
              <w:widowControl w:val="0"/>
              <w:shd w:val="clear" w:color="auto" w:fill="auto"/>
              <w:tabs>
                <w:tab w:pos="614" w:val="left"/>
              </w:tabs>
              <w:bidi w:val="0"/>
              <w:spacing w:before="0" w:after="40" w:line="314"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在作为公司董事、监事或高级管理人员期间，本人将尽 量避免与公司发生关联交易；如与公司发生不可避免的关联交 易，本人将严格按照有关法律、法规、规范性文件及公司章程 的规定规范关联交易行为，遵循等价、有偿、公平交易的原则， 并按有关规定履行信息披露义务和办理有关报批程序，保证关 联交易的公允性，保证不通过关联交易损害公司及其股东的合 法权益。</w:t>
            </w:r>
          </w:p>
          <w:p>
            <w:pPr>
              <w:pStyle w:val="Style2"/>
              <w:keepNext w:val="0"/>
              <w:keepLines w:val="0"/>
              <w:widowControl w:val="0"/>
              <w:shd w:val="clear" w:color="auto" w:fill="auto"/>
              <w:tabs>
                <w:tab w:pos="590" w:val="left"/>
              </w:tabs>
              <w:bidi w:val="0"/>
              <w:spacing w:before="0" w:after="40" w:line="313"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 xml:space="preserve">本人有关关联交易的承诺将同样适用于本人控制的其他 企业，本人将在合法权限内促成控制的企业履行上述有关关联 交易承诺。如本人违反上述承诺，公司有权责令本人在限期内 履行规范和减少关联交易的承诺；经责令仍未履行的，公司有 权从本人应当取得的工资、津贴等全部薪酬收入扣减不超过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的金额，直接用于消除关联交易对公司造成的不利影响。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作为公司董事、 监事或高级管 理人员期间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738"/>
        <w:gridCol w:w="2266"/>
        <w:gridCol w:w="1560"/>
        <w:gridCol w:w="4963"/>
        <w:gridCol w:w="1128"/>
        <w:gridCol w:w="1282"/>
        <w:gridCol w:w="1094"/>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578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陈曼秋、李业、姚明安、刘 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关于同业竞争、关 联关系、资金占用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本人将严格遵守相关法律法规及内部规章制度，不以任 何方式占用或使用公司的资产和资源，不以任何方式从事损害 或可能损害公司及股东利益的行为。如出现违反上述承诺与保 证，而导致公司或其股东的权益受到损害，将依法承担相应的 赔偿责任。</w:t>
            </w:r>
          </w:p>
          <w:p>
            <w:pPr>
              <w:pStyle w:val="Style2"/>
              <w:keepNext w:val="0"/>
              <w:keepLines w:val="0"/>
              <w:widowControl w:val="0"/>
              <w:shd w:val="clear" w:color="auto" w:fill="auto"/>
              <w:bidi w:val="0"/>
              <w:spacing w:before="0" w:after="40" w:line="314"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在作为公司董事、监事或高级管理人员期间，本人将尽 量避免与公司发生关联交易；如与公司发生不可避免的关联交 易，本人将严格按照有关法律、法规、规范性文件及公司章程 的规定规范关联交易行为，遵循等价、有偿、公平交易的原则， 并按有关规定履行信息披露义务和办理有关报批程序，保证关 联交易的公允性，保证不通过关联交易损害公司及其股东的合 法权益。</w:t>
            </w:r>
          </w:p>
          <w:p>
            <w:pPr>
              <w:pStyle w:val="Style2"/>
              <w:keepNext w:val="0"/>
              <w:keepLines w:val="0"/>
              <w:widowControl w:val="0"/>
              <w:shd w:val="clear" w:color="auto" w:fill="auto"/>
              <w:tabs>
                <w:tab w:pos="590" w:val="left"/>
              </w:tabs>
              <w:bidi w:val="0"/>
              <w:spacing w:before="0" w:after="40" w:line="314"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 xml:space="preserve">本人有关关联交易的承诺将同样适用于本人控制的其他 企业，本人将在合法权限内促成控制的企业履行上述有关关联 交易承诺。如本人违反上述承诺，公司有权责令本人在限期内 履行规范和减少关联交易的承诺；经责令仍未履行的，公司有 权从本人应当取得的工资、津贴等全部薪酬收入扣减不超过 </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的金额，直接用于消除关联交易对公司造成的不利影响。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作为公司董事 期间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326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林明玲、马学沛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关于同业竞争、关 联关系、资金占用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310" w:lineRule="exact"/>
              <w:ind w:left="0" w:right="0" w:firstLine="380"/>
              <w:jc w:val="both"/>
              <w:rPr>
                <w:sz w:val="18"/>
                <w:szCs w:val="18"/>
              </w:rPr>
            </w:pPr>
            <w:r>
              <w:rPr>
                <w:color w:val="000000"/>
                <w:spacing w:val="0"/>
                <w:w w:val="100"/>
                <w:position w:val="0"/>
                <w:sz w:val="17"/>
                <w:szCs w:val="17"/>
              </w:rPr>
              <w:t>作为广东天亿马信息产业股份有限公司（以下简称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 的控股股东、实际控制人，现就规范和减少关联交易事项向公 司作出如下确认与承诺</w:t>
            </w:r>
            <w:r>
              <w:rPr>
                <w:color w:val="000000"/>
                <w:spacing w:val="0"/>
                <w:w w:val="100"/>
                <w:position w:val="0"/>
                <w:sz w:val="18"/>
                <w:szCs w:val="18"/>
              </w:rPr>
              <w:t>：</w:t>
            </w:r>
          </w:p>
          <w:p>
            <w:pPr>
              <w:pStyle w:val="Style2"/>
              <w:keepNext w:val="0"/>
              <w:keepLines w:val="0"/>
              <w:widowControl w:val="0"/>
              <w:shd w:val="clear" w:color="auto" w:fill="auto"/>
              <w:tabs>
                <w:tab w:pos="614" w:val="left"/>
              </w:tabs>
              <w:bidi w:val="0"/>
              <w:spacing w:before="0" w:after="40" w:line="316"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本人将严格遵守相关法律法规及内部规章制度，不以任 何方式占用或使用公司的资产和资源，不以任何方式从事损害 或可能损害公司及其他股东利益的行为。如出现违反上述承诺 与保证，而导致公司或其股东的权益受到损害，将依法承担相 应的赔偿责任。</w:t>
            </w:r>
          </w:p>
          <w:p>
            <w:pPr>
              <w:pStyle w:val="Style2"/>
              <w:keepNext w:val="0"/>
              <w:keepLines w:val="0"/>
              <w:widowControl w:val="0"/>
              <w:shd w:val="clear" w:color="auto" w:fill="auto"/>
              <w:tabs>
                <w:tab w:pos="610" w:val="left"/>
              </w:tabs>
              <w:bidi w:val="0"/>
              <w:spacing w:before="0" w:after="40" w:line="31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在作为控股股东、实际控制人期间，本人将尽量避免与 公司发生关联交易；如与公司发生不可避免的关联交易，本人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作为控股股东、 实际控制人期 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738"/>
        <w:gridCol w:w="2266"/>
        <w:gridCol w:w="1560"/>
        <w:gridCol w:w="4963"/>
        <w:gridCol w:w="1128"/>
        <w:gridCol w:w="1282"/>
        <w:gridCol w:w="1094"/>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352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将严格按照有关法律、法规、规范性文件及公司章程的规定规 范关联交易行为，遵循等价、有偿、公平交易的原则，并按有 关规定履行信息披露义务和办理有关报批程序，保证关联交易 的公允性，保证不通过关联交易损害公司及其股东的合法权益。</w:t>
            </w:r>
          </w:p>
          <w:p>
            <w:pPr>
              <w:pStyle w:val="Style2"/>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、本人有关关联交易的承诺将同样适用于本人控制的其他 企业，本人将在合法权限内促成控制的企业履行上述有关关联 交易承诺。如本人违反上述承诺，在采取措施规范或减少关联 交易前，公司进行现金分红的，有权暂扣归属于本人的现金分 红，直至本人履行承诺并实施完毕；在履行相应承诺、采取补 救措施并实施完毕之前，不得转让本人直接或间接持有的公司 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4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广东天亿马信息产业股份有 限公司；马学沛、林明玲、</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陈曼秋、高俊斌、李华青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稳定股价承诺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380"/>
              <w:jc w:val="both"/>
            </w:pPr>
            <w:r>
              <w:rPr>
                <w:color w:val="000000"/>
                <w:spacing w:val="0"/>
                <w:w w:val="100"/>
                <w:position w:val="0"/>
              </w:rPr>
              <w:t>为保护投资者利益，增强投资者信心，保证公司持续、稳 定发展，就公司首次公开发行股票并上市后三年内稳定公司股 价事宜，公司及公司的控股股东、实际控制人、董事（独立董 事及不在公司领取薪酬的董事除外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、高级管理人员郑重承诺：</w:t>
            </w:r>
          </w:p>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一、启动股价稳定预案的具体条件</w:t>
            </w:r>
          </w:p>
          <w:p>
            <w:pPr>
              <w:pStyle w:val="Style2"/>
              <w:keepNext w:val="0"/>
              <w:keepLines w:val="0"/>
              <w:widowControl w:val="0"/>
              <w:shd w:val="clear" w:color="auto" w:fill="auto"/>
              <w:bidi w:val="0"/>
              <w:spacing w:before="0" w:after="0" w:line="312" w:lineRule="exact"/>
              <w:ind w:left="0" w:right="0" w:firstLine="380"/>
              <w:jc w:val="both"/>
              <w:rPr>
                <w:sz w:val="18"/>
                <w:szCs w:val="18"/>
              </w:rPr>
            </w:pPr>
            <w:r>
              <w:rPr>
                <w:color w:val="000000"/>
                <w:spacing w:val="0"/>
                <w:w w:val="100"/>
                <w:position w:val="0"/>
                <w:sz w:val="17"/>
                <w:szCs w:val="17"/>
              </w:rPr>
              <w:t>（一）启动条件</w:t>
            </w:r>
            <w:r>
              <w:rPr>
                <w:color w:val="000000"/>
                <w:spacing w:val="0"/>
                <w:w w:val="100"/>
                <w:position w:val="0"/>
                <w:sz w:val="18"/>
                <w:szCs w:val="18"/>
              </w:rPr>
              <w:t>：</w:t>
            </w:r>
          </w:p>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自公司首次公开发行股票并在证券交易所上市之日起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 月内，当出现公司股票连续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个交易日的收盘价均低于每股净 资产（以上一年度经审计的合并资产负债表中归属于母公司的 所有者权益为准，若审计基准日后，因利润分配、资本公积金 转增股本、增发、配股等导致公司净资产或股份总数发生变化 的，每股净资产将进行相应调整，下同）的情形时，公司董事 会应当在十个交易日内制定或要求公司、控股股东、实际控制 人以及董事、高级管理人员提出稳定股价的具体方案（方案内 容应包括但不限于拟回购或增持公司股份的种类、数量区间、 价格区间、实施期限等内容），并在履行相关内部决策程序和外 部审批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备案程序（如需）后实施，且按上市公司信息披露要求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738"/>
        <w:gridCol w:w="2266"/>
        <w:gridCol w:w="1560"/>
        <w:gridCol w:w="4963"/>
        <w:gridCol w:w="1128"/>
        <w:gridCol w:w="1282"/>
        <w:gridCol w:w="1094"/>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896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予以公告。</w:t>
            </w:r>
          </w:p>
          <w:p>
            <w:pPr>
              <w:pStyle w:val="Style2"/>
              <w:keepNext w:val="0"/>
              <w:keepLines w:val="0"/>
              <w:widowControl w:val="0"/>
              <w:shd w:val="clear" w:color="auto" w:fill="auto"/>
              <w:bidi w:val="0"/>
              <w:spacing w:before="0" w:after="0" w:line="319" w:lineRule="exact"/>
              <w:ind w:left="0" w:right="0" w:firstLine="380"/>
              <w:jc w:val="both"/>
              <w:rPr>
                <w:sz w:val="18"/>
                <w:szCs w:val="18"/>
              </w:rPr>
            </w:pPr>
            <w:r>
              <w:rPr>
                <w:color w:val="000000"/>
                <w:spacing w:val="0"/>
                <w:w w:val="100"/>
                <w:position w:val="0"/>
                <w:sz w:val="17"/>
                <w:szCs w:val="17"/>
              </w:rPr>
              <w:t>（二）停止条件</w:t>
            </w:r>
            <w:r>
              <w:rPr>
                <w:color w:val="000000"/>
                <w:spacing w:val="0"/>
                <w:w w:val="100"/>
                <w:position w:val="0"/>
                <w:sz w:val="18"/>
                <w:szCs w:val="18"/>
              </w:rPr>
              <w:t>：</w:t>
            </w:r>
          </w:p>
          <w:p>
            <w:pPr>
              <w:pStyle w:val="Style2"/>
              <w:keepNext w:val="0"/>
              <w:keepLines w:val="0"/>
              <w:widowControl w:val="0"/>
              <w:shd w:val="clear" w:color="auto" w:fill="auto"/>
              <w:tabs>
                <w:tab w:pos="614" w:val="left"/>
              </w:tabs>
              <w:bidi w:val="0"/>
              <w:spacing w:before="0" w:after="0" w:line="321"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在上述第（一）项启动条件规定的稳定股价具体方案尚 未正式实施前，如公司股票连续五个交易日收盘价均高于每股 净资产时，将停止实施股价稳定措施。</w:t>
            </w:r>
          </w:p>
          <w:p>
            <w:pPr>
              <w:pStyle w:val="Style2"/>
              <w:keepNext w:val="0"/>
              <w:keepLines w:val="0"/>
              <w:widowControl w:val="0"/>
              <w:shd w:val="clear" w:color="auto" w:fill="auto"/>
              <w:tabs>
                <w:tab w:pos="610" w:val="left"/>
              </w:tabs>
              <w:bidi w:val="0"/>
              <w:spacing w:before="0" w:after="0" w:line="321"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在上述第（一）项启动条件规定的稳定股价具体方案的 实施期间内，如公司股票连续五个交易日收盘价均高于每股净 资产时，将停止实施股价稳定措施。</w:t>
            </w:r>
          </w:p>
          <w:p>
            <w:pPr>
              <w:pStyle w:val="Style2"/>
              <w:keepNext w:val="0"/>
              <w:keepLines w:val="0"/>
              <w:widowControl w:val="0"/>
              <w:shd w:val="clear" w:color="auto" w:fill="auto"/>
              <w:tabs>
                <w:tab w:pos="581" w:val="left"/>
              </w:tabs>
              <w:bidi w:val="0"/>
              <w:spacing w:before="0" w:after="0" w:line="321"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继续回购或增持公司股份将导致公司股权分布不符合上 市条件。</w:t>
            </w:r>
          </w:p>
          <w:p>
            <w:pPr>
              <w:pStyle w:val="Style2"/>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二、稳定股价具体措施的实施顺序及方式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当上述启动股价 稳定措施的条件成就时，公司、控股股东、实际控制人、公司 董事和高级管理人员将及时采取以下一项或多项措施稳定公司 股价：</w:t>
            </w:r>
          </w:p>
          <w:p>
            <w:pPr>
              <w:pStyle w:val="Style2"/>
              <w:keepNext w:val="0"/>
              <w:keepLines w:val="0"/>
              <w:widowControl w:val="0"/>
              <w:shd w:val="clear" w:color="auto" w:fill="auto"/>
              <w:tabs>
                <w:tab w:pos="649" w:val="left"/>
              </w:tabs>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公司回购股份；</w:t>
            </w:r>
          </w:p>
          <w:p>
            <w:pPr>
              <w:pStyle w:val="Style2"/>
              <w:keepNext w:val="0"/>
              <w:keepLines w:val="0"/>
              <w:widowControl w:val="0"/>
              <w:shd w:val="clear" w:color="auto" w:fill="auto"/>
              <w:tabs>
                <w:tab w:pos="663" w:val="left"/>
              </w:tabs>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控股股东、实际控制人增持股份；</w:t>
            </w:r>
          </w:p>
          <w:p>
            <w:pPr>
              <w:pStyle w:val="Style2"/>
              <w:keepNext w:val="0"/>
              <w:keepLines w:val="0"/>
              <w:widowControl w:val="0"/>
              <w:shd w:val="clear" w:color="auto" w:fill="auto"/>
              <w:tabs>
                <w:tab w:pos="654" w:val="left"/>
              </w:tabs>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董事、高级管理人员增持股份；</w:t>
            </w:r>
          </w:p>
          <w:p>
            <w:pPr>
              <w:pStyle w:val="Style2"/>
              <w:keepNext w:val="0"/>
              <w:keepLines w:val="0"/>
              <w:widowControl w:val="0"/>
              <w:shd w:val="clear" w:color="auto" w:fill="auto"/>
              <w:tabs>
                <w:tab w:pos="663" w:val="left"/>
              </w:tabs>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其他证券监管部门认可的方式。</w:t>
            </w:r>
          </w:p>
          <w:p>
            <w:pPr>
              <w:pStyle w:val="Style2"/>
              <w:keepNext w:val="0"/>
              <w:keepLines w:val="0"/>
              <w:widowControl w:val="0"/>
              <w:shd w:val="clear" w:color="auto" w:fill="auto"/>
              <w:bidi w:val="0"/>
              <w:spacing w:before="0" w:after="0" w:line="319" w:lineRule="exact"/>
              <w:ind w:left="0" w:right="0" w:firstLine="380"/>
              <w:jc w:val="both"/>
            </w:pPr>
            <w:r>
              <w:rPr>
                <w:color w:val="000000"/>
                <w:spacing w:val="0"/>
                <w:w w:val="100"/>
                <w:position w:val="0"/>
              </w:rPr>
              <w:t>（一）第一顺序为公司回购股票</w:t>
            </w:r>
          </w:p>
          <w:p>
            <w:pPr>
              <w:pStyle w:val="Style2"/>
              <w:keepNext w:val="0"/>
              <w:keepLines w:val="0"/>
              <w:widowControl w:val="0"/>
              <w:shd w:val="clear" w:color="auto" w:fill="auto"/>
              <w:tabs>
                <w:tab w:pos="629" w:val="left"/>
              </w:tabs>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公司为稳定股价之目的回购股份，应符合《上市公司回 购社会公众股份管理办法（试行）》《关于上市公司以集中竞价 交易方式回购股份的补充规定》及《关于支持上市公司回购股 份的意见》等相关法律、法规的规定。</w:t>
            </w:r>
          </w:p>
          <w:p>
            <w:pPr>
              <w:pStyle w:val="Style2"/>
              <w:keepNext w:val="0"/>
              <w:keepLines w:val="0"/>
              <w:widowControl w:val="0"/>
              <w:shd w:val="clear" w:color="auto" w:fill="auto"/>
              <w:tabs>
                <w:tab w:pos="571" w:val="left"/>
              </w:tabs>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公司董事承诺，在公司就回购股份事宜召开的董事会上， 对公司承诺的回购股份方案的相关决议投赞成票。</w:t>
            </w:r>
          </w:p>
          <w:p>
            <w:pPr>
              <w:pStyle w:val="Style2"/>
              <w:keepNext w:val="0"/>
              <w:keepLines w:val="0"/>
              <w:widowControl w:val="0"/>
              <w:shd w:val="clear" w:color="auto" w:fill="auto"/>
              <w:tabs>
                <w:tab w:pos="610" w:val="left"/>
              </w:tabs>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公司股东大会对回购股份做出决议，须经出席会议的股 东所持表决权的三分之二以上通过。公司控股股东、实际控制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38"/>
        <w:gridCol w:w="2266"/>
        <w:gridCol w:w="1560"/>
        <w:gridCol w:w="4963"/>
        <w:gridCol w:w="1128"/>
        <w:gridCol w:w="1282"/>
        <w:gridCol w:w="1094"/>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907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人承诺，在公司就回购股份事宜召开的股东大会上，对公司承 诺的回购股份方案的相关决议投赞成票。</w:t>
            </w:r>
          </w:p>
          <w:p>
            <w:pPr>
              <w:pStyle w:val="Style2"/>
              <w:keepNext w:val="0"/>
              <w:keepLines w:val="0"/>
              <w:widowControl w:val="0"/>
              <w:shd w:val="clear" w:color="auto" w:fill="auto"/>
              <w:tabs>
                <w:tab w:pos="605" w:val="left"/>
              </w:tabs>
              <w:bidi w:val="0"/>
              <w:spacing w:before="0" w:after="0" w:line="315" w:lineRule="exact"/>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在股东大会审议通过股份回购方案后，公司应依法通知 债权人，向证券监督管理部门、证券交易所等主管部门报送相 关材料，办理审批或备案手续。在完成必需的审批、备案、信 息披露等程序后，公司方可实施相应的股份回购方案。</w:t>
            </w:r>
          </w:p>
          <w:p>
            <w:pPr>
              <w:pStyle w:val="Style2"/>
              <w:keepNext w:val="0"/>
              <w:keepLines w:val="0"/>
              <w:widowControl w:val="0"/>
              <w:shd w:val="clear" w:color="auto" w:fill="auto"/>
              <w:tabs>
                <w:tab w:pos="619" w:val="left"/>
              </w:tabs>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公司为稳定股价之目的进行股份回购的，除应符合相关 法律法规之要求外，还应符合下列各项：（</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）公司用于回购股 份的资金总额累计不超过公司首次公开发行人民币普通股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股）所募集资金的总额；（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）公司单次用于回购股份的资金不 低于</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）公司单次回购股份数额不超过总股 本的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；如上述第（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）项与本项冲突的，按照本项执行。</w:t>
            </w:r>
          </w:p>
          <w:p>
            <w:pPr>
              <w:pStyle w:val="Style2"/>
              <w:keepNext w:val="0"/>
              <w:keepLines w:val="0"/>
              <w:widowControl w:val="0"/>
              <w:shd w:val="clear" w:color="auto" w:fill="auto"/>
              <w:tabs>
                <w:tab w:pos="638" w:val="left"/>
              </w:tabs>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自稳定股价方案公告之日起三个月内，公司将通过交易 所集中竞价交易方式、要约方式或证券监督管理部门认可的其 他方式回购公司股票。</w:t>
            </w:r>
          </w:p>
          <w:p>
            <w:pPr>
              <w:pStyle w:val="Style2"/>
              <w:keepNext w:val="0"/>
              <w:keepLines w:val="0"/>
              <w:widowControl w:val="0"/>
              <w:shd w:val="clear" w:color="auto" w:fill="auto"/>
              <w:tabs>
                <w:tab w:pos="614" w:val="left"/>
              </w:tabs>
              <w:bidi w:val="0"/>
              <w:spacing w:before="0" w:after="0" w:line="319" w:lineRule="exact"/>
              <w:ind w:left="0" w:right="0" w:firstLine="38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公司董事会公告回购股份预案后，公司股票若连续五个 交易日收盘价超过每股净资产时，公司董事会可以作出决议终 止回购股份事宜。</w:t>
            </w:r>
          </w:p>
          <w:p>
            <w:pPr>
              <w:pStyle w:val="Style2"/>
              <w:keepNext w:val="0"/>
              <w:keepLines w:val="0"/>
              <w:widowControl w:val="0"/>
              <w:shd w:val="clear" w:color="auto" w:fill="auto"/>
              <w:bidi w:val="0"/>
              <w:spacing w:before="0" w:after="0" w:line="316" w:lineRule="exact"/>
              <w:ind w:left="0" w:right="0" w:firstLine="380"/>
              <w:jc w:val="left"/>
            </w:pPr>
            <w:r>
              <w:rPr>
                <w:color w:val="000000"/>
                <w:spacing w:val="0"/>
                <w:w w:val="100"/>
                <w:position w:val="0"/>
              </w:rPr>
              <w:t>（二）第二顺序为控股股东、实际控制人增持股票</w:t>
            </w:r>
          </w:p>
          <w:p>
            <w:pPr>
              <w:pStyle w:val="Style2"/>
              <w:keepNext w:val="0"/>
              <w:keepLines w:val="0"/>
              <w:widowControl w:val="0"/>
              <w:shd w:val="clear" w:color="auto" w:fill="auto"/>
              <w:tabs>
                <w:tab w:pos="610" w:val="left"/>
              </w:tabs>
              <w:bidi w:val="0"/>
              <w:spacing w:before="0" w:after="0" w:line="316"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在公司无法实施回购股票，或公司回购股票议案未获得 董事会或股东大会审议通过，或公司回购股票实施完毕后再次 触发稳定股价预案启动条件时，公司控股股东、实际控制人应 在符合《上市公司收购管理办法》等法律法规的条件和要求的 前提下，通过交易所集中竞价交易、大宗交易及其他合法方式 增持公司股票。</w:t>
            </w:r>
          </w:p>
          <w:p>
            <w:pPr>
              <w:pStyle w:val="Style2"/>
              <w:keepNext w:val="0"/>
              <w:keepLines w:val="0"/>
              <w:widowControl w:val="0"/>
              <w:shd w:val="clear" w:color="auto" w:fill="auto"/>
              <w:tabs>
                <w:tab w:pos="610" w:val="left"/>
              </w:tabs>
              <w:bidi w:val="0"/>
              <w:spacing w:before="0" w:after="140" w:line="31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控股股东、实际控制人自股价稳定方案公告之日起三个 月内以自有资金在二级市场增持公司股份。</w:t>
            </w:r>
          </w:p>
          <w:p>
            <w:pPr>
              <w:pStyle w:val="Style2"/>
              <w:keepNext w:val="0"/>
              <w:keepLines w:val="0"/>
              <w:widowControl w:val="0"/>
              <w:shd w:val="clear" w:color="auto" w:fill="auto"/>
              <w:tabs>
                <w:tab w:pos="630" w:val="left"/>
              </w:tabs>
              <w:bidi w:val="0"/>
              <w:spacing w:before="0" w:after="0" w:line="36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控股股东、实际控制人为稳定股价之目的进行股份增持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38"/>
        <w:gridCol w:w="2266"/>
        <w:gridCol w:w="1560"/>
        <w:gridCol w:w="4963"/>
        <w:gridCol w:w="1128"/>
        <w:gridCol w:w="1282"/>
        <w:gridCol w:w="1094"/>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907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的，控股股东、实际控制人承诺单次及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或连续十二个月增持公 司股份数额不超过公司总股本的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bidi w:val="0"/>
              <w:spacing w:before="0" w:after="0" w:line="315" w:lineRule="exact"/>
              <w:ind w:left="0" w:right="0" w:firstLine="380"/>
              <w:jc w:val="both"/>
            </w:pPr>
            <w:r>
              <w:rPr>
                <w:color w:val="000000"/>
                <w:spacing w:val="0"/>
                <w:w w:val="100"/>
                <w:position w:val="0"/>
              </w:rPr>
              <w:t>（三）第三顺序为董事、高级管理人员增持股票</w:t>
            </w:r>
          </w:p>
          <w:p>
            <w:pPr>
              <w:pStyle w:val="Style2"/>
              <w:keepNext w:val="0"/>
              <w:keepLines w:val="0"/>
              <w:widowControl w:val="0"/>
              <w:shd w:val="clear" w:color="auto" w:fill="auto"/>
              <w:tabs>
                <w:tab w:pos="610" w:val="left"/>
              </w:tabs>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控股股东、实际控制人未及时提出或实施增持公司股票 方案，或控股股东、实际控制人增持公司股票实施完毕后再次 触发稳定股价预案启动条件时，在公司任职并领取薪酬的公司 董事、高级管理人员应在符合《上市公司收购管理办法》及《上 市公司董事、监事和高级管理人员所持本公司股份及其变动管 理规则》等法律法规的条件和要求的前提下，通过交易所集中 竞价交易、大宗交易及其他合法方式增持公司股票。</w:t>
            </w:r>
          </w:p>
          <w:p>
            <w:pPr>
              <w:pStyle w:val="Style2"/>
              <w:keepNext w:val="0"/>
              <w:keepLines w:val="0"/>
              <w:widowControl w:val="0"/>
              <w:shd w:val="clear" w:color="auto" w:fill="auto"/>
              <w:tabs>
                <w:tab w:pos="614" w:val="left"/>
              </w:tabs>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公司董事、高级管理人员自股价稳定方案公告之日起三 个月内以自有资金在二级市场增持公司股份。</w:t>
            </w:r>
          </w:p>
          <w:p>
            <w:pPr>
              <w:pStyle w:val="Style2"/>
              <w:keepNext w:val="0"/>
              <w:keepLines w:val="0"/>
              <w:widowControl w:val="0"/>
              <w:shd w:val="clear" w:color="auto" w:fill="auto"/>
              <w:tabs>
                <w:tab w:pos="614" w:val="left"/>
              </w:tabs>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公司董事、高级管理人员用于增持公司股票的资金不少 于该等董事、高级管理人员最近一个会计年度自公司领取的薪 酬（税后）的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，但不超过最近一个会计年度从公司领取的 薪酬（税后）的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w:t>
            </w:r>
          </w:p>
          <w:p>
            <w:pPr>
              <w:pStyle w:val="Style2"/>
              <w:keepNext w:val="0"/>
              <w:keepLines w:val="0"/>
              <w:widowControl w:val="0"/>
              <w:shd w:val="clear" w:color="auto" w:fill="auto"/>
              <w:tabs>
                <w:tab w:pos="590" w:val="left"/>
              </w:tabs>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公司上市后三年内新聘任的在公司领取薪酬的董事和高 级管理人员将要求其签署承诺书，保证其履行公司本次发行上 市时董事、高级管理人员已做出本承诺的义务与责任。</w:t>
            </w:r>
          </w:p>
          <w:p>
            <w:pPr>
              <w:pStyle w:val="Style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三、未履行公司稳定股价措施的约束措施在启动股价稳定 措施的条件满足时，如公司、控股股东、实际控制人、董事、 高级管理人员未采取上述稳定股价的具体措施，公司、控股股 东、实际控制人、董事、高级管理人员承诺接受以下约束措施：</w:t>
            </w:r>
          </w:p>
          <w:p>
            <w:pPr>
              <w:pStyle w:val="Style2"/>
              <w:keepNext w:val="0"/>
              <w:keepLines w:val="0"/>
              <w:widowControl w:val="0"/>
              <w:shd w:val="clear" w:color="auto" w:fill="auto"/>
              <w:tabs>
                <w:tab w:pos="907" w:val="left"/>
              </w:tabs>
              <w:bidi w:val="0"/>
              <w:spacing w:before="0" w:after="0" w:line="317" w:lineRule="exact"/>
              <w:ind w:left="0" w:right="0" w:firstLine="380"/>
              <w:jc w:val="both"/>
            </w:pPr>
            <w:r>
              <w:rPr>
                <w:color w:val="000000"/>
                <w:spacing w:val="0"/>
                <w:w w:val="100"/>
                <w:position w:val="0"/>
              </w:rPr>
              <w:t>（一）</w:t>
              <w:tab/>
              <w:t>公司、控股股东、实际控制人、董事、高级管理人 员及时通过公司公告未能履行承诺的原因并向投资者作出公开 道歉。</w:t>
            </w:r>
          </w:p>
          <w:p>
            <w:pPr>
              <w:pStyle w:val="Style2"/>
              <w:keepNext w:val="0"/>
              <w:keepLines w:val="0"/>
              <w:widowControl w:val="0"/>
              <w:shd w:val="clear" w:color="auto" w:fill="auto"/>
              <w:tabs>
                <w:tab w:pos="902" w:val="left"/>
              </w:tabs>
              <w:bidi w:val="0"/>
              <w:spacing w:before="0" w:after="0" w:line="317" w:lineRule="exact"/>
              <w:ind w:left="0" w:right="0" w:firstLine="380"/>
              <w:jc w:val="both"/>
            </w:pPr>
            <w:r>
              <w:rPr>
                <w:color w:val="000000"/>
                <w:spacing w:val="0"/>
                <w:w w:val="100"/>
                <w:position w:val="0"/>
              </w:rPr>
              <w:t>（二）</w:t>
              <w:tab/>
              <w:t>如果公司未采取上述稳定股价的具体措施的，将在 前述事项发生之日起十个交易日内，暂停发放公司董事、监事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38"/>
        <w:gridCol w:w="2266"/>
        <w:gridCol w:w="1560"/>
        <w:gridCol w:w="4963"/>
        <w:gridCol w:w="1128"/>
        <w:gridCol w:w="1282"/>
        <w:gridCol w:w="1094"/>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543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和高级管理人员的薪酬、津贴，直至公司履行相关承诺；停止 制定或实施重大资产购买与出售、增发股份、发行公司债券等 资本运作事项，直至其按本承诺的规定采取相应的稳定股价措 施并实施完毕。</w:t>
            </w:r>
          </w:p>
          <w:p>
            <w:pPr>
              <w:pStyle w:val="Style2"/>
              <w:keepNext w:val="0"/>
              <w:keepLines w:val="0"/>
              <w:widowControl w:val="0"/>
              <w:shd w:val="clear" w:color="auto" w:fill="auto"/>
              <w:tabs>
                <w:tab w:pos="902" w:val="left"/>
              </w:tabs>
              <w:bidi w:val="0"/>
              <w:spacing w:before="0" w:after="0" w:line="313" w:lineRule="exact"/>
              <w:ind w:left="0" w:right="0" w:firstLine="380"/>
              <w:jc w:val="both"/>
            </w:pPr>
            <w:r>
              <w:rPr>
                <w:color w:val="000000"/>
                <w:spacing w:val="0"/>
                <w:w w:val="100"/>
                <w:position w:val="0"/>
              </w:rPr>
              <w:t>（三）</w:t>
              <w:tab/>
              <w:t>如果控股股东、实际控制人未采取上述稳定股价的 具体措施的，将在前述事项发生之日起十个交易日内，公司停 止发放未履行承诺的控股股东、实际控制人的现金分红，且控 股股东、实际控制人持有的公司股份不得转让，直至其按本承 诺的规定采取相应的稳定股价措施并实施完毕。</w:t>
            </w:r>
          </w:p>
          <w:p>
            <w:pPr>
              <w:pStyle w:val="Style2"/>
              <w:keepNext w:val="0"/>
              <w:keepLines w:val="0"/>
              <w:widowControl w:val="0"/>
              <w:shd w:val="clear" w:color="auto" w:fill="auto"/>
              <w:tabs>
                <w:tab w:pos="902" w:val="left"/>
              </w:tabs>
              <w:bidi w:val="0"/>
              <w:spacing w:before="0" w:after="0" w:line="311" w:lineRule="exact"/>
              <w:ind w:left="0" w:right="0" w:firstLine="380"/>
              <w:jc w:val="both"/>
            </w:pPr>
            <w:r>
              <w:rPr>
                <w:color w:val="000000"/>
                <w:spacing w:val="0"/>
                <w:w w:val="100"/>
                <w:position w:val="0"/>
              </w:rPr>
              <w:t>（四）</w:t>
              <w:tab/>
              <w:t>如果董事、高级管理人员未采取上述稳定股价的具 体措施的，将在前述事项发生之日起十个交易日内，公司逐月 扣减未履行承诺的董事、高级管理人员最近一个会计年度自公 司领取的薪酬（税后）的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，同时该等董事、高级管理人员 持有的公司股份不得转让，直至该等董事、高级管理人员按本 承诺的规定采取相应的股价稳定措施并实施完毕。上述承诺自 公司股东大会审议通过，且公司完成首次公开发行人民币普通 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股）并在证券交易所上市之日起生效，有效期三年。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广东天亿马信息产业股份有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公司在首次公开发行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股股票完成后，将于发行后三个月 内办理好公司工商变更登记工作。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290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广东天亿马信息产业股份有 限公司、林明玲、马学沛、 陈曼秋、高俊斌、李之佳、 李业、刘波、姚明安、毛晓 玲、刘培璇、黄素芳、李华 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依法承担 赔偿或赔偿责任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590" w:val="left"/>
              </w:tabs>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公司首次公开发行股票招股说明书及其他信息披露材料 不存在虚假记载、误导性陈述或者重大遗漏，本人对其真实性、 准确性、完整性、及时性承担个别和连带的法律责任。</w:t>
            </w:r>
          </w:p>
          <w:p>
            <w:pPr>
              <w:pStyle w:val="Style2"/>
              <w:keepNext w:val="0"/>
              <w:keepLines w:val="0"/>
              <w:widowControl w:val="0"/>
              <w:shd w:val="clear" w:color="auto" w:fill="auto"/>
              <w:tabs>
                <w:tab w:pos="590" w:val="left"/>
              </w:tabs>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若因公司本次公开发行股票的招股说明书及其他信息披 露材料有虚假记载、误导性陈述或者重大遗漏，致使投资者在 证券发行和交易中遭受损失的，本人将依法赔偿投资者损失， 但本人能够证明自己没有过错的除外。在该等违法事实被中国 证监会、证券交易所或司法机关认定后，本人将本着主动沟通、 尽快赔偿、切实保障投资者特别是中小投资者利益的原则，按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738"/>
        <w:gridCol w:w="2266"/>
        <w:gridCol w:w="1560"/>
        <w:gridCol w:w="4963"/>
        <w:gridCol w:w="1128"/>
        <w:gridCol w:w="1282"/>
        <w:gridCol w:w="1094"/>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289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照投资者在证券交易中直接遭受的可测算的经济损失选择与投 资者沟通赔偿。该等损失的赔偿金额以投资者能举证证实的因 此而实际发生的直接损失为限，不包括间接损失。具体的赔偿 标准、赔偿主体范围、赔偿金额等细节内容待上述情形实际发 生时，依据最终确定的赔偿方案为准。</w:t>
            </w:r>
          </w:p>
          <w:p>
            <w:pPr>
              <w:pStyle w:val="Style2"/>
              <w:keepNext w:val="0"/>
              <w:keepLines w:val="0"/>
              <w:widowControl w:val="0"/>
              <w:shd w:val="clear" w:color="auto" w:fill="auto"/>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、本人若未履行上述赔偿义务，发行人有权从本人应当取 得的工资、津贴等全部薪酬收入扣减不超过最近一个会计年度 自公司领取的薪酬（税后）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，直接用于采取补救措施并承 担相应法律责任；且不转让本人所持的发行人股份（如有）。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8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广东天亿马信息产业股份有 限公司；林明玲；马学沛； 陈曼秋；高俊斌；李之佳； 李业；刘波；姚明安；毛晓 玲；刘培璇；黄素芳；李华 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其他承诺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关于明确 未能履行承诺时的 约束措施的承诺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及时就未能履行承诺事项的原因、具体情况和约束措施 予以公告，并在股东大会及中国证监会指定报刊向投资者公开 作出解释并道歉；</w:t>
            </w:r>
          </w:p>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暂停发放发行人董事、监事和高级管理人员的薪酬、津 贴，直至发行人履行相关承诺；</w:t>
            </w:r>
          </w:p>
          <w:p>
            <w:pPr>
              <w:pStyle w:val="Style2"/>
              <w:keepNext w:val="0"/>
              <w:keepLines w:val="0"/>
              <w:widowControl w:val="0"/>
              <w:shd w:val="clear" w:color="auto" w:fill="auto"/>
              <w:tabs>
                <w:tab w:pos="629" w:val="left"/>
              </w:tabs>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立即停止制定或实施重大资产购买与出售、增发股份、 发行公司债券等资本运作事项，直至发行人履行相关承诺。</w:t>
            </w:r>
          </w:p>
          <w:p>
            <w:pPr>
              <w:pStyle w:val="Style2"/>
              <w:keepNext w:val="0"/>
              <w:keepLines w:val="0"/>
              <w:widowControl w:val="0"/>
              <w:shd w:val="clear" w:color="auto" w:fill="auto"/>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无条件接受中国证监会、深圳证券交易所、中国上市公 司协会等证券监管机构按照其制定或发布的有关规定、规则， 对发行人作出的处罚或采取的相关监管措施；</w:t>
            </w:r>
          </w:p>
          <w:p>
            <w:pPr>
              <w:pStyle w:val="Style2"/>
              <w:keepNext w:val="0"/>
              <w:keepLines w:val="0"/>
              <w:widowControl w:val="0"/>
              <w:shd w:val="clear" w:color="auto" w:fill="auto"/>
              <w:tabs>
                <w:tab w:pos="654" w:val="left"/>
              </w:tabs>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若给股东造成损失的，发行人依法承担补偿责任。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25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广州奥邦投资咨询有限公 司；汕头市励志投资管理合 伙企业（有限合伙）；深圳市 乐成信息咨询管理企业（有 限合伙）；西藏思科瑞股权投 资中心（有限合伙）；宁波梅 山保税港区信度投资中心 （有限合伙）；共青城东兴博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其他承诺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关于明确 未能履行承诺时的 约束措施的承诺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610" w:val="left"/>
              </w:tabs>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若本单位违反承诺而获得相关收益的，相关收益无偿划 归发行人所有；在相关收益全部缴付发行人前，如发行人进行 现金分红的，可直接从本单位应得现金分红中扣除尚未缴付的 收益金额；相关收益全部缴付发行人前，不得转让直接或间接 持有的发行人股份。</w:t>
            </w:r>
          </w:p>
          <w:p>
            <w:pPr>
              <w:pStyle w:val="Style2"/>
              <w:keepNext w:val="0"/>
              <w:keepLines w:val="0"/>
              <w:widowControl w:val="0"/>
              <w:shd w:val="clear" w:color="auto" w:fill="auto"/>
              <w:tabs>
                <w:tab w:pos="614" w:val="left"/>
              </w:tabs>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在履行相应承诺、采取补救措施并实施完毕之前，发行 人进行现金分红的，有权暂扣归属于本单位的现金分红，直至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738"/>
        <w:gridCol w:w="2266"/>
        <w:gridCol w:w="1560"/>
        <w:gridCol w:w="4963"/>
        <w:gridCol w:w="1128"/>
        <w:gridCol w:w="1282"/>
        <w:gridCol w:w="1094"/>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02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元投资中心（有限合伙）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本单位履行承诺并实施完毕；</w:t>
            </w:r>
          </w:p>
          <w:p>
            <w:pPr>
              <w:pStyle w:val="Style2"/>
              <w:keepNext w:val="0"/>
              <w:keepLines w:val="0"/>
              <w:widowControl w:val="0"/>
              <w:shd w:val="clear" w:color="auto" w:fill="auto"/>
              <w:bidi w:val="0"/>
              <w:spacing w:before="0" w:after="0" w:line="322"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、在履行相应承诺、采取补救措施并实施完毕之前，不得 转让直接或间接持有的发行人股份。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广东天亿马信息产业股份有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关于填补 被摊薄即期回报的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624" w:val="left"/>
              </w:tabs>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加强募集资金监管，保证募集资金合法合理使用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为规 范募集资金的管理和使用，确保本次发行募集资金专项用于募 投项目，公司已根据《公司法》《证券法》等法律法规的规定要 求，结合公司实际情况，制定了《募集资金使用管理办法》，明 确规定公司对募集资金采取专项存储制度，以便于募集资金的 管理和使用以及对其使用权进行监管，保证专款专用。本次发 行募集资金到位后，公司将加强募集资金安全管理，对募集资 金进行专项存储，积极配合监管银行和保荐机构对募集资金使 用的检查和监管，以保证募集资金合理、规范、有效地使用， 防范募集资金使用风险。</w:t>
            </w:r>
          </w:p>
          <w:p>
            <w:pPr>
              <w:pStyle w:val="Style2"/>
              <w:keepNext w:val="0"/>
              <w:keepLines w:val="0"/>
              <w:widowControl w:val="0"/>
              <w:shd w:val="clear" w:color="auto" w:fill="auto"/>
              <w:tabs>
                <w:tab w:pos="638" w:val="left"/>
              </w:tabs>
              <w:bidi w:val="0"/>
              <w:spacing w:before="0" w:after="40" w:line="313"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加快募投项目实施进度，早日实现项目预期效益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 募集资金项目围绕公司主营业务开展，主要用于智慧城市综合 解决方案升级项目、大数据应用技术中心建设项目、营销服务 体系升级建设项目及补充流动资金，有利于扩大公司经营规模、 产品优化升级，进一步提升研发能力与产品设计开发能力，增 强整体盈利能力。公司将根据自身情况，合理加快募集资金投 资项目的投资和建设进度，争取尽早实现项目的预期效益，提 升公司的盈利能力。</w:t>
            </w:r>
          </w:p>
          <w:p>
            <w:pPr>
              <w:pStyle w:val="Style2"/>
              <w:keepNext w:val="0"/>
              <w:keepLines w:val="0"/>
              <w:widowControl w:val="0"/>
              <w:shd w:val="clear" w:color="auto" w:fill="auto"/>
              <w:tabs>
                <w:tab w:pos="634" w:val="left"/>
              </w:tabs>
              <w:bidi w:val="0"/>
              <w:spacing w:before="0" w:after="40" w:line="315"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加强技术创新，增强公司可持续盈利能力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公司将通过 实施智慧城市综合解决方案升级项目、大数据应用技术中心建 设项目、营销服务体系升级建设项目及补充流动资金，加强技 术创新，引进优秀人才和先进的软硬件设备，进一步提升研发 能力与产品设计开发能力，为实现产品的结构调整和技术升级 提供有力保障，增强公司持续盈利能力，确保公司能够持续产 生良好效益并实现股东回报。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738"/>
        <w:gridCol w:w="2266"/>
        <w:gridCol w:w="1560"/>
        <w:gridCol w:w="4963"/>
        <w:gridCol w:w="1128"/>
        <w:gridCol w:w="1282"/>
        <w:gridCol w:w="1094"/>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672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控制成本费用支出，提升盈利能力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公司积极加强成本 管理，严控成本费用，提升公司利润率水平。根据公司整体经 营目标，按各部门分担成本优化任务，明确成本管理的地位和 作用，加大成本控制力度，提升公司盈利水平。</w:t>
            </w:r>
          </w:p>
          <w:p>
            <w:pPr>
              <w:pStyle w:val="Style2"/>
              <w:keepNext w:val="0"/>
              <w:keepLines w:val="0"/>
              <w:widowControl w:val="0"/>
              <w:shd w:val="clear" w:color="auto" w:fill="auto"/>
              <w:tabs>
                <w:tab w:pos="605" w:val="left"/>
              </w:tabs>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优化投资回报机制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公司已根据中国证监会有关上市公 司分红的规定要求，在充分考虑公司经营发展实际情况及股东 回报等各个因素基础上，为明确对公司股东权益分红的回报， 进一步细化《公司章程》中关于股利分配原则的条款，增加股 利分配决策透明度和可操作性，并制定了《首次公开发行人民 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股）并上市后三年股东分红回报规划》。未来，公 司将严格执行利润分配政策，在符合分配条件的情况下，积极 实施对股东的利润分配，优化投资回报机制。</w:t>
            </w:r>
          </w:p>
          <w:p>
            <w:pPr>
              <w:pStyle w:val="Style2"/>
              <w:keepNext w:val="0"/>
              <w:keepLines w:val="0"/>
              <w:widowControl w:val="0"/>
              <w:shd w:val="clear" w:color="auto" w:fill="auto"/>
              <w:tabs>
                <w:tab w:pos="590" w:val="left"/>
              </w:tabs>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公司董事会或薪酬委员会制定的薪酬制度与公司填补回 报措施的执行情况相挂钩。</w:t>
            </w:r>
          </w:p>
          <w:p>
            <w:pPr>
              <w:pStyle w:val="Style2"/>
              <w:keepNext w:val="0"/>
              <w:keepLines w:val="0"/>
              <w:widowControl w:val="0"/>
              <w:shd w:val="clear" w:color="auto" w:fill="auto"/>
              <w:tabs>
                <w:tab w:pos="610" w:val="left"/>
              </w:tabs>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若公司进行股权激励，则拟公布的公司股权激励的行权 条件与公司填补回报措施的执行情况相挂钩。若本公司违反或 未履行上述承诺，本公司将在股东大会及中国证监会指定报刊 公开作出解释并道歉；无条件接受中国证监会、证券交易所、 中国上市公司协会等证券监管机构按照其制定或发布的有关规 定、规则，对本公司作出的处罚或采取的相关监管措施；若给 股东造成损失的，公司依法承担补偿责任。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0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林明玲、马学沛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控股股东 及实际控制人关于 填补被摊薄即期回 报的承诺</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624" w:val="left"/>
              </w:tabs>
              <w:bidi w:val="0"/>
              <w:spacing w:before="0" w:after="40" w:line="30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忠实、勤勉地履行职责，维护公司和全体股东的合法权 益。</w:t>
            </w:r>
          </w:p>
          <w:p>
            <w:pPr>
              <w:pStyle w:val="Style2"/>
              <w:keepNext w:val="0"/>
              <w:keepLines w:val="0"/>
              <w:widowControl w:val="0"/>
              <w:shd w:val="clear" w:color="auto" w:fill="auto"/>
              <w:tabs>
                <w:tab w:pos="605" w:val="left"/>
              </w:tabs>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不越权干预公司经营管理活动，不侵占公司利益。本人 如违反以上承诺或拒不履行以上承诺，本人将在股东大会及中 国证监会指定报刊公开作出解释并道歉；如违反承诺给公司或 者股东造成损失的，依法承担补偿责任。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林明玲、马学沛、陈曼秋、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本人作为广东天亿马信息产业股份有限公司（以下简称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738"/>
        <w:gridCol w:w="2266"/>
        <w:gridCol w:w="1560"/>
        <w:gridCol w:w="4963"/>
        <w:gridCol w:w="1128"/>
        <w:gridCol w:w="1282"/>
        <w:gridCol w:w="1094"/>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493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高俊斌、李之佳、李业、刘 波、姚明安、李华青</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级管理人员关于填</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补被摊薄即期回报</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00" w:lineRule="exact"/>
              <w:ind w:left="0" w:right="0" w:firstLine="0"/>
              <w:jc w:val="left"/>
            </w:pPr>
            <w:r>
              <w:rPr>
                <w:color w:val="000000"/>
                <w:spacing w:val="0"/>
                <w:w w:val="100"/>
                <w:position w:val="0"/>
              </w:rPr>
              <w:t>“公司”）的董事、高级管理人员承诺忠实、勤勉地履行职责， 维护公司和全体股东的合法权益。本人根据中国证监会相关规 定对公司填补回报措施能够得到切实履行作出以下承诺：</w:t>
            </w:r>
          </w:p>
          <w:p>
            <w:pPr>
              <w:pStyle w:val="Style2"/>
              <w:keepNext w:val="0"/>
              <w:keepLines w:val="0"/>
              <w:widowControl w:val="0"/>
              <w:shd w:val="clear" w:color="auto" w:fill="auto"/>
              <w:tabs>
                <w:tab w:pos="600" w:val="left"/>
              </w:tabs>
              <w:bidi w:val="0"/>
              <w:spacing w:before="0" w:after="140" w:line="31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不无偿或以不公平条件向其他单位或者个人输送利益， 也不采用其他方式损害公司利益；</w:t>
            </w:r>
          </w:p>
          <w:p>
            <w:pPr>
              <w:pStyle w:val="Style2"/>
              <w:keepNext w:val="0"/>
              <w:keepLines w:val="0"/>
              <w:widowControl w:val="0"/>
              <w:shd w:val="clear" w:color="auto" w:fill="auto"/>
              <w:tabs>
                <w:tab w:pos="658" w:val="left"/>
              </w:tabs>
              <w:bidi w:val="0"/>
              <w:spacing w:before="0" w:after="0" w:line="36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对董事和高级管理人员的职务消费行为进行约束；</w:t>
            </w:r>
          </w:p>
          <w:p>
            <w:pPr>
              <w:pStyle w:val="Style2"/>
              <w:keepNext w:val="0"/>
              <w:keepLines w:val="0"/>
              <w:widowControl w:val="0"/>
              <w:shd w:val="clear" w:color="auto" w:fill="auto"/>
              <w:tabs>
                <w:tab w:pos="610" w:val="left"/>
              </w:tabs>
              <w:bidi w:val="0"/>
              <w:spacing w:before="0" w:after="40" w:line="326"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不动用公司资产从事与其履行职责无关的投资、消费活 动；</w:t>
            </w:r>
          </w:p>
          <w:p>
            <w:pPr>
              <w:pStyle w:val="Style2"/>
              <w:keepNext w:val="0"/>
              <w:keepLines w:val="0"/>
              <w:widowControl w:val="0"/>
              <w:shd w:val="clear" w:color="auto" w:fill="auto"/>
              <w:tabs>
                <w:tab w:pos="586" w:val="left"/>
              </w:tabs>
              <w:bidi w:val="0"/>
              <w:spacing w:before="0" w:after="40" w:line="326"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董事会或薪酬委员会制定的薪酬制度与公司填补回报措 施的执行情况相挂钩；</w:t>
            </w:r>
          </w:p>
          <w:p>
            <w:pPr>
              <w:pStyle w:val="Style2"/>
              <w:keepNext w:val="0"/>
              <w:keepLines w:val="0"/>
              <w:widowControl w:val="0"/>
              <w:shd w:val="clear" w:color="auto" w:fill="auto"/>
              <w:tabs>
                <w:tab w:pos="610" w:val="left"/>
              </w:tabs>
              <w:bidi w:val="0"/>
              <w:spacing w:before="0" w:after="40" w:line="316" w:lineRule="exact"/>
              <w:ind w:left="0" w:right="0" w:firstLine="38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若公司进行股权激励，则拟公布的公司股权激励的行权 条件与公司填补回报措施的执行情况相挂钩。本人如违反以上 承诺或拒不履行以上承诺，本人将在股东大会及中国证监会指 定报刊公开作出解释并道歉；如违反承诺给公司或者股东造成 损失的，依法承担补偿责任。</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林明玲、马学沛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关于社会 保险与住房公积金 相关事宜的承诺函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如公司因未按期足额缴纳社会保险（包括养老保险、失业 保险、医疗保险、工伤保险、生育保险）和住房公积金而经有 关政府部门或司法机关认定需进行补缴，或因社会保险费和住 房公积金事宜受到处罚，或被任何相关方以任何合法方式提出 有关社会保险费和住房公积金的合法权利要求，本人将无条件 全额承担经有关政府部门或司法机关认定的需由公司补缴或缴 纳的全部社会保险费和住房公积金、罚款或赔偿款项，全额承 担被任何相关方以任何合法方式要求的合理社会保险费和住房 公积金或赔偿款项，以及因上述事项而产生的由公司支付的或 应由公司支付的所有相关费用。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9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林明玲、马学沛、广州奥邦 投资咨询有限公司、汕头市 励志投资管理合伙企业（有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股东关于 股份权属的承诺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本单位为所持有发行人股份的最终和真实所有人，不 存在以代理、信托或其他方式持有上述股份的协议或类似安排; 该等股份存在质押、冻结或其他权利行使受到限制的情形，且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738"/>
        <w:gridCol w:w="2266"/>
        <w:gridCol w:w="1560"/>
        <w:gridCol w:w="4963"/>
        <w:gridCol w:w="1128"/>
        <w:gridCol w:w="1282"/>
        <w:gridCol w:w="1094"/>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223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限合伙）、深圳市乐成信息咨 询管理企业（有限合伙）、西 藏思科瑞股权投资中心（有 限合伙）、宁波梅山保税港区 信度投资中心（有限合伙）、 共青城东兴博元投资中心 （有限合伙）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不存在任何权属纠纷。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1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广东天亿马信息产业股份有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其他承诺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关于欺诈 发行上市的股份购 回承诺函</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581" w:val="left"/>
              </w:tabs>
              <w:bidi w:val="0"/>
              <w:spacing w:before="0" w:after="0" w:line="341"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本公司本次公开发行股票并在深圳证券交易所创业板上 市，不存在任何欺诈发行的情形。</w:t>
            </w:r>
          </w:p>
          <w:p>
            <w:pPr>
              <w:pStyle w:val="Style2"/>
              <w:keepNext w:val="0"/>
              <w:keepLines w:val="0"/>
              <w:widowControl w:val="0"/>
              <w:shd w:val="clear" w:color="auto" w:fill="auto"/>
              <w:tabs>
                <w:tab w:pos="610" w:val="left"/>
              </w:tabs>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如本公司不符合发行上市条件，以欺骗手段骗取发行注 册并已经发行上市的，本公司将在中国证监会等有权部门确认 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个工作日内依法启动回购首次公开发行的全部新股。</w:t>
            </w:r>
          </w:p>
          <w:p>
            <w:pPr>
              <w:pStyle w:val="Style2"/>
              <w:keepNext w:val="0"/>
              <w:keepLines w:val="0"/>
              <w:widowControl w:val="0"/>
              <w:shd w:val="clear" w:color="auto" w:fill="auto"/>
              <w:tabs>
                <w:tab w:pos="590" w:val="left"/>
              </w:tabs>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如本公司自中国证监会等有权部门确认后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个工作日内 仍未开始履行上述承诺，则本公司有权人士应在前述期限届满 之日起</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个交易日内召集董事会并通过决议：利用本公司现金 并用该等现金回购公司首次公开发行的全部新股，现金不足部 分可通过处置公司资产等方式补足。如有权人士未能召集董事 会或董事会未能通过相关决议或董事会在决议通过后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日内未能提请股东大会审议，投资者可依法起诉要求其履行职 责，或根据公司章程规定要求监事会提请罢免相关董事，直至 公司董事会通过相关决议并提请股东大会审议相关决议。公司 将于股东大会通过相关决议后</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日内履行回购义务。若本公司 违反上述承诺，及时就未能履行承诺事项的原因、具体情况和 约束措施予以公告；暂停发放本公司董事、监事和高级管理人 员的薪酬、津贴，直至本公司履行相关承诺；立即停止制定或 实施重大资产购买与出售、增发股份、发行公司债券等资本运 作事项，直至本公司履行相关承诺。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广东天亿马信息产业股份有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其他承诺函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、本公司首次公开发行《招股说明书》及其他申请或者信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738"/>
        <w:gridCol w:w="2266"/>
        <w:gridCol w:w="1560"/>
        <w:gridCol w:w="4963"/>
        <w:gridCol w:w="1128"/>
        <w:gridCol w:w="1282"/>
        <w:gridCol w:w="1094"/>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855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息披露文件不存在虚假记载、误导性陈述或者重大遗漏。</w:t>
            </w:r>
          </w:p>
          <w:p>
            <w:pPr>
              <w:pStyle w:val="Style2"/>
              <w:keepNext w:val="0"/>
              <w:keepLines w:val="0"/>
              <w:widowControl w:val="0"/>
              <w:shd w:val="clear" w:color="auto" w:fill="auto"/>
              <w:tabs>
                <w:tab w:pos="624" w:val="left"/>
              </w:tabs>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若《招股说明书》及其他申请或信息披露文件中存在虚 假记载、误导性陈述或者重大遗漏，并对判断本公司是否符合 法律、法规、规范性文件规定的首次公开发行股票并在创业板 上市的发行条件构成重大、实质影响的，本公司将依法回购首 次公开发行的全部新股。具体措施为：在中国证监会作出行政 处罚决定或者人民法院作出生效判决认定本公司存在上述违法 行为后，本公司将依法启动回购股份的程序，回购价格按本公 司首次公开发行的发行价格并加算银行同期存款利息确定，回 购股份数按本公司首次公开发行的全部新股数量确定，并按法 律、法规、规范性文件的相关规定办理手续。</w:t>
            </w:r>
          </w:p>
          <w:p>
            <w:pPr>
              <w:pStyle w:val="Style2"/>
              <w:keepNext w:val="0"/>
              <w:keepLines w:val="0"/>
              <w:widowControl w:val="0"/>
              <w:shd w:val="clear" w:color="auto" w:fill="auto"/>
              <w:tabs>
                <w:tab w:pos="624" w:val="left"/>
              </w:tabs>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如本公司招股说明书经中国证监会认定存在虚假记载、 误导性陈述或者重大遗漏，而本公司自中国证监会作出认定之 日起</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个交易日内仍未开始履行上述承诺，则本公司有权人士 应在前述期限届满之日起</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个交易日内召集董事会并通过决 议：利用本公司现金并用该等现金回购公司首次公开发行的全 部新股，现金不足部分可通过处置公司资产等方式补足。如有 权人士未能召集董事会或董事会未能通过相关决议或董事会在 决议通过后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个交易日内未能提请股东大会审议，投资者可依 法起诉要求其履行职责，或根据公司章程规定要求监事会提请 罢免相关董事，直至公司董事会通过相关决议并提请股东大会 审议相关决议。公司将于股东大会通过相关决议后</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日内履行 回购义务。若本公司违反上述承诺，及时就未能履行承诺事项 的原因、具体情况和约束措施予以公告；暂停发放本公司董事、 监事和高级管理人员的薪酬、津贴，直至本公司履行相关承诺； 立即停止制定或实施重大资产购买与出售、增发股份、发行公 司债券等资本运作事项，直至本公司履行相关承诺。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林明玲、马学沛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关于欺诈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、公司本次公开发行股票并在深圳证券交易所创业板上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738"/>
        <w:gridCol w:w="2266"/>
        <w:gridCol w:w="1560"/>
        <w:gridCol w:w="4963"/>
        <w:gridCol w:w="1128"/>
        <w:gridCol w:w="1282"/>
        <w:gridCol w:w="1094"/>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293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发行上市的股份购 回承诺函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市，不存在任何欺诈发行的情形。</w:t>
            </w:r>
          </w:p>
          <w:p>
            <w:pPr>
              <w:pStyle w:val="Style2"/>
              <w:keepNext w:val="0"/>
              <w:keepLines w:val="0"/>
              <w:widowControl w:val="0"/>
              <w:shd w:val="clear" w:color="auto" w:fill="auto"/>
              <w:tabs>
                <w:tab w:pos="610" w:val="left"/>
              </w:tabs>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如公司不符合发行上市条件，以欺骗手段骗取发行注册 并已经发行上市的，本人将督促公司在中国证监会等有权部门 确认后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个工作日内依法启动回购首次公开发行的全部新股， 且本人将购回已转让的原限售股份。</w:t>
            </w:r>
          </w:p>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本人在履行上述承诺实施完毕之前，发行人进行现金分 红的，可直接从本人应得现金分红中扣除股份回购的应付金额， 并代为向投资者支付股份回购款；且不得转让直接或间接持有 的发行人股份。</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8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林明玲、马学沛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关于依法 承担赔偿或赔偿责 任的承诺函</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590" w:val="left"/>
              </w:tabs>
              <w:bidi w:val="0"/>
              <w:spacing w:before="0" w:after="4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公司首次公开发行股票招股说明书及其他信息披露材料 不存在虚假记载、误导性陈述或者重大遗漏，本人对其真实性、 准确性、完整性、及时性承担个别和连带的法律责任。</w:t>
            </w:r>
          </w:p>
          <w:p>
            <w:pPr>
              <w:pStyle w:val="Style2"/>
              <w:keepNext w:val="0"/>
              <w:keepLines w:val="0"/>
              <w:widowControl w:val="0"/>
              <w:shd w:val="clear" w:color="auto" w:fill="auto"/>
              <w:tabs>
                <w:tab w:pos="590" w:val="left"/>
              </w:tabs>
              <w:bidi w:val="0"/>
              <w:spacing w:before="0" w:after="40" w:line="313"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若因公司本次公开发行股票的招股说明书及其他信息披 露材料有虚假记载、误导性陈述或者重大遗漏，致使投资者在 证券发行和交易中遭受损失的，本人将依法赔偿投资者损失， 但本人能够证明自己没有过错的除外。在该等违法事实被中国 证监会、证券交易所或司法机关认定后，本人将本着主动沟通、 尽快赔偿、切实保障投资者特别是中小投资者利益的原则，按 照投资者在证券交易中直接遭受的可测算的经济损失选择与投 资者沟通赔偿。该等损失的赔偿金额以投资者能举证证实的因 此而实际发生的直接损失为限，不包括间接损失。具体的赔偿 标准、赔偿主体范围、赔偿金额等细节内容待上述情形实际发 生时，依据最终确定的赔偿方案为准。</w:t>
            </w:r>
          </w:p>
          <w:p>
            <w:pPr>
              <w:pStyle w:val="Style2"/>
              <w:keepNext w:val="0"/>
              <w:keepLines w:val="0"/>
              <w:widowControl w:val="0"/>
              <w:shd w:val="clear" w:color="auto" w:fill="auto"/>
              <w:tabs>
                <w:tab w:pos="614" w:val="left"/>
              </w:tabs>
              <w:bidi w:val="0"/>
              <w:spacing w:before="0" w:after="40" w:line="317"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本人在履行上述承诺实施完毕之前，发行人进行现金分 红的，可直接从本人应得现金分红中扣除赔偿投资者损失的应 付金额，并代为向投资者支付赔偿金；且不得转让直接或间接 持有的发行人股份。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马学沛、林明玲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持股意向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、本人严格按照公司首次公开发行股票招股说明书及本人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738"/>
        <w:gridCol w:w="2266"/>
        <w:gridCol w:w="1560"/>
        <w:gridCol w:w="4963"/>
        <w:gridCol w:w="1128"/>
        <w:gridCol w:w="1282"/>
        <w:gridCol w:w="1094"/>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578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及减持意向的承诺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出具的承诺载明的各项锁定期限要求，并严格遵守相关法律、 法规、规范性文件规定及监管要求，在锁定期内不减持持有的 公司的股份。</w:t>
            </w:r>
          </w:p>
          <w:p>
            <w:pPr>
              <w:pStyle w:val="Style2"/>
              <w:keepNext w:val="0"/>
              <w:keepLines w:val="0"/>
              <w:widowControl w:val="0"/>
              <w:shd w:val="clear" w:color="auto" w:fill="auto"/>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本人所持公司股票在锁定期满后两年内减持的，减持价 格不低于发行价；公司上市后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个月内如公司股票连续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 易日的收盘价均低于发行价，或者上市后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个月期末收盘价低 于发行价，本人持有公司股票的锁定期限自动延长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个月。若 公司股票在期间发生派息、送股、资本公积金转增股本等除权 除息事项的，发行价将进行相应除权除息调整。</w:t>
            </w:r>
          </w:p>
          <w:p>
            <w:pPr>
              <w:pStyle w:val="Style2"/>
              <w:keepNext w:val="0"/>
              <w:keepLines w:val="0"/>
              <w:widowControl w:val="0"/>
              <w:shd w:val="clear" w:color="auto" w:fill="auto"/>
              <w:tabs>
                <w:tab w:pos="614" w:val="left"/>
              </w:tabs>
              <w:bidi w:val="0"/>
              <w:spacing w:before="0" w:after="0" w:line="319"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在锁定期限（包括延长的锁定期）届满后，本人将通过 合法方式减持公司股份；并通过公司在减持前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个交易日予以 公告。</w:t>
            </w:r>
          </w:p>
          <w:p>
            <w:pPr>
              <w:pStyle w:val="Style2"/>
              <w:keepNext w:val="0"/>
              <w:keepLines w:val="0"/>
              <w:widowControl w:val="0"/>
              <w:shd w:val="clear" w:color="auto" w:fill="auto"/>
              <w:tabs>
                <w:tab w:pos="614" w:val="left"/>
              </w:tabs>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如本人违反承诺进行股份减持的，减持所得收益将无偿 划归公司所有；在减持收益全部缴付公司前，如公司进行现金 分红的，可直接从本人应得现金分红中扣除尚未缴付的收益金 额；减持收益全部缴付公司前，不得转让直接或间接持有的公 司股份。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、上述承诺一经作出即对本人具有法律拘束力；本人 不因在公司职务变更、离职等原因，而放弃履行承诺。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广州奥邦投资咨询有限公 司、汕头市励志投资管理合 伙企业（有限合伙）、深圳市 乐成信息咨询管理企业（有 限合伙）、共青城东兴博元投 资中心（有限合伙）、宁波梅 山保税港区信度投资中心 （有限合伙）、西藏思科瑞股 权投资中心（有限合伙）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持股意向 及减持意向的承诺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590" w:val="left"/>
              </w:tabs>
              <w:bidi w:val="0"/>
              <w:spacing w:before="0" w:after="40" w:line="320"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本单位严格按照公司首次公开发行股票招股说明书及本 单位出具的承诺载明的各项锁定期限要求，并严格遵守相关法 律、法规、规范性文件规定及监管要求，在锁定期内不减持持 有的公司的股份。</w:t>
            </w:r>
          </w:p>
          <w:p>
            <w:pPr>
              <w:pStyle w:val="Style2"/>
              <w:keepNext w:val="0"/>
              <w:keepLines w:val="0"/>
              <w:widowControl w:val="0"/>
              <w:shd w:val="clear" w:color="auto" w:fill="auto"/>
              <w:tabs>
                <w:tab w:pos="600" w:val="left"/>
              </w:tabs>
              <w:bidi w:val="0"/>
              <w:spacing w:before="0" w:after="40" w:line="317"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在锁定期限届满后，本单位将通过合法方式减持公司股 份；并通过公司在减持前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个交易日予以公告。</w:t>
            </w:r>
          </w:p>
          <w:p>
            <w:pPr>
              <w:pStyle w:val="Style2"/>
              <w:keepNext w:val="0"/>
              <w:keepLines w:val="0"/>
              <w:widowControl w:val="0"/>
              <w:shd w:val="clear" w:color="auto" w:fill="auto"/>
              <w:tabs>
                <w:tab w:pos="614" w:val="left"/>
              </w:tabs>
              <w:bidi w:val="0"/>
              <w:spacing w:before="0" w:after="40" w:line="315"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如本单位违反承诺进行股份减持的，减持所得收益将无 偿划归公司所有；在减持收益全部缴付公司前，如公司进行现 金分红的，可直接从本单位应得现金分红中扣除尚未缴付的收 益金额；减持收益全部缴付公司前，不得转让直接或间接持有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1738"/>
        <w:gridCol w:w="2266"/>
        <w:gridCol w:w="1560"/>
        <w:gridCol w:w="4963"/>
        <w:gridCol w:w="1128"/>
        <w:gridCol w:w="1282"/>
        <w:gridCol w:w="1094"/>
      </w:tblGrid>
      <w:tr>
        <w:trPr>
          <w:trHeight w:val="4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的公司股份。</w:t>
            </w:r>
          </w:p>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、上述承诺一经作出即对本单位具有法律拘束力。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2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林明玲、马学沛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其他承诺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控股股东 及实际控制人关于 消除或避免同业竞 争的承诺函</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610" w:val="left"/>
              </w:tabs>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截至本承诺函出具之日，本人及与本人关系密切的家庭 成员（包括配偶、年满</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周岁的子女及其配偶、父母及配偶 的父母、兄弟姐妹及其配偶、配偶的兄弟姐妹、子女配偶的父 母）未投资与发行人产品相同或相类似的企业，亦未直接或间 接从事、参与或进行与发行人生产、经营相竞争的任何经营活 动；</w:t>
            </w:r>
          </w:p>
          <w:p>
            <w:pPr>
              <w:pStyle w:val="Style2"/>
              <w:keepNext w:val="0"/>
              <w:keepLines w:val="0"/>
              <w:widowControl w:val="0"/>
              <w:shd w:val="clear" w:color="auto" w:fill="auto"/>
              <w:tabs>
                <w:tab w:pos="610" w:val="left"/>
              </w:tabs>
              <w:bidi w:val="0"/>
              <w:spacing w:before="0" w:after="0" w:line="315"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本承诺函出具后，本人将不投资与发行人产品相同或相 类似的企业，亦不直接或间接从事、参与或进行与发行人的生 产、经营相竞争的任何经营活动，以避免与发行人的生产经营 构成直接或间接的竞争；</w:t>
            </w:r>
          </w:p>
          <w:p>
            <w:pPr>
              <w:pStyle w:val="Style2"/>
              <w:keepNext w:val="0"/>
              <w:keepLines w:val="0"/>
              <w:widowControl w:val="0"/>
              <w:shd w:val="clear" w:color="auto" w:fill="auto"/>
              <w:tabs>
                <w:tab w:pos="614" w:val="left"/>
              </w:tabs>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本承诺函出具后，本人保证将努力促使与本人关系密切 的家庭成员不投资与发行人产品相同或相类似的企业，亦不直 接或间接从事、参与或进行与发行人的生产、经营相竞争的任 何经营活动；</w:t>
            </w:r>
          </w:p>
          <w:p>
            <w:pPr>
              <w:pStyle w:val="Style2"/>
              <w:keepNext w:val="0"/>
              <w:keepLines w:val="0"/>
              <w:widowControl w:val="0"/>
              <w:shd w:val="clear" w:color="auto" w:fill="auto"/>
              <w:tabs>
                <w:tab w:pos="595" w:val="left"/>
              </w:tabs>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本人将不利用对发行人的实际控制关系进行损害发行人 及发行人其他股东利益的经营活动；</w:t>
            </w:r>
          </w:p>
          <w:p>
            <w:pPr>
              <w:pStyle w:val="Style2"/>
              <w:keepNext w:val="0"/>
              <w:keepLines w:val="0"/>
              <w:widowControl w:val="0"/>
              <w:shd w:val="clear" w:color="auto" w:fill="auto"/>
              <w:tabs>
                <w:tab w:pos="595" w:val="left"/>
              </w:tabs>
              <w:bidi w:val="0"/>
              <w:spacing w:before="0" w:after="0" w:line="314" w:lineRule="exact"/>
              <w:ind w:left="0" w:right="0" w:firstLine="38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本人承诺赔偿发行人因本人违反关于同业竞争的承诺而 遭受或产生的任何损失或开支。本人作为发行人控股股东及实 际控制人期间，上述承诺持续有效且不可变更或撤销。本人如 违反上述承诺，在采取措施消除同业竞争情形前，发行人进行 现金分红的，有权暂扣归属于本人的现金分红，直至本人履行 承诺并实施完毕；在履行相应承诺、采取补救措施并实施完毕 之前，不得转让本人直接或间接持有的发行人股份。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sectPr>
          <w:footnotePr>
            <w:pos w:val="pageBottom"/>
            <w:numFmt w:val="decimal"/>
            <w:numRestart w:val="continuous"/>
          </w:footnotePr>
          <w:pgSz w:w="16840" w:h="11900" w:orient="landscape"/>
          <w:pgMar w:top="1105" w:right="1402" w:bottom="1210" w:left="1407" w:header="0" w:footer="3" w:gutter="0"/>
          <w:cols w:space="720"/>
          <w:noEndnote/>
          <w:rtlGutter w:val="0"/>
          <w:docGrid w:linePitch="360"/>
        </w:sectPr>
      </w:pPr>
    </w:p>
    <w:p>
      <w:pPr>
        <w:pStyle w:val="Style28"/>
        <w:keepNext/>
        <w:keepLines/>
        <w:widowControl w:val="0"/>
        <w:shd w:val="clear" w:color="auto" w:fill="auto"/>
        <w:bidi w:val="0"/>
        <w:spacing w:before="0" w:after="280" w:line="317" w:lineRule="exact"/>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2</w:t>
      </w:r>
      <w:bookmarkEnd w:id="454"/>
      <w:r>
        <w:rPr>
          <w:color w:val="000000"/>
          <w:spacing w:val="0"/>
          <w:w w:val="100"/>
          <w:position w:val="0"/>
        </w:rPr>
        <w:t>、公司资产或项目存在盈利预测，且报告期仍处在盈利预测期间，公司就资产或项目达到原盈利预测及 其原因做出说明</w:t>
      </w:r>
      <w:bookmarkEnd w:id="452"/>
      <w:bookmarkEnd w:id="453"/>
      <w:bookmarkEnd w:id="455"/>
    </w:p>
    <w:p>
      <w:pPr>
        <w:pStyle w:val="Style31"/>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25"/>
        <w:keepNext/>
        <w:keepLines/>
        <w:widowControl w:val="0"/>
        <w:shd w:val="clear" w:color="auto" w:fill="auto"/>
        <w:tabs>
          <w:tab w:pos="517" w:val="left"/>
        </w:tabs>
        <w:bidi w:val="0"/>
        <w:spacing w:before="0" w:after="28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rPr>
        <w:t>二</w:t>
      </w:r>
      <w:bookmarkEnd w:id="458"/>
      <w:r>
        <w:rPr>
          <w:color w:val="000000"/>
          <w:spacing w:val="0"/>
          <w:w w:val="100"/>
          <w:position w:val="0"/>
        </w:rPr>
        <w:t>、</w:t>
        <w:tab/>
        <w:t>控股股东及其他关联方对上市公司的非经营性占用资金情况</w:t>
      </w:r>
      <w:bookmarkEnd w:id="456"/>
      <w:bookmarkEnd w:id="457"/>
      <w:bookmarkEnd w:id="459"/>
    </w:p>
    <w:p>
      <w:pPr>
        <w:pStyle w:val="Style31"/>
        <w:keepNext w:val="0"/>
        <w:keepLines w:val="0"/>
        <w:widowControl w:val="0"/>
        <w:shd w:val="clear" w:color="auto" w:fill="auto"/>
        <w:bidi w:val="0"/>
        <w:spacing w:before="0" w:after="12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公司报告期不存在控股股东及其他关联方对上市公司的非经营性占用资金。</w:t>
      </w:r>
    </w:p>
    <w:p>
      <w:pPr>
        <w:pStyle w:val="Style25"/>
        <w:keepNext/>
        <w:keepLines/>
        <w:widowControl w:val="0"/>
        <w:shd w:val="clear" w:color="auto" w:fill="auto"/>
        <w:tabs>
          <w:tab w:pos="517" w:val="left"/>
        </w:tabs>
        <w:bidi w:val="0"/>
        <w:spacing w:before="0" w:after="28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rPr>
        <w:t>三</w:t>
      </w:r>
      <w:bookmarkEnd w:id="462"/>
      <w:r>
        <w:rPr>
          <w:color w:val="000000"/>
          <w:spacing w:val="0"/>
          <w:w w:val="100"/>
          <w:position w:val="0"/>
        </w:rPr>
        <w:t>、</w:t>
        <w:tab/>
        <w:t>违规对外担保情况</w:t>
      </w:r>
      <w:bookmarkEnd w:id="460"/>
      <w:bookmarkEnd w:id="461"/>
      <w:bookmarkEnd w:id="463"/>
    </w:p>
    <w:p>
      <w:pPr>
        <w:pStyle w:val="Style31"/>
        <w:keepNext w:val="0"/>
        <w:keepLines w:val="0"/>
        <w:widowControl w:val="0"/>
        <w:shd w:val="clear" w:color="auto" w:fill="auto"/>
        <w:bidi w:val="0"/>
        <w:spacing w:before="0" w:after="12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公司报告期无违规对外担保情况。</w:t>
      </w:r>
    </w:p>
    <w:p>
      <w:pPr>
        <w:pStyle w:val="Style25"/>
        <w:keepNext/>
        <w:keepLines/>
        <w:widowControl w:val="0"/>
        <w:shd w:val="clear" w:color="auto" w:fill="auto"/>
        <w:tabs>
          <w:tab w:pos="517" w:val="left"/>
        </w:tabs>
        <w:bidi w:val="0"/>
        <w:spacing w:before="0" w:after="36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rPr>
        <w:t>四</w:t>
      </w:r>
      <w:bookmarkEnd w:id="466"/>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64"/>
      <w:bookmarkEnd w:id="465"/>
      <w:bookmarkEnd w:id="467"/>
    </w:p>
    <w:p>
      <w:pPr>
        <w:pStyle w:val="Style31"/>
        <w:keepNext w:val="0"/>
        <w:keepLines w:val="0"/>
        <w:widowControl w:val="0"/>
        <w:numPr>
          <w:ilvl w:val="0"/>
          <w:numId w:val="109"/>
        </w:numPr>
        <w:shd w:val="clear" w:color="auto" w:fill="auto"/>
        <w:tabs>
          <w:tab w:pos="296" w:val="left"/>
        </w:tabs>
        <w:bidi w:val="0"/>
        <w:spacing w:before="0" w:after="280" w:line="331" w:lineRule="auto"/>
        <w:ind w:left="0" w:right="0" w:firstLine="0"/>
        <w:jc w:val="left"/>
      </w:pPr>
      <w:bookmarkStart w:id="468" w:name="bookmark468"/>
      <w:bookmarkEnd w:id="46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25"/>
        <w:keepNext/>
        <w:keepLines/>
        <w:widowControl w:val="0"/>
        <w:shd w:val="clear" w:color="auto" w:fill="auto"/>
        <w:tabs>
          <w:tab w:pos="517" w:val="left"/>
        </w:tabs>
        <w:bidi w:val="0"/>
        <w:spacing w:before="0" w:after="36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rPr>
        <w:t>五</w:t>
      </w:r>
      <w:bookmarkEnd w:id="471"/>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69"/>
      <w:bookmarkEnd w:id="470"/>
      <w:bookmarkEnd w:id="472"/>
    </w:p>
    <w:p>
      <w:pPr>
        <w:pStyle w:val="Style31"/>
        <w:keepNext w:val="0"/>
        <w:keepLines w:val="0"/>
        <w:widowControl w:val="0"/>
        <w:numPr>
          <w:ilvl w:val="0"/>
          <w:numId w:val="109"/>
        </w:numPr>
        <w:shd w:val="clear" w:color="auto" w:fill="auto"/>
        <w:tabs>
          <w:tab w:pos="296" w:val="left"/>
        </w:tabs>
        <w:bidi w:val="0"/>
        <w:spacing w:before="0" w:after="280" w:line="331" w:lineRule="auto"/>
        <w:ind w:left="0" w:right="0" w:firstLine="0"/>
        <w:jc w:val="left"/>
      </w:pPr>
      <w:bookmarkStart w:id="473" w:name="bookmark473"/>
      <w:bookmarkEnd w:id="47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25"/>
        <w:keepNext/>
        <w:keepLines/>
        <w:widowControl w:val="0"/>
        <w:shd w:val="clear" w:color="auto" w:fill="auto"/>
        <w:tabs>
          <w:tab w:pos="517" w:val="left"/>
        </w:tabs>
        <w:bidi w:val="0"/>
        <w:spacing w:before="0" w:after="360" w:line="240" w:lineRule="auto"/>
        <w:ind w:left="0" w:right="0" w:firstLine="0"/>
        <w:jc w:val="left"/>
      </w:pPr>
      <w:bookmarkStart w:id="474" w:name="bookmark474"/>
      <w:bookmarkStart w:id="475" w:name="bookmark475"/>
      <w:bookmarkStart w:id="476" w:name="bookmark476"/>
      <w:bookmarkStart w:id="477" w:name="bookmark477"/>
      <w:r>
        <w:rPr>
          <w:color w:val="000000"/>
          <w:spacing w:val="0"/>
          <w:w w:val="100"/>
          <w:position w:val="0"/>
        </w:rPr>
        <w:t>六</w:t>
      </w:r>
      <w:bookmarkEnd w:id="476"/>
      <w:r>
        <w:rPr>
          <w:color w:val="000000"/>
          <w:spacing w:val="0"/>
          <w:w w:val="100"/>
          <w:position w:val="0"/>
        </w:rPr>
        <w:t>、</w:t>
        <w:tab/>
        <w:t>董事会关于报告期会计政策、会计估计变更或重大会计差错更正的说明</w:t>
      </w:r>
      <w:bookmarkEnd w:id="474"/>
      <w:bookmarkEnd w:id="475"/>
      <w:bookmarkEnd w:id="477"/>
    </w:p>
    <w:p>
      <w:pPr>
        <w:pStyle w:val="Style31"/>
        <w:keepNext w:val="0"/>
        <w:keepLines w:val="0"/>
        <w:widowControl w:val="0"/>
        <w:numPr>
          <w:ilvl w:val="0"/>
          <w:numId w:val="109"/>
        </w:numPr>
        <w:shd w:val="clear" w:color="auto" w:fill="auto"/>
        <w:tabs>
          <w:tab w:pos="296" w:val="left"/>
        </w:tabs>
        <w:bidi w:val="0"/>
        <w:spacing w:before="0" w:after="280" w:line="331" w:lineRule="auto"/>
        <w:ind w:left="0" w:right="0" w:firstLine="0"/>
        <w:jc w:val="left"/>
      </w:pPr>
      <w:bookmarkStart w:id="478" w:name="bookmark478"/>
      <w:bookmarkEnd w:id="47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25"/>
        <w:keepNext/>
        <w:keepLines/>
        <w:widowControl w:val="0"/>
        <w:shd w:val="clear" w:color="auto" w:fill="auto"/>
        <w:tabs>
          <w:tab w:pos="522" w:val="left"/>
        </w:tabs>
        <w:bidi w:val="0"/>
        <w:spacing w:before="0" w:after="360" w:line="240" w:lineRule="auto"/>
        <w:ind w:left="0" w:right="0" w:firstLine="0"/>
        <w:jc w:val="left"/>
      </w:pPr>
      <w:bookmarkStart w:id="479" w:name="bookmark479"/>
      <w:bookmarkStart w:id="480" w:name="bookmark480"/>
      <w:bookmarkStart w:id="481" w:name="bookmark481"/>
      <w:bookmarkStart w:id="482" w:name="bookmark482"/>
      <w:r>
        <w:rPr>
          <w:color w:val="000000"/>
          <w:spacing w:val="0"/>
          <w:w w:val="100"/>
          <w:position w:val="0"/>
        </w:rPr>
        <w:t>七</w:t>
      </w:r>
      <w:bookmarkEnd w:id="481"/>
      <w:r>
        <w:rPr>
          <w:color w:val="000000"/>
          <w:spacing w:val="0"/>
          <w:w w:val="100"/>
          <w:position w:val="0"/>
        </w:rPr>
        <w:t>、</w:t>
        <w:tab/>
        <w:t>与上年度财务报告相比，合并报表范围发生变化的情况说明</w:t>
      </w:r>
      <w:bookmarkEnd w:id="479"/>
      <w:bookmarkEnd w:id="480"/>
      <w:bookmarkEnd w:id="482"/>
    </w:p>
    <w:p>
      <w:pPr>
        <w:pStyle w:val="Style31"/>
        <w:keepNext w:val="0"/>
        <w:keepLines w:val="0"/>
        <w:widowControl w:val="0"/>
        <w:numPr>
          <w:ilvl w:val="0"/>
          <w:numId w:val="109"/>
        </w:numPr>
        <w:shd w:val="clear" w:color="auto" w:fill="auto"/>
        <w:tabs>
          <w:tab w:pos="296" w:val="left"/>
        </w:tabs>
        <w:bidi w:val="0"/>
        <w:spacing w:before="0" w:after="60" w:line="331" w:lineRule="auto"/>
        <w:ind w:left="0" w:right="0" w:firstLine="0"/>
        <w:jc w:val="left"/>
      </w:pPr>
      <w:bookmarkStart w:id="483" w:name="bookmark483"/>
      <w:bookmarkEnd w:id="48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3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公司报告期无合并报表范围发生变化的情况。</w:t>
      </w:r>
    </w:p>
    <w:p>
      <w:pPr>
        <w:pStyle w:val="Style25"/>
        <w:keepNext/>
        <w:keepLines/>
        <w:widowControl w:val="0"/>
        <w:shd w:val="clear" w:color="auto" w:fill="auto"/>
        <w:tabs>
          <w:tab w:pos="522" w:val="left"/>
        </w:tabs>
        <w:bidi w:val="0"/>
        <w:spacing w:before="0" w:after="360" w:line="240" w:lineRule="auto"/>
        <w:ind w:left="0" w:right="0" w:firstLine="0"/>
        <w:jc w:val="left"/>
      </w:pPr>
      <w:bookmarkStart w:id="484" w:name="bookmark484"/>
      <w:bookmarkStart w:id="485" w:name="bookmark485"/>
      <w:bookmarkStart w:id="486" w:name="bookmark486"/>
      <w:bookmarkStart w:id="487" w:name="bookmark487"/>
      <w:r>
        <w:rPr>
          <w:color w:val="000000"/>
          <w:spacing w:val="0"/>
          <w:w w:val="100"/>
          <w:position w:val="0"/>
        </w:rPr>
        <w:t>八</w:t>
      </w:r>
      <w:bookmarkEnd w:id="486"/>
      <w:r>
        <w:rPr>
          <w:color w:val="000000"/>
          <w:spacing w:val="0"/>
          <w:w w:val="100"/>
          <w:position w:val="0"/>
        </w:rPr>
        <w:t>、</w:t>
        <w:tab/>
        <w:t>聘任、解聘会计师事务所情况</w:t>
      </w:r>
      <w:bookmarkEnd w:id="484"/>
      <w:bookmarkEnd w:id="485"/>
      <w:bookmarkEnd w:id="487"/>
    </w:p>
    <w:p>
      <w:pPr>
        <w:pStyle w:val="Style14"/>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中审众环会计师事务所（特殊普通合伙）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巩启春、刘麟放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78" w:val="left"/>
              </w:tabs>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219" w:line="1" w:lineRule="exact"/>
      </w:pP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是否改聘会计师事务所</w:t>
      </w:r>
    </w:p>
    <w:p>
      <w:pPr>
        <w:pStyle w:val="Style31"/>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rPr>
        <w:t>九</w:t>
      </w:r>
      <w:bookmarkEnd w:id="490"/>
      <w:r>
        <w:rPr>
          <w:color w:val="000000"/>
          <w:spacing w:val="0"/>
          <w:w w:val="100"/>
          <w:position w:val="0"/>
        </w:rPr>
        <w:t>、年度报告披露后面临退市情况</w:t>
      </w:r>
      <w:bookmarkEnd w:id="488"/>
      <w:bookmarkEnd w:id="489"/>
      <w:bookmarkEnd w:id="491"/>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492" w:name="bookmark492"/>
      <w:bookmarkStart w:id="493" w:name="bookmark493"/>
      <w:bookmarkStart w:id="494" w:name="bookmark494"/>
      <w:r>
        <w:rPr>
          <w:color w:val="000000"/>
          <w:spacing w:val="0"/>
          <w:w w:val="100"/>
          <w:position w:val="0"/>
        </w:rPr>
        <w:t>十、破产重整相关事项</w:t>
      </w:r>
      <w:bookmarkEnd w:id="492"/>
      <w:bookmarkEnd w:id="493"/>
      <w:bookmarkEnd w:id="494"/>
    </w:p>
    <w:p>
      <w:pPr>
        <w:pStyle w:val="Style31"/>
        <w:keepNext w:val="0"/>
        <w:keepLines w:val="0"/>
        <w:widowControl w:val="0"/>
        <w:numPr>
          <w:ilvl w:val="0"/>
          <w:numId w:val="109"/>
        </w:numPr>
        <w:shd w:val="clear" w:color="auto" w:fill="auto"/>
        <w:tabs>
          <w:tab w:pos="296" w:val="left"/>
        </w:tabs>
        <w:bidi w:val="0"/>
        <w:spacing w:before="0" w:after="220" w:line="240" w:lineRule="auto"/>
        <w:ind w:left="0" w:right="0" w:firstLine="0"/>
        <w:jc w:val="left"/>
      </w:pPr>
      <w:bookmarkStart w:id="495" w:name="bookmark495"/>
      <w:bookmarkEnd w:id="495"/>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after="360" w:line="240" w:lineRule="auto"/>
        <w:ind w:left="0" w:right="0" w:firstLine="0"/>
        <w:jc w:val="left"/>
      </w:pPr>
      <w:bookmarkStart w:id="496" w:name="bookmark496"/>
      <w:bookmarkStart w:id="497" w:name="bookmark497"/>
      <w:bookmarkStart w:id="498" w:name="bookmark498"/>
      <w:r>
        <w:rPr>
          <w:color w:val="000000"/>
          <w:spacing w:val="0"/>
          <w:w w:val="100"/>
          <w:position w:val="0"/>
        </w:rPr>
        <w:t>十一、重大诉讼、仲裁事项</w:t>
      </w:r>
      <w:bookmarkEnd w:id="496"/>
      <w:bookmarkEnd w:id="497"/>
      <w:bookmarkEnd w:id="498"/>
    </w:p>
    <w:p>
      <w:pPr>
        <w:pStyle w:val="Style31"/>
        <w:keepNext w:val="0"/>
        <w:keepLines w:val="0"/>
        <w:widowControl w:val="0"/>
        <w:numPr>
          <w:ilvl w:val="0"/>
          <w:numId w:val="109"/>
        </w:numPr>
        <w:shd w:val="clear" w:color="auto" w:fill="auto"/>
        <w:tabs>
          <w:tab w:pos="296" w:val="left"/>
        </w:tabs>
        <w:bidi w:val="0"/>
        <w:spacing w:before="0" w:after="220" w:line="240" w:lineRule="auto"/>
        <w:ind w:left="0" w:right="0" w:firstLine="0"/>
        <w:jc w:val="left"/>
      </w:pPr>
      <w:bookmarkStart w:id="499" w:name="bookmark499"/>
      <w:bookmarkEnd w:id="49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5"/>
        <w:keepNext/>
        <w:keepLines/>
        <w:widowControl w:val="0"/>
        <w:shd w:val="clear" w:color="auto" w:fill="auto"/>
        <w:bidi w:val="0"/>
        <w:spacing w:before="0" w:after="360" w:line="240" w:lineRule="auto"/>
        <w:ind w:left="0" w:right="0" w:firstLine="0"/>
        <w:jc w:val="left"/>
      </w:pPr>
      <w:bookmarkStart w:id="500" w:name="bookmark500"/>
      <w:bookmarkStart w:id="501" w:name="bookmark501"/>
      <w:bookmarkStart w:id="502" w:name="bookmark502"/>
      <w:r>
        <w:rPr>
          <w:color w:val="000000"/>
          <w:spacing w:val="0"/>
          <w:w w:val="100"/>
          <w:position w:val="0"/>
        </w:rPr>
        <w:t>十二、处罚及整改情况</w:t>
      </w:r>
      <w:bookmarkEnd w:id="500"/>
      <w:bookmarkEnd w:id="501"/>
      <w:bookmarkEnd w:id="502"/>
    </w:p>
    <w:p>
      <w:pPr>
        <w:pStyle w:val="Style31"/>
        <w:keepNext w:val="0"/>
        <w:keepLines w:val="0"/>
        <w:widowControl w:val="0"/>
        <w:numPr>
          <w:ilvl w:val="0"/>
          <w:numId w:val="109"/>
        </w:numPr>
        <w:shd w:val="clear" w:color="auto" w:fill="auto"/>
        <w:tabs>
          <w:tab w:pos="296" w:val="left"/>
        </w:tabs>
        <w:bidi w:val="0"/>
        <w:spacing w:before="0" w:after="220" w:line="240" w:lineRule="auto"/>
        <w:ind w:left="0" w:right="0" w:firstLine="0"/>
        <w:jc w:val="left"/>
      </w:pPr>
      <w:bookmarkStart w:id="503" w:name="bookmark503"/>
      <w:bookmarkEnd w:id="50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after="360" w:line="240" w:lineRule="auto"/>
        <w:ind w:left="0" w:right="0" w:firstLine="0"/>
        <w:jc w:val="left"/>
      </w:pPr>
      <w:bookmarkStart w:id="504" w:name="bookmark504"/>
      <w:bookmarkStart w:id="505" w:name="bookmark505"/>
      <w:bookmarkStart w:id="506" w:name="bookmark506"/>
      <w:r>
        <w:rPr>
          <w:color w:val="000000"/>
          <w:spacing w:val="0"/>
          <w:w w:val="100"/>
          <w:position w:val="0"/>
        </w:rPr>
        <w:t>十三、公司及其控股股东、实际控制人的诚信状况</w:t>
      </w:r>
      <w:bookmarkEnd w:id="504"/>
      <w:bookmarkEnd w:id="505"/>
      <w:bookmarkEnd w:id="506"/>
    </w:p>
    <w:p>
      <w:pPr>
        <w:pStyle w:val="Style31"/>
        <w:keepNext w:val="0"/>
        <w:keepLines w:val="0"/>
        <w:widowControl w:val="0"/>
        <w:numPr>
          <w:ilvl w:val="0"/>
          <w:numId w:val="109"/>
        </w:numPr>
        <w:shd w:val="clear" w:color="auto" w:fill="auto"/>
        <w:tabs>
          <w:tab w:pos="296" w:val="left"/>
        </w:tabs>
        <w:bidi w:val="0"/>
        <w:spacing w:before="0" w:after="360" w:line="240" w:lineRule="auto"/>
        <w:ind w:left="0" w:right="0" w:firstLine="0"/>
        <w:jc w:val="left"/>
      </w:pPr>
      <w:bookmarkStart w:id="507" w:name="bookmark507"/>
      <w:bookmarkEnd w:id="507"/>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508" w:name="bookmark508"/>
      <w:bookmarkStart w:id="509" w:name="bookmark509"/>
      <w:bookmarkStart w:id="510" w:name="bookmark510"/>
      <w:r>
        <w:rPr>
          <w:color w:val="000000"/>
          <w:spacing w:val="0"/>
          <w:w w:val="100"/>
          <w:position w:val="0"/>
        </w:rPr>
        <w:t>十四、重大关联交易</w:t>
      </w:r>
      <w:bookmarkEnd w:id="508"/>
      <w:bookmarkEnd w:id="509"/>
      <w:bookmarkEnd w:id="510"/>
    </w:p>
    <w:p>
      <w:pPr>
        <w:pStyle w:val="Style28"/>
        <w:keepNext/>
        <w:keepLines/>
        <w:widowControl w:val="0"/>
        <w:shd w:val="clear" w:color="auto" w:fill="auto"/>
        <w:bidi w:val="0"/>
        <w:spacing w:before="0" w:line="240" w:lineRule="auto"/>
        <w:ind w:left="0" w:right="0" w:firstLine="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1</w:t>
      </w:r>
      <w:bookmarkEnd w:id="513"/>
      <w:r>
        <w:rPr>
          <w:color w:val="000000"/>
          <w:spacing w:val="0"/>
          <w:w w:val="100"/>
          <w:position w:val="0"/>
        </w:rPr>
        <w:t>、与日常经营相关的关联交易</w:t>
      </w:r>
      <w:bookmarkEnd w:id="511"/>
      <w:bookmarkEnd w:id="512"/>
      <w:bookmarkEnd w:id="514"/>
    </w:p>
    <w:p>
      <w:pPr>
        <w:pStyle w:val="Style31"/>
        <w:keepNext w:val="0"/>
        <w:keepLines w:val="0"/>
        <w:widowControl w:val="0"/>
        <w:numPr>
          <w:ilvl w:val="0"/>
          <w:numId w:val="109"/>
        </w:numPr>
        <w:shd w:val="clear" w:color="auto" w:fill="auto"/>
        <w:tabs>
          <w:tab w:pos="296" w:val="left"/>
        </w:tabs>
        <w:bidi w:val="0"/>
        <w:spacing w:before="0" w:after="220" w:line="240" w:lineRule="auto"/>
        <w:ind w:left="0" w:right="0" w:firstLine="0"/>
        <w:jc w:val="left"/>
      </w:pPr>
      <w:bookmarkStart w:id="515" w:name="bookmark515"/>
      <w:bookmarkEnd w:id="515"/>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28"/>
        <w:keepNext/>
        <w:keepLines/>
        <w:widowControl w:val="0"/>
        <w:shd w:val="clear" w:color="auto" w:fill="auto"/>
        <w:tabs>
          <w:tab w:pos="378" w:val="left"/>
        </w:tabs>
        <w:bidi w:val="0"/>
        <w:spacing w:before="0" w:after="300" w:line="315" w:lineRule="exact"/>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2</w:t>
      </w:r>
      <w:bookmarkEnd w:id="518"/>
      <w:r>
        <w:rPr>
          <w:color w:val="000000"/>
          <w:spacing w:val="0"/>
          <w:w w:val="100"/>
          <w:position w:val="0"/>
        </w:rPr>
        <w:t>、</w:t>
        <w:tab/>
        <w:t>资产或股权收购、出售发生的关联交易</w:t>
      </w:r>
      <w:bookmarkEnd w:id="516"/>
      <w:bookmarkEnd w:id="517"/>
      <w:bookmarkEnd w:id="519"/>
    </w:p>
    <w:p>
      <w:pPr>
        <w:pStyle w:val="Style31"/>
        <w:keepNext w:val="0"/>
        <w:keepLines w:val="0"/>
        <w:widowControl w:val="0"/>
        <w:shd w:val="clear" w:color="auto" w:fill="auto"/>
        <w:bidi w:val="0"/>
        <w:spacing w:before="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val="0"/>
        <w:keepLines w:val="0"/>
        <w:widowControl w:val="0"/>
        <w:shd w:val="clear" w:color="auto" w:fill="auto"/>
        <w:bidi w:val="0"/>
        <w:spacing w:before="0" w:after="300" w:line="315" w:lineRule="exact"/>
        <w:ind w:left="0" w:right="0" w:firstLine="0"/>
        <w:jc w:val="left"/>
      </w:pPr>
      <w:r>
        <w:rPr>
          <w:color w:val="000000"/>
          <w:spacing w:val="0"/>
          <w:w w:val="100"/>
          <w:position w:val="0"/>
        </w:rPr>
        <w:t>公司报告期未发生资产或股权收购、出售的关联交易。</w:t>
      </w:r>
    </w:p>
    <w:p>
      <w:pPr>
        <w:pStyle w:val="Style28"/>
        <w:keepNext/>
        <w:keepLines/>
        <w:widowControl w:val="0"/>
        <w:shd w:val="clear" w:color="auto" w:fill="auto"/>
        <w:tabs>
          <w:tab w:pos="378" w:val="left"/>
        </w:tabs>
        <w:bidi w:val="0"/>
        <w:spacing w:before="0" w:after="300" w:line="315" w:lineRule="exact"/>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3</w:t>
      </w:r>
      <w:bookmarkEnd w:id="522"/>
      <w:r>
        <w:rPr>
          <w:color w:val="000000"/>
          <w:spacing w:val="0"/>
          <w:w w:val="100"/>
          <w:position w:val="0"/>
        </w:rPr>
        <w:t>、</w:t>
        <w:tab/>
        <w:t>共同对外投资的关联交易</w:t>
      </w:r>
      <w:bookmarkEnd w:id="520"/>
      <w:bookmarkEnd w:id="521"/>
      <w:bookmarkEnd w:id="523"/>
    </w:p>
    <w:p>
      <w:pPr>
        <w:pStyle w:val="Style31"/>
        <w:keepNext w:val="0"/>
        <w:keepLines w:val="0"/>
        <w:widowControl w:val="0"/>
        <w:shd w:val="clear" w:color="auto" w:fill="auto"/>
        <w:bidi w:val="0"/>
        <w:spacing w:before="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val="0"/>
        <w:keepLines w:val="0"/>
        <w:widowControl w:val="0"/>
        <w:shd w:val="clear" w:color="auto" w:fill="auto"/>
        <w:bidi w:val="0"/>
        <w:spacing w:before="0" w:after="300" w:line="315" w:lineRule="exact"/>
        <w:ind w:left="0" w:right="0" w:firstLine="0"/>
        <w:jc w:val="left"/>
      </w:pPr>
      <w:r>
        <w:rPr>
          <w:color w:val="000000"/>
          <w:spacing w:val="0"/>
          <w:w w:val="100"/>
          <w:position w:val="0"/>
        </w:rPr>
        <w:t>公司报告期未发生共同对外投资的关联交易。</w:t>
      </w:r>
    </w:p>
    <w:p>
      <w:pPr>
        <w:pStyle w:val="Style28"/>
        <w:keepNext/>
        <w:keepLines/>
        <w:widowControl w:val="0"/>
        <w:shd w:val="clear" w:color="auto" w:fill="auto"/>
        <w:tabs>
          <w:tab w:pos="378" w:val="left"/>
        </w:tabs>
        <w:bidi w:val="0"/>
        <w:spacing w:before="0" w:after="300" w:line="315" w:lineRule="exact"/>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4</w:t>
      </w:r>
      <w:bookmarkEnd w:id="526"/>
      <w:r>
        <w:rPr>
          <w:color w:val="000000"/>
          <w:spacing w:val="0"/>
          <w:w w:val="100"/>
          <w:position w:val="0"/>
        </w:rPr>
        <w:t>、</w:t>
        <w:tab/>
        <w:t>关联债权债务往来</w:t>
      </w:r>
      <w:bookmarkEnd w:id="524"/>
      <w:bookmarkEnd w:id="525"/>
      <w:bookmarkEnd w:id="527"/>
    </w:p>
    <w:p>
      <w:pPr>
        <w:pStyle w:val="Style31"/>
        <w:keepNext w:val="0"/>
        <w:keepLines w:val="0"/>
        <w:widowControl w:val="0"/>
        <w:shd w:val="clear" w:color="auto" w:fill="auto"/>
        <w:bidi w:val="0"/>
        <w:spacing w:before="0" w:line="315"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line="315" w:lineRule="exact"/>
        <w:ind w:left="0" w:right="0" w:firstLine="0"/>
        <w:jc w:val="left"/>
      </w:pPr>
      <w:r>
        <w:rPr>
          <w:color w:val="000000"/>
          <w:spacing w:val="0"/>
          <w:w w:val="100"/>
          <w:position w:val="0"/>
        </w:rPr>
        <w:t>是否存在非经营性关联债权债务往来</w:t>
      </w:r>
    </w:p>
    <w:p>
      <w:pPr>
        <w:pStyle w:val="Style31"/>
        <w:keepNext w:val="0"/>
        <w:keepLines w:val="0"/>
        <w:widowControl w:val="0"/>
        <w:shd w:val="clear" w:color="auto" w:fill="auto"/>
        <w:bidi w:val="0"/>
        <w:spacing w:before="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31"/>
        <w:keepNext w:val="0"/>
        <w:keepLines w:val="0"/>
        <w:widowControl w:val="0"/>
        <w:shd w:val="clear" w:color="auto" w:fill="auto"/>
        <w:bidi w:val="0"/>
        <w:spacing w:before="0" w:after="300" w:line="315" w:lineRule="exact"/>
        <w:ind w:left="0" w:right="0" w:firstLine="0"/>
        <w:jc w:val="left"/>
      </w:pPr>
      <w:r>
        <w:rPr>
          <w:color w:val="000000"/>
          <w:spacing w:val="0"/>
          <w:w w:val="100"/>
          <w:position w:val="0"/>
        </w:rPr>
        <w:t>公司报告期不存在非经营性关联债权债务往来。</w:t>
      </w:r>
    </w:p>
    <w:p>
      <w:pPr>
        <w:pStyle w:val="Style28"/>
        <w:keepNext/>
        <w:keepLines/>
        <w:widowControl w:val="0"/>
        <w:shd w:val="clear" w:color="auto" w:fill="auto"/>
        <w:tabs>
          <w:tab w:pos="378" w:val="left"/>
        </w:tabs>
        <w:bidi w:val="0"/>
        <w:spacing w:before="0" w:after="300" w:line="315" w:lineRule="exact"/>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5</w:t>
      </w:r>
      <w:bookmarkEnd w:id="530"/>
      <w:r>
        <w:rPr>
          <w:color w:val="000000"/>
          <w:spacing w:val="0"/>
          <w:w w:val="100"/>
          <w:position w:val="0"/>
        </w:rPr>
        <w:t>、</w:t>
        <w:tab/>
        <w:t>与存在关联关系的财务公司的往来情况</w:t>
      </w:r>
      <w:bookmarkEnd w:id="528"/>
      <w:bookmarkEnd w:id="529"/>
      <w:bookmarkEnd w:id="531"/>
    </w:p>
    <w:p>
      <w:pPr>
        <w:pStyle w:val="Style31"/>
        <w:keepNext w:val="0"/>
        <w:keepLines w:val="0"/>
        <w:widowControl w:val="0"/>
        <w:shd w:val="clear" w:color="auto" w:fill="auto"/>
        <w:bidi w:val="0"/>
        <w:spacing w:before="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val="0"/>
        <w:keepLines w:val="0"/>
        <w:widowControl w:val="0"/>
        <w:shd w:val="clear" w:color="auto" w:fill="auto"/>
        <w:bidi w:val="0"/>
        <w:spacing w:before="0" w:after="300" w:line="315" w:lineRule="exact"/>
        <w:ind w:left="0" w:right="0" w:firstLine="0"/>
        <w:jc w:val="left"/>
      </w:pPr>
      <w:r>
        <w:rPr>
          <w:color w:val="000000"/>
          <w:spacing w:val="0"/>
          <w:w w:val="100"/>
          <w:position w:val="0"/>
        </w:rPr>
        <w:t>公司与存在关联关系的财务公司与关联方之间不存在存款、贷款、授信或其他金融业务。</w:t>
      </w:r>
    </w:p>
    <w:p>
      <w:pPr>
        <w:pStyle w:val="Style28"/>
        <w:keepNext/>
        <w:keepLines/>
        <w:widowControl w:val="0"/>
        <w:shd w:val="clear" w:color="auto" w:fill="auto"/>
        <w:tabs>
          <w:tab w:pos="378" w:val="left"/>
        </w:tabs>
        <w:bidi w:val="0"/>
        <w:spacing w:before="0" w:after="300" w:line="315" w:lineRule="exact"/>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6</w:t>
      </w:r>
      <w:bookmarkEnd w:id="534"/>
      <w:r>
        <w:rPr>
          <w:color w:val="000000"/>
          <w:spacing w:val="0"/>
          <w:w w:val="100"/>
          <w:position w:val="0"/>
        </w:rPr>
        <w:t>、</w:t>
        <w:tab/>
        <w:t>公司控股的财务公司与关联方的往来情况</w:t>
      </w:r>
      <w:bookmarkEnd w:id="532"/>
      <w:bookmarkEnd w:id="533"/>
      <w:bookmarkEnd w:id="535"/>
    </w:p>
    <w:p>
      <w:pPr>
        <w:pStyle w:val="Style31"/>
        <w:keepNext w:val="0"/>
        <w:keepLines w:val="0"/>
        <w:widowControl w:val="0"/>
        <w:shd w:val="clear" w:color="auto" w:fill="auto"/>
        <w:bidi w:val="0"/>
        <w:spacing w:before="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val="0"/>
        <w:keepLines w:val="0"/>
        <w:widowControl w:val="0"/>
        <w:shd w:val="clear" w:color="auto" w:fill="auto"/>
        <w:bidi w:val="0"/>
        <w:spacing w:before="0" w:after="300" w:line="315" w:lineRule="exact"/>
        <w:ind w:left="0" w:right="0" w:firstLine="0"/>
        <w:jc w:val="left"/>
      </w:pPr>
      <w:r>
        <w:rPr>
          <w:color w:val="000000"/>
          <w:spacing w:val="0"/>
          <w:w w:val="100"/>
          <w:position w:val="0"/>
        </w:rPr>
        <w:t>公司控股的财务公司与关联方之间不存在存款、贷款、授信或其他金融业务。</w:t>
      </w:r>
    </w:p>
    <w:p>
      <w:pPr>
        <w:pStyle w:val="Style28"/>
        <w:keepNext/>
        <w:keepLines/>
        <w:widowControl w:val="0"/>
        <w:shd w:val="clear" w:color="auto" w:fill="auto"/>
        <w:tabs>
          <w:tab w:pos="378" w:val="left"/>
        </w:tabs>
        <w:bidi w:val="0"/>
        <w:spacing w:before="0" w:after="300" w:line="315" w:lineRule="exact"/>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7</w:t>
      </w:r>
      <w:bookmarkEnd w:id="538"/>
      <w:r>
        <w:rPr>
          <w:color w:val="000000"/>
          <w:spacing w:val="0"/>
          <w:w w:val="100"/>
          <w:position w:val="0"/>
        </w:rPr>
        <w:t>、</w:t>
        <w:tab/>
        <w:t>其他重大关联交易</w:t>
      </w:r>
      <w:bookmarkEnd w:id="536"/>
      <w:bookmarkEnd w:id="537"/>
      <w:bookmarkEnd w:id="539"/>
    </w:p>
    <w:p>
      <w:pPr>
        <w:pStyle w:val="Style31"/>
        <w:keepNext w:val="0"/>
        <w:keepLines w:val="0"/>
        <w:widowControl w:val="0"/>
        <w:shd w:val="clear" w:color="auto" w:fill="auto"/>
        <w:bidi w:val="0"/>
        <w:spacing w:before="0" w:line="315" w:lineRule="exact"/>
        <w:ind w:left="0" w:right="0" w:firstLine="0"/>
        <w:jc w:val="both"/>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line="315" w:lineRule="exact"/>
        <w:ind w:left="0" w:right="0" w:firstLine="440"/>
        <w:jc w:val="both"/>
      </w:pPr>
      <w:r>
        <w:rPr>
          <w:color w:val="000000"/>
          <w:spacing w:val="0"/>
          <w:w w:val="100"/>
          <w:position w:val="0"/>
        </w:rPr>
        <w:t>公司根据</w:t>
      </w:r>
      <w:r>
        <w:rPr>
          <w:rFonts w:ascii="Times New Roman" w:eastAsia="Times New Roman" w:hAnsi="Times New Roman" w:cs="Times New Roman"/>
          <w:color w:val="000000"/>
          <w:spacing w:val="0"/>
          <w:w w:val="100"/>
          <w:position w:val="0"/>
        </w:rPr>
        <w:t>2021</w:t>
      </w:r>
      <w:r>
        <w:rPr>
          <w:color w:val="000000"/>
          <w:spacing w:val="0"/>
          <w:w w:val="100"/>
          <w:position w:val="0"/>
        </w:rPr>
        <w:t>年度经营计划对资金的需求，拟向银行申请总额度不超过人民币</w:t>
      </w:r>
      <w:r>
        <w:rPr>
          <w:rFonts w:ascii="Times New Roman" w:eastAsia="Times New Roman" w:hAnsi="Times New Roman" w:cs="Times New Roman"/>
          <w:color w:val="000000"/>
          <w:spacing w:val="0"/>
          <w:w w:val="100"/>
          <w:position w:val="0"/>
        </w:rPr>
        <w:t>12,000.00</w:t>
      </w:r>
      <w:r>
        <w:rPr>
          <w:color w:val="000000"/>
          <w:spacing w:val="0"/>
          <w:w w:val="100"/>
          <w:position w:val="0"/>
        </w:rPr>
        <w:t xml:space="preserve">万元的综合 授信额度，并接受由实际控制人马学沛、林明玲夫妇为实际贷款提供连带责任保证担保。该事项经公司于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日召开的第二届董事会第十六次会议及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日召开的</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 会审议通过。</w:t>
      </w:r>
    </w:p>
    <w:p>
      <w:pPr>
        <w:pStyle w:val="Style31"/>
        <w:keepNext w:val="0"/>
        <w:keepLines w:val="0"/>
        <w:widowControl w:val="0"/>
        <w:shd w:val="clear" w:color="auto" w:fill="auto"/>
        <w:bidi w:val="0"/>
        <w:spacing w:before="0" w:line="315" w:lineRule="exact"/>
        <w:ind w:left="0" w:right="0" w:firstLine="440"/>
        <w:jc w:val="both"/>
      </w:pPr>
      <w:r>
        <w:rPr>
          <w:color w:val="000000"/>
          <w:spacing w:val="0"/>
          <w:w w:val="100"/>
          <w:position w:val="0"/>
        </w:rPr>
        <w:t>报告期内，实际发生的贷款及关联担保情况如下：</w:t>
      </w:r>
    </w:p>
    <w:p>
      <w:pPr>
        <w:pStyle w:val="Style31"/>
        <w:keepNext w:val="0"/>
        <w:keepLines w:val="0"/>
        <w:widowControl w:val="0"/>
        <w:shd w:val="clear" w:color="auto" w:fill="auto"/>
        <w:bidi w:val="0"/>
        <w:spacing w:before="0" w:line="307" w:lineRule="exact"/>
        <w:ind w:left="0" w:right="0" w:firstLine="440"/>
        <w:jc w:val="both"/>
      </w:pPr>
      <w:bookmarkStart w:id="540" w:name="bookmark540"/>
      <w:r>
        <w:rPr>
          <w:color w:val="000000"/>
          <w:spacing w:val="0"/>
          <w:w w:val="100"/>
          <w:position w:val="0"/>
        </w:rPr>
        <w:t>（</w:t>
      </w:r>
      <w:bookmarkEnd w:id="540"/>
      <w:r>
        <w:rPr>
          <w:rFonts w:ascii="Times New Roman" w:eastAsia="Times New Roman" w:hAnsi="Times New Roman" w:cs="Times New Roman"/>
          <w:color w:val="000000"/>
          <w:spacing w:val="0"/>
          <w:w w:val="100"/>
          <w:position w:val="0"/>
        </w:rPr>
        <w:t>1</w:t>
      </w:r>
      <w:r>
        <w:rPr>
          <w:color w:val="000000"/>
          <w:spacing w:val="0"/>
          <w:w w:val="100"/>
          <w:position w:val="0"/>
        </w:rPr>
        <w:t>）实际控制人林明玲、马学沛夫妇与中国建设银行股份有限银行汕头市分行签订《最高额保证合 同》，担保方式为连带保证，担保范围为债权人与债务人自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日期间内 的所有债权，担保责任最高限额为</w:t>
      </w:r>
      <w:r>
        <w:rPr>
          <w:rFonts w:ascii="Times New Roman" w:eastAsia="Times New Roman" w:hAnsi="Times New Roman" w:cs="Times New Roman"/>
          <w:color w:val="000000"/>
          <w:spacing w:val="0"/>
          <w:w w:val="100"/>
          <w:position w:val="0"/>
        </w:rPr>
        <w:t>4,800.00</w:t>
      </w:r>
      <w:r>
        <w:rPr>
          <w:color w:val="000000"/>
          <w:spacing w:val="0"/>
          <w:w w:val="100"/>
          <w:position w:val="0"/>
        </w:rPr>
        <w:t>万元，担保期限为债务履行期限届满之日起三年。</w:t>
      </w:r>
    </w:p>
    <w:p>
      <w:pPr>
        <w:pStyle w:val="Style31"/>
        <w:keepNext w:val="0"/>
        <w:keepLines w:val="0"/>
        <w:widowControl w:val="0"/>
        <w:shd w:val="clear" w:color="auto" w:fill="auto"/>
        <w:bidi w:val="0"/>
        <w:spacing w:before="0" w:after="220" w:line="315"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日，公司向中国建设银行股份有限公司汕头市分行实际借款</w:t>
      </w:r>
      <w:r>
        <w:rPr>
          <w:rFonts w:ascii="Times New Roman" w:eastAsia="Times New Roman" w:hAnsi="Times New Roman" w:cs="Times New Roman"/>
          <w:color w:val="000000"/>
          <w:spacing w:val="0"/>
          <w:w w:val="100"/>
          <w:position w:val="0"/>
        </w:rPr>
        <w:t>1,000</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31"/>
        <w:keepNext w:val="0"/>
        <w:keepLines w:val="0"/>
        <w:widowControl w:val="0"/>
        <w:shd w:val="clear" w:color="auto" w:fill="auto"/>
        <w:bidi w:val="0"/>
        <w:spacing w:before="0" w:line="312" w:lineRule="exact"/>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日已偿还。</w:t>
      </w:r>
    </w:p>
    <w:p>
      <w:pPr>
        <w:pStyle w:val="Style31"/>
        <w:keepNext w:val="0"/>
        <w:keepLines w:val="0"/>
        <w:widowControl w:val="0"/>
        <w:shd w:val="clear" w:color="auto" w:fill="auto"/>
        <w:bidi w:val="0"/>
        <w:spacing w:before="0" w:line="312" w:lineRule="exact"/>
        <w:ind w:left="0" w:right="0" w:firstLine="440"/>
        <w:jc w:val="left"/>
      </w:pPr>
      <w:bookmarkStart w:id="541" w:name="bookmark541"/>
      <w:r>
        <w:rPr>
          <w:color w:val="000000"/>
          <w:spacing w:val="0"/>
          <w:w w:val="100"/>
          <w:position w:val="0"/>
        </w:rPr>
        <w:t>（</w:t>
      </w:r>
      <w:bookmarkEnd w:id="541"/>
      <w:r>
        <w:rPr>
          <w:rFonts w:ascii="Times New Roman" w:eastAsia="Times New Roman" w:hAnsi="Times New Roman" w:cs="Times New Roman"/>
          <w:color w:val="000000"/>
          <w:spacing w:val="0"/>
          <w:w w:val="100"/>
          <w:position w:val="0"/>
        </w:rPr>
        <w:t>2</w:t>
      </w:r>
      <w:r>
        <w:rPr>
          <w:color w:val="000000"/>
          <w:spacing w:val="0"/>
          <w:w w:val="100"/>
          <w:position w:val="0"/>
        </w:rPr>
        <w:t>）实际控制人林明玲、马学沛夫妇与中国工商银行股份有限公司汕头安平支行签订最高额保证合 同，最高额保证项下保证责任的最高限额人民币</w:t>
      </w:r>
      <w:r>
        <w:rPr>
          <w:rFonts w:ascii="Times New Roman" w:eastAsia="Times New Roman" w:hAnsi="Times New Roman" w:cs="Times New Roman"/>
          <w:color w:val="000000"/>
          <w:spacing w:val="0"/>
          <w:w w:val="100"/>
          <w:position w:val="0"/>
        </w:rPr>
        <w:t>3,800</w:t>
      </w:r>
      <w:r>
        <w:rPr>
          <w:color w:val="000000"/>
          <w:spacing w:val="0"/>
          <w:w w:val="100"/>
          <w:position w:val="0"/>
        </w:rPr>
        <w:t>万元整，保证期间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p>
      <w:pPr>
        <w:pStyle w:val="Style31"/>
        <w:keepNext w:val="0"/>
        <w:keepLines w:val="0"/>
        <w:widowControl w:val="0"/>
        <w:shd w:val="clear" w:color="auto" w:fill="auto"/>
        <w:bidi w:val="0"/>
        <w:spacing w:before="0" w:line="312" w:lineRule="exact"/>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日，公司与中国工商银行股份有限公司汕头安平支行实际借款人民币</w:t>
      </w:r>
      <w:r>
        <w:rPr>
          <w:rFonts w:ascii="Times New Roman" w:eastAsia="Times New Roman" w:hAnsi="Times New Roman" w:cs="Times New Roman"/>
          <w:color w:val="000000"/>
          <w:spacing w:val="0"/>
          <w:w w:val="100"/>
          <w:position w:val="0"/>
        </w:rPr>
        <w:t>800</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日已偿还。</w:t>
      </w:r>
    </w:p>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重大关联交易临时报告披露网站相关查询</w:t>
      </w:r>
    </w:p>
    <w:tbl>
      <w:tblPr>
        <w:tblOverlap w:val="never"/>
        <w:jc w:val="center"/>
        <w:tblLayout w:type="fixed"/>
      </w:tblPr>
      <w:tblGrid>
        <w:gridCol w:w="4742"/>
        <w:gridCol w:w="1070"/>
        <w:gridCol w:w="3869"/>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临时公告披 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《广东天亿马信息产业股份有限公司关于公司拟申请银行综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全国中小企业股份转让系统指定信息披露平台</w:t>
            </w:r>
          </w:p>
        </w:tc>
      </w:tr>
      <w:tr>
        <w:trPr>
          <w:trHeight w:val="360"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合授信额度暨偶发性关联交易的公告》</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fldChar w:fldCharType="begin"/>
            </w:r>
            <w:r>
              <w:rPr/>
              <w:instrText> HYPERLINK "http://www.neeq.com.cn" </w:instrText>
            </w:r>
            <w:r>
              <w:fldChar w:fldCharType="separate"/>
            </w:r>
            <w:r>
              <w:rPr>
                <w:rFonts w:ascii="Times New Roman" w:eastAsia="Times New Roman" w:hAnsi="Times New Roman" w:cs="Times New Roman"/>
                <w:color w:val="000000"/>
                <w:spacing w:val="0"/>
                <w:w w:val="100"/>
                <w:position w:val="0"/>
                <w:sz w:val="18"/>
                <w:szCs w:val="18"/>
              </w:rPr>
              <w:t>www.neeq.com.cn</w:t>
            </w:r>
            <w:r>
              <w:fldChar w:fldCharType="end"/>
            </w:r>
            <w:r>
              <w:rPr>
                <w:color w:val="000000"/>
                <w:spacing w:val="0"/>
                <w:w w:val="100"/>
                <w:position w:val="0"/>
              </w:rPr>
              <w:t>)</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both"/>
      </w:pPr>
      <w:bookmarkStart w:id="542" w:name="bookmark542"/>
      <w:bookmarkStart w:id="543" w:name="bookmark543"/>
      <w:bookmarkStart w:id="544" w:name="bookmark544"/>
      <w:r>
        <w:rPr>
          <w:color w:val="000000"/>
          <w:spacing w:val="0"/>
          <w:w w:val="100"/>
          <w:position w:val="0"/>
        </w:rPr>
        <w:t>十五、重大合同及其履行情况</w:t>
      </w:r>
      <w:bookmarkEnd w:id="542"/>
      <w:bookmarkEnd w:id="543"/>
      <w:bookmarkEnd w:id="544"/>
    </w:p>
    <w:p>
      <w:pPr>
        <w:pStyle w:val="Style28"/>
        <w:keepNext/>
        <w:keepLines/>
        <w:widowControl w:val="0"/>
        <w:shd w:val="clear" w:color="auto" w:fill="auto"/>
        <w:tabs>
          <w:tab w:pos="368" w:val="left"/>
        </w:tabs>
        <w:bidi w:val="0"/>
        <w:spacing w:before="0" w:line="240" w:lineRule="auto"/>
        <w:ind w:left="0" w:right="0" w:firstLine="0"/>
        <w:jc w:val="both"/>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1</w:t>
      </w:r>
      <w:bookmarkEnd w:id="547"/>
      <w:r>
        <w:rPr>
          <w:color w:val="000000"/>
          <w:spacing w:val="0"/>
          <w:w w:val="100"/>
          <w:position w:val="0"/>
        </w:rPr>
        <w:t>、</w:t>
        <w:tab/>
        <w:t>托管、承包、租赁事项情况</w:t>
      </w:r>
      <w:bookmarkEnd w:id="545"/>
      <w:bookmarkEnd w:id="546"/>
      <w:bookmarkEnd w:id="548"/>
    </w:p>
    <w:p>
      <w:pPr>
        <w:pStyle w:val="Style35"/>
        <w:keepNext/>
        <w:keepLines/>
        <w:widowControl w:val="0"/>
        <w:shd w:val="clear" w:color="auto" w:fill="auto"/>
        <w:tabs>
          <w:tab w:pos="493" w:val="left"/>
        </w:tabs>
        <w:bidi w:val="0"/>
        <w:spacing w:before="0" w:after="360" w:line="240" w:lineRule="auto"/>
        <w:ind w:left="0" w:right="0" w:firstLine="0"/>
        <w:jc w:val="both"/>
      </w:pPr>
      <w:bookmarkStart w:id="549" w:name="bookmark549"/>
      <w:bookmarkStart w:id="550" w:name="bookmark550"/>
      <w:bookmarkStart w:id="551" w:name="bookmark551"/>
      <w:bookmarkStart w:id="552" w:name="bookmark552"/>
      <w:r>
        <w:rPr>
          <w:color w:val="000000"/>
          <w:spacing w:val="0"/>
          <w:w w:val="100"/>
          <w:position w:val="0"/>
        </w:rPr>
        <w:t>（</w:t>
      </w:r>
      <w:bookmarkEnd w:id="55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49"/>
      <w:bookmarkEnd w:id="550"/>
      <w:bookmarkEnd w:id="552"/>
    </w:p>
    <w:p>
      <w:pPr>
        <w:pStyle w:val="Style31"/>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公司报告期不存在托管情况。</w:t>
      </w:r>
    </w:p>
    <w:p>
      <w:pPr>
        <w:pStyle w:val="Style35"/>
        <w:keepNext/>
        <w:keepLines/>
        <w:widowControl w:val="0"/>
        <w:shd w:val="clear" w:color="auto" w:fill="auto"/>
        <w:tabs>
          <w:tab w:pos="493" w:val="left"/>
        </w:tabs>
        <w:bidi w:val="0"/>
        <w:spacing w:before="0" w:after="360" w:line="240" w:lineRule="auto"/>
        <w:ind w:left="0" w:right="0" w:firstLine="0"/>
        <w:jc w:val="both"/>
      </w:pPr>
      <w:bookmarkStart w:id="553" w:name="bookmark553"/>
      <w:bookmarkStart w:id="554" w:name="bookmark554"/>
      <w:bookmarkStart w:id="555" w:name="bookmark555"/>
      <w:bookmarkStart w:id="556" w:name="bookmark556"/>
      <w:r>
        <w:rPr>
          <w:color w:val="000000"/>
          <w:spacing w:val="0"/>
          <w:w w:val="100"/>
          <w:position w:val="0"/>
        </w:rPr>
        <w:t>（</w:t>
      </w:r>
      <w:bookmarkEnd w:id="555"/>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53"/>
      <w:bookmarkEnd w:id="554"/>
      <w:bookmarkEnd w:id="556"/>
    </w:p>
    <w:p>
      <w:pPr>
        <w:pStyle w:val="Style31"/>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公司报告期不存在承包情况。</w:t>
      </w:r>
    </w:p>
    <w:p>
      <w:pPr>
        <w:pStyle w:val="Style35"/>
        <w:keepNext/>
        <w:keepLines/>
        <w:widowControl w:val="0"/>
        <w:shd w:val="clear" w:color="auto" w:fill="auto"/>
        <w:tabs>
          <w:tab w:pos="493" w:val="left"/>
        </w:tabs>
        <w:bidi w:val="0"/>
        <w:spacing w:before="0" w:after="360" w:line="240" w:lineRule="auto"/>
        <w:ind w:left="0" w:right="0" w:firstLine="0"/>
        <w:jc w:val="both"/>
      </w:pPr>
      <w:bookmarkStart w:id="557" w:name="bookmark557"/>
      <w:bookmarkStart w:id="558" w:name="bookmark558"/>
      <w:bookmarkStart w:id="559" w:name="bookmark559"/>
      <w:bookmarkStart w:id="560" w:name="bookmark560"/>
      <w:r>
        <w:rPr>
          <w:color w:val="000000"/>
          <w:spacing w:val="0"/>
          <w:w w:val="100"/>
          <w:position w:val="0"/>
        </w:rPr>
        <w:t>（</w:t>
      </w:r>
      <w:bookmarkEnd w:id="559"/>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57"/>
      <w:bookmarkEnd w:id="558"/>
      <w:bookmarkEnd w:id="560"/>
    </w:p>
    <w:p>
      <w:pPr>
        <w:pStyle w:val="Style31"/>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公司报告期不存在租赁情况。</w:t>
      </w:r>
    </w:p>
    <w:p>
      <w:pPr>
        <w:pStyle w:val="Style28"/>
        <w:keepNext/>
        <w:keepLines/>
        <w:widowControl w:val="0"/>
        <w:shd w:val="clear" w:color="auto" w:fill="auto"/>
        <w:tabs>
          <w:tab w:pos="378" w:val="left"/>
        </w:tabs>
        <w:bidi w:val="0"/>
        <w:spacing w:before="0" w:line="240" w:lineRule="auto"/>
        <w:ind w:left="0" w:right="0" w:firstLine="0"/>
        <w:jc w:val="both"/>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2</w:t>
      </w:r>
      <w:bookmarkEnd w:id="563"/>
      <w:r>
        <w:rPr>
          <w:color w:val="000000"/>
          <w:spacing w:val="0"/>
          <w:w w:val="100"/>
          <w:position w:val="0"/>
        </w:rPr>
        <w:t>、</w:t>
        <w:tab/>
        <w:t>重大担保</w:t>
      </w:r>
      <w:bookmarkEnd w:id="561"/>
      <w:bookmarkEnd w:id="562"/>
      <w:bookmarkEnd w:id="564"/>
    </w:p>
    <w:p>
      <w:pPr>
        <w:pStyle w:val="Style31"/>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公司报告期不存在重大担保情况。</w:t>
      </w:r>
    </w:p>
    <w:p>
      <w:pPr>
        <w:pStyle w:val="Style28"/>
        <w:keepNext/>
        <w:keepLines/>
        <w:widowControl w:val="0"/>
        <w:shd w:val="clear" w:color="auto" w:fill="auto"/>
        <w:tabs>
          <w:tab w:pos="378" w:val="left"/>
        </w:tabs>
        <w:bidi w:val="0"/>
        <w:spacing w:before="0" w:line="240" w:lineRule="auto"/>
        <w:ind w:left="0" w:right="0" w:firstLine="0"/>
        <w:jc w:val="both"/>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3</w:t>
      </w:r>
      <w:bookmarkEnd w:id="567"/>
      <w:r>
        <w:rPr>
          <w:color w:val="000000"/>
          <w:spacing w:val="0"/>
          <w:w w:val="100"/>
          <w:position w:val="0"/>
        </w:rPr>
        <w:t>、</w:t>
        <w:tab/>
        <w:t>委托他人进行现金资产管理情况</w:t>
      </w:r>
      <w:bookmarkEnd w:id="565"/>
      <w:bookmarkEnd w:id="566"/>
      <w:bookmarkEnd w:id="568"/>
    </w:p>
    <w:p>
      <w:pPr>
        <w:pStyle w:val="Style35"/>
        <w:keepNext/>
        <w:keepLines/>
        <w:widowControl w:val="0"/>
        <w:shd w:val="clear" w:color="auto" w:fill="auto"/>
        <w:bidi w:val="0"/>
        <w:spacing w:before="0" w:after="360" w:line="240" w:lineRule="auto"/>
        <w:ind w:left="0" w:right="0" w:firstLine="0"/>
        <w:jc w:val="both"/>
      </w:pPr>
      <w:bookmarkStart w:id="569" w:name="bookmark569"/>
      <w:bookmarkStart w:id="570" w:name="bookmark570"/>
      <w:bookmarkStart w:id="571" w:name="bookmark571"/>
      <w:bookmarkStart w:id="572" w:name="bookmark572"/>
      <w:r>
        <w:rPr>
          <w:color w:val="000000"/>
          <w:spacing w:val="0"/>
          <w:w w:val="100"/>
          <w:position w:val="0"/>
        </w:rPr>
        <w:t>（</w:t>
      </w:r>
      <w:bookmarkEnd w:id="57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69"/>
      <w:bookmarkEnd w:id="570"/>
      <w:bookmarkEnd w:id="572"/>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 xml:space="preserve">q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报告期内委托理财概况</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10"/>
        <w:gridCol w:w="1776"/>
        <w:gridCol w:w="1392"/>
        <w:gridCol w:w="1013"/>
        <w:gridCol w:w="1584"/>
        <w:gridCol w:w="273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具体类型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委托理财发生额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逾期未收回理财已计提减值金额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44,103.29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42,383.57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19" w:line="1" w:lineRule="exact"/>
      </w:pP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单项金额重大或安全性较低、流动性较差的高风险委托理财具体情况</w:t>
      </w:r>
    </w:p>
    <w:p>
      <w:pPr>
        <w:pStyle w:val="Style31"/>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委托理财出现预期无法收回本金或存在其他可能导致减值的情形</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573" w:name="bookmark573"/>
      <w:bookmarkStart w:id="574" w:name="bookmark574"/>
      <w:bookmarkStart w:id="575" w:name="bookmark575"/>
      <w:bookmarkStart w:id="576" w:name="bookmark576"/>
      <w:r>
        <w:rPr>
          <w:color w:val="000000"/>
          <w:spacing w:val="0"/>
          <w:w w:val="100"/>
          <w:position w:val="0"/>
        </w:rPr>
        <w:t>（</w:t>
      </w:r>
      <w:bookmarkEnd w:id="575"/>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73"/>
      <w:bookmarkEnd w:id="574"/>
      <w:bookmarkEnd w:id="576"/>
    </w:p>
    <w:p>
      <w:pPr>
        <w:pStyle w:val="Style31"/>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28"/>
        <w:keepNext/>
        <w:keepLines/>
        <w:widowControl w:val="0"/>
        <w:shd w:val="clear" w:color="auto" w:fill="auto"/>
        <w:bidi w:val="0"/>
        <w:spacing w:before="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4</w:t>
      </w:r>
      <w:bookmarkEnd w:id="579"/>
      <w:r>
        <w:rPr>
          <w:color w:val="000000"/>
          <w:spacing w:val="0"/>
          <w:w w:val="100"/>
          <w:position w:val="0"/>
        </w:rPr>
        <w:t>、其他重大合同</w:t>
      </w:r>
      <w:bookmarkEnd w:id="577"/>
      <w:bookmarkEnd w:id="578"/>
      <w:bookmarkEnd w:id="580"/>
    </w:p>
    <w:p>
      <w:pPr>
        <w:pStyle w:val="Style31"/>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5"/>
        <w:keepNext/>
        <w:keepLines/>
        <w:widowControl w:val="0"/>
        <w:shd w:val="clear" w:color="auto" w:fill="auto"/>
        <w:bidi w:val="0"/>
        <w:spacing w:before="0" w:after="360" w:line="240" w:lineRule="auto"/>
        <w:ind w:left="0" w:right="0" w:firstLine="0"/>
        <w:jc w:val="left"/>
      </w:pPr>
      <w:bookmarkStart w:id="581" w:name="bookmark581"/>
      <w:bookmarkStart w:id="582" w:name="bookmark582"/>
      <w:bookmarkStart w:id="583" w:name="bookmark583"/>
      <w:r>
        <w:rPr>
          <w:color w:val="000000"/>
          <w:spacing w:val="0"/>
          <w:w w:val="100"/>
          <w:position w:val="0"/>
        </w:rPr>
        <w:t>十六、其他重大事项的说明</w:t>
      </w:r>
      <w:bookmarkEnd w:id="581"/>
      <w:bookmarkEnd w:id="582"/>
      <w:bookmarkEnd w:id="583"/>
    </w:p>
    <w:p>
      <w:pPr>
        <w:pStyle w:val="Style31"/>
        <w:keepNext w:val="0"/>
        <w:keepLines w:val="0"/>
        <w:widowControl w:val="0"/>
        <w:numPr>
          <w:ilvl w:val="0"/>
          <w:numId w:val="109"/>
        </w:numPr>
        <w:shd w:val="clear" w:color="auto" w:fill="auto"/>
        <w:tabs>
          <w:tab w:pos="296" w:val="left"/>
        </w:tabs>
        <w:bidi w:val="0"/>
        <w:spacing w:before="0" w:after="220" w:line="240" w:lineRule="auto"/>
        <w:ind w:left="0" w:right="0" w:firstLine="0"/>
        <w:jc w:val="left"/>
      </w:pPr>
      <w:bookmarkStart w:id="584" w:name="bookmark584"/>
      <w:bookmarkEnd w:id="584"/>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公司报告期不存在需要说明的其他重大事项。</w:t>
      </w:r>
    </w:p>
    <w:p>
      <w:pPr>
        <w:pStyle w:val="Style25"/>
        <w:keepNext/>
        <w:keepLines/>
        <w:widowControl w:val="0"/>
        <w:shd w:val="clear" w:color="auto" w:fill="auto"/>
        <w:bidi w:val="0"/>
        <w:spacing w:before="0" w:after="360" w:line="240" w:lineRule="auto"/>
        <w:ind w:left="0" w:right="0" w:firstLine="0"/>
        <w:jc w:val="left"/>
      </w:pPr>
      <w:bookmarkStart w:id="585" w:name="bookmark585"/>
      <w:bookmarkStart w:id="586" w:name="bookmark586"/>
      <w:bookmarkStart w:id="587" w:name="bookmark587"/>
      <w:r>
        <w:rPr>
          <w:color w:val="000000"/>
          <w:spacing w:val="0"/>
          <w:w w:val="100"/>
          <w:position w:val="0"/>
        </w:rPr>
        <w:t>十七、公司子公司重大事项</w:t>
      </w:r>
      <w:bookmarkEnd w:id="585"/>
      <w:bookmarkEnd w:id="586"/>
      <w:bookmarkEnd w:id="587"/>
    </w:p>
    <w:p>
      <w:pPr>
        <w:pStyle w:val="Style31"/>
        <w:keepNext w:val="0"/>
        <w:keepLines w:val="0"/>
        <w:widowControl w:val="0"/>
        <w:numPr>
          <w:ilvl w:val="0"/>
          <w:numId w:val="109"/>
        </w:numPr>
        <w:shd w:val="clear" w:color="auto" w:fill="auto"/>
        <w:tabs>
          <w:tab w:pos="296" w:val="left"/>
        </w:tabs>
        <w:bidi w:val="0"/>
        <w:spacing w:before="0" w:after="280" w:line="240" w:lineRule="auto"/>
        <w:ind w:left="0" w:right="0" w:firstLine="0"/>
        <w:jc w:val="left"/>
      </w:pPr>
      <w:bookmarkStart w:id="588" w:name="bookmark588"/>
      <w:bookmarkEnd w:id="58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r>
        <w:br w:type="page"/>
      </w:r>
    </w:p>
    <w:p>
      <w:pPr>
        <w:pStyle w:val="Style9"/>
        <w:keepNext/>
        <w:keepLines/>
        <w:widowControl w:val="0"/>
        <w:shd w:val="clear" w:color="auto" w:fill="auto"/>
        <w:bidi w:val="0"/>
        <w:spacing w:before="0" w:line="240" w:lineRule="auto"/>
        <w:ind w:left="0" w:right="0" w:firstLine="0"/>
        <w:jc w:val="center"/>
      </w:pPr>
      <w:bookmarkStart w:id="589" w:name="bookmark589"/>
      <w:bookmarkStart w:id="590" w:name="bookmark590"/>
      <w:bookmarkStart w:id="591" w:name="bookmark591"/>
      <w:r>
        <w:rPr>
          <w:color w:val="000000"/>
          <w:spacing w:val="0"/>
          <w:w w:val="100"/>
          <w:position w:val="0"/>
        </w:rPr>
        <w:t>第七节股份变动及股东情况</w:t>
      </w:r>
      <w:bookmarkEnd w:id="589"/>
      <w:bookmarkEnd w:id="590"/>
      <w:bookmarkEnd w:id="591"/>
    </w:p>
    <w:p>
      <w:pPr>
        <w:pStyle w:val="Style25"/>
        <w:keepNext/>
        <w:keepLines/>
        <w:widowControl w:val="0"/>
        <w:shd w:val="clear" w:color="auto" w:fill="auto"/>
        <w:bidi w:val="0"/>
        <w:spacing w:before="0" w:after="360" w:line="240" w:lineRule="auto"/>
        <w:ind w:left="0" w:right="0" w:firstLine="0"/>
        <w:jc w:val="both"/>
      </w:pPr>
      <w:bookmarkStart w:id="592" w:name="bookmark592"/>
      <w:bookmarkStart w:id="593" w:name="bookmark593"/>
      <w:bookmarkStart w:id="594" w:name="bookmark594"/>
      <w:bookmarkStart w:id="595" w:name="bookmark595"/>
      <w:bookmarkStart w:id="596" w:name="bookmark596"/>
      <w:r>
        <w:rPr>
          <w:color w:val="000000"/>
          <w:spacing w:val="0"/>
          <w:w w:val="100"/>
          <w:position w:val="0"/>
        </w:rPr>
        <w:t>一</w:t>
      </w:r>
      <w:bookmarkEnd w:id="595"/>
      <w:r>
        <w:rPr>
          <w:color w:val="000000"/>
          <w:spacing w:val="0"/>
          <w:w w:val="100"/>
          <w:position w:val="0"/>
        </w:rPr>
        <w:t>、股份变动情况</w:t>
      </w:r>
      <w:bookmarkEnd w:id="593"/>
      <w:bookmarkEnd w:id="594"/>
      <w:bookmarkEnd w:id="596"/>
      <w:bookmarkEnd w:id="592"/>
    </w:p>
    <w:p>
      <w:pPr>
        <w:pStyle w:val="Style28"/>
        <w:keepNext/>
        <w:keepLines/>
        <w:widowControl w:val="0"/>
        <w:shd w:val="clear" w:color="auto" w:fill="auto"/>
        <w:bidi w:val="0"/>
        <w:spacing w:before="0" w:line="240" w:lineRule="auto"/>
        <w:ind w:left="0" w:right="0" w:firstLine="0"/>
        <w:jc w:val="both"/>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1</w:t>
      </w:r>
      <w:bookmarkEnd w:id="599"/>
      <w:r>
        <w:rPr>
          <w:color w:val="000000"/>
          <w:spacing w:val="0"/>
          <w:w w:val="100"/>
          <w:position w:val="0"/>
        </w:rPr>
        <w:t>、股份变动情况</w:t>
      </w:r>
      <w:bookmarkEnd w:id="597"/>
      <w:bookmarkEnd w:id="598"/>
      <w:bookmarkEnd w:id="600"/>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13"/>
        <w:gridCol w:w="864"/>
        <w:gridCol w:w="782"/>
        <w:gridCol w:w="859"/>
        <w:gridCol w:w="782"/>
        <w:gridCol w:w="787"/>
        <w:gridCol w:w="922"/>
        <w:gridCol w:w="869"/>
        <w:gridCol w:w="864"/>
        <w:gridCol w:w="76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13,694,670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21,639,330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21,639,330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35,334,000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13,694,670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21,639,330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21,639,330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35,334,000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15,915,400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both"/>
            </w:pPr>
            <w:r>
              <w:rPr>
                <w:color w:val="000000"/>
                <w:spacing w:val="0"/>
                <w:w w:val="100"/>
                <w:position w:val="0"/>
              </w:rPr>
              <w:t>境内自然人持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11,977,470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18,468,600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color w:val="000000"/>
                <w:spacing w:val="0"/>
                <w:w w:val="100"/>
                <w:position w:val="0"/>
              </w:rPr>
              <w:t>境外自然人持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21,639,330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-21,639,330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-9,861,330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21,639,330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-21,639,330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-9,861,330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35,334,000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11,778,000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99" w:line="1" w:lineRule="exact"/>
      </w:pPr>
    </w:p>
    <w:p>
      <w:pPr>
        <w:pStyle w:val="Style31"/>
        <w:keepNext w:val="0"/>
        <w:keepLines w:val="0"/>
        <w:widowControl w:val="0"/>
        <w:shd w:val="clear" w:color="auto" w:fill="auto"/>
        <w:bidi w:val="0"/>
        <w:spacing w:before="0" w:after="200" w:line="240" w:lineRule="auto"/>
        <w:ind w:left="0" w:right="0" w:firstLine="0"/>
        <w:jc w:val="both"/>
      </w:pPr>
      <w:r>
        <w:rPr>
          <w:color w:val="000000"/>
          <w:spacing w:val="0"/>
          <w:w w:val="100"/>
          <w:position w:val="0"/>
        </w:rPr>
        <w:t>股份变动的原因</w:t>
      </w:r>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日在深圳证券交易所创业板上市。公司首次公开发行前股本为</w:t>
      </w:r>
      <w:r>
        <w:rPr>
          <w:rFonts w:ascii="Times New Roman" w:eastAsia="Times New Roman" w:hAnsi="Times New Roman" w:cs="Times New Roman"/>
          <w:color w:val="000000"/>
          <w:spacing w:val="0"/>
          <w:w w:val="100"/>
          <w:position w:val="0"/>
        </w:rPr>
        <w:t>35,334,000</w:t>
      </w:r>
      <w:r>
        <w:rPr>
          <w:color w:val="000000"/>
          <w:spacing w:val="0"/>
          <w:w w:val="100"/>
          <w:position w:val="0"/>
        </w:rPr>
        <w:t>股， 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11,778,000</w:t>
      </w:r>
      <w:r>
        <w:rPr>
          <w:color w:val="000000"/>
          <w:spacing w:val="0"/>
          <w:w w:val="100"/>
          <w:position w:val="0"/>
        </w:rPr>
        <w:t>股，发行后总股本为</w:t>
      </w:r>
      <w:r>
        <w:rPr>
          <w:rFonts w:ascii="Times New Roman" w:eastAsia="Times New Roman" w:hAnsi="Times New Roman" w:cs="Times New Roman"/>
          <w:color w:val="000000"/>
          <w:spacing w:val="0"/>
          <w:w w:val="100"/>
          <w:position w:val="0"/>
        </w:rPr>
        <w:t>47,112,000</w:t>
      </w:r>
      <w:r>
        <w:rPr>
          <w:color w:val="000000"/>
          <w:spacing w:val="0"/>
          <w:w w:val="100"/>
          <w:position w:val="0"/>
        </w:rPr>
        <w:t>股。</w:t>
      </w:r>
    </w:p>
    <w:p>
      <w:pPr>
        <w:pStyle w:val="Style31"/>
        <w:keepNext w:val="0"/>
        <w:keepLines w:val="0"/>
        <w:widowControl w:val="0"/>
        <w:shd w:val="clear" w:color="auto" w:fill="auto"/>
        <w:bidi w:val="0"/>
        <w:spacing w:before="0" w:line="312" w:lineRule="exact"/>
        <w:ind w:left="0" w:right="0" w:firstLine="0"/>
        <w:jc w:val="both"/>
      </w:pPr>
      <w:r>
        <w:rPr>
          <w:color w:val="000000"/>
          <w:spacing w:val="0"/>
          <w:w w:val="100"/>
          <w:position w:val="0"/>
        </w:rPr>
        <w:t>股份变动的批准情况</w:t>
      </w:r>
    </w:p>
    <w:p>
      <w:pPr>
        <w:pStyle w:val="Style31"/>
        <w:keepNext w:val="0"/>
        <w:keepLines w:val="0"/>
        <w:widowControl w:val="0"/>
        <w:shd w:val="clear" w:color="auto" w:fill="auto"/>
        <w:bidi w:val="0"/>
        <w:spacing w:before="0" w:line="312" w:lineRule="exact"/>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经中国证券监督管理委员会批复（证监许可</w:t>
      </w:r>
      <w:r>
        <w:rPr>
          <w:rFonts w:ascii="Times New Roman" w:eastAsia="Times New Roman" w:hAnsi="Times New Roman" w:cs="Times New Roman"/>
          <w:color w:val="000000"/>
          <w:spacing w:val="0"/>
          <w:w w:val="100"/>
          <w:position w:val="0"/>
        </w:rPr>
        <w:t>[2021]2937</w:t>
      </w:r>
      <w:r>
        <w:rPr>
          <w:color w:val="000000"/>
          <w:spacing w:val="0"/>
          <w:w w:val="100"/>
          <w:position w:val="0"/>
        </w:rPr>
        <w:t>号），并经深圳证券交易所同意（深证上〔</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1115</w:t>
      </w:r>
      <w:r>
        <w:rPr>
          <w:color w:val="000000"/>
          <w:spacing w:val="0"/>
          <w:w w:val="100"/>
          <w:position w:val="0"/>
        </w:rPr>
        <w:t>号），公司获准向社会首次公开发行人民币普通股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11,778,000</w:t>
      </w:r>
      <w:r>
        <w:rPr>
          <w:color w:val="000000"/>
          <w:spacing w:val="0"/>
          <w:w w:val="100"/>
          <w:position w:val="0"/>
        </w:rPr>
        <w:t>股，每股面值</w:t>
      </w:r>
      <w:r>
        <w:rPr>
          <w:rFonts w:ascii="Times New Roman" w:eastAsia="Times New Roman" w:hAnsi="Times New Roman" w:cs="Times New Roman"/>
          <w:color w:val="000000"/>
          <w:spacing w:val="0"/>
          <w:w w:val="100"/>
          <w:position w:val="0"/>
        </w:rPr>
        <w:t>1.00</w:t>
      </w:r>
      <w:r>
        <w:rPr>
          <w:color w:val="000000"/>
          <w:spacing w:val="0"/>
          <w:w w:val="100"/>
          <w:position w:val="0"/>
        </w:rPr>
        <w:t>元， 发行价格为人民币</w:t>
      </w:r>
      <w:r>
        <w:rPr>
          <w:rFonts w:ascii="Times New Roman" w:eastAsia="Times New Roman" w:hAnsi="Times New Roman" w:cs="Times New Roman"/>
          <w:color w:val="000000"/>
          <w:spacing w:val="0"/>
          <w:w w:val="100"/>
          <w:position w:val="0"/>
        </w:rPr>
        <w:t>48.66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日在深圳证券交易所创业板上市。</w:t>
      </w:r>
    </w:p>
    <w:p>
      <w:pPr>
        <w:pStyle w:val="Style31"/>
        <w:keepNext w:val="0"/>
        <w:keepLines w:val="0"/>
        <w:widowControl w:val="0"/>
        <w:shd w:val="clear" w:color="auto" w:fill="auto"/>
        <w:bidi w:val="0"/>
        <w:spacing w:before="0" w:line="316" w:lineRule="exact"/>
        <w:ind w:left="0" w:right="0" w:firstLine="0"/>
        <w:jc w:val="left"/>
      </w:pPr>
      <w:r>
        <w:rPr>
          <w:color w:val="000000"/>
          <w:spacing w:val="0"/>
          <w:w w:val="100"/>
          <w:position w:val="0"/>
        </w:rPr>
        <w:t>股份变动的过户情况</w:t>
      </w:r>
    </w:p>
    <w:p>
      <w:pPr>
        <w:pStyle w:val="Style31"/>
        <w:keepNext w:val="0"/>
        <w:keepLines w:val="0"/>
        <w:widowControl w:val="0"/>
        <w:shd w:val="clear" w:color="auto" w:fill="auto"/>
        <w:bidi w:val="0"/>
        <w:spacing w:before="0" w:line="316"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line="316" w:lineRule="exact"/>
        <w:ind w:left="0" w:right="0" w:firstLine="440"/>
        <w:jc w:val="both"/>
      </w:pPr>
      <w:r>
        <w:rPr>
          <w:color w:val="000000"/>
          <w:spacing w:val="0"/>
          <w:w w:val="100"/>
          <w:position w:val="0"/>
        </w:rPr>
        <w:t>公司已于中国证券登记结算有限责任公司深圳分公司办理完成关于首次公开发行股票的登记手续。</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股份变动对最近一年和最近一期基本每股收益和稀释每股收益、归属于公司普通股股东的每股净资产 等财务指标的影响</w:t>
      </w:r>
    </w:p>
    <w:p>
      <w:pPr>
        <w:pStyle w:val="Style31"/>
        <w:keepNext w:val="0"/>
        <w:keepLines w:val="0"/>
        <w:widowControl w:val="0"/>
        <w:shd w:val="clear" w:color="auto" w:fill="auto"/>
        <w:bidi w:val="0"/>
        <w:spacing w:before="0" w:line="316"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tabs>
          <w:tab w:pos="1021" w:val="left"/>
        </w:tabs>
        <w:bidi w:val="0"/>
        <w:spacing w:before="0" w:line="300" w:lineRule="exact"/>
        <w:ind w:left="0" w:right="0" w:firstLine="440"/>
        <w:jc w:val="both"/>
      </w:pPr>
      <w:bookmarkStart w:id="601" w:name="bookmark601"/>
      <w:r>
        <w:rPr>
          <w:color w:val="000000"/>
          <w:spacing w:val="0"/>
          <w:w w:val="100"/>
          <w:position w:val="0"/>
        </w:rPr>
        <w:t>（</w:t>
      </w:r>
      <w:bookmarkEnd w:id="601"/>
      <w:r>
        <w:rPr>
          <w:rFonts w:ascii="Times New Roman" w:eastAsia="Times New Roman" w:hAnsi="Times New Roman" w:cs="Times New Roman"/>
          <w:color w:val="000000"/>
          <w:spacing w:val="0"/>
          <w:w w:val="100"/>
          <w:position w:val="0"/>
        </w:rPr>
        <w:t>1</w:t>
      </w:r>
      <w:r>
        <w:rPr>
          <w:color w:val="000000"/>
          <w:spacing w:val="0"/>
          <w:w w:val="100"/>
          <w:position w:val="0"/>
        </w:rPr>
        <w:t>）</w:t>
        <w:tab/>
        <w:t>基本每股收益和稀释每股收益：按期初股本计算，本期基本每股收益为</w:t>
      </w:r>
      <w:r>
        <w:rPr>
          <w:rFonts w:ascii="Times New Roman" w:eastAsia="Times New Roman" w:hAnsi="Times New Roman" w:cs="Times New Roman"/>
          <w:color w:val="000000"/>
          <w:spacing w:val="0"/>
          <w:w w:val="100"/>
          <w:position w:val="0"/>
        </w:rPr>
        <w:t>1.58</w:t>
      </w:r>
      <w:r>
        <w:rPr>
          <w:color w:val="000000"/>
          <w:spacing w:val="0"/>
          <w:w w:val="100"/>
          <w:position w:val="0"/>
        </w:rPr>
        <w:t>元；按本次股本变 动后的股本计算本期基本每股收益为</w:t>
      </w:r>
      <w:r>
        <w:rPr>
          <w:rFonts w:ascii="Times New Roman" w:eastAsia="Times New Roman" w:hAnsi="Times New Roman" w:cs="Times New Roman"/>
          <w:color w:val="000000"/>
          <w:spacing w:val="0"/>
          <w:w w:val="100"/>
          <w:position w:val="0"/>
        </w:rPr>
        <w:t>1.53</w:t>
      </w:r>
      <w:r>
        <w:rPr>
          <w:color w:val="000000"/>
          <w:spacing w:val="0"/>
          <w:w w:val="100"/>
          <w:position w:val="0"/>
        </w:rPr>
        <w:t>元；因本期股本增加导致每股收益下降。对稀释每股收益的影响 与基本每股收益相同。</w:t>
      </w:r>
    </w:p>
    <w:p>
      <w:pPr>
        <w:pStyle w:val="Style31"/>
        <w:keepNext w:val="0"/>
        <w:keepLines w:val="0"/>
        <w:widowControl w:val="0"/>
        <w:shd w:val="clear" w:color="auto" w:fill="auto"/>
        <w:tabs>
          <w:tab w:pos="1021" w:val="left"/>
        </w:tabs>
        <w:bidi w:val="0"/>
        <w:spacing w:before="0" w:line="319" w:lineRule="exact"/>
        <w:ind w:left="0" w:right="0" w:firstLine="440"/>
        <w:jc w:val="both"/>
      </w:pPr>
      <w:bookmarkStart w:id="602" w:name="bookmark602"/>
      <w:r>
        <w:rPr>
          <w:color w:val="000000"/>
          <w:spacing w:val="0"/>
          <w:w w:val="100"/>
          <w:position w:val="0"/>
        </w:rPr>
        <w:t>（</w:t>
      </w:r>
      <w:bookmarkEnd w:id="602"/>
      <w:r>
        <w:rPr>
          <w:rFonts w:ascii="Times New Roman" w:eastAsia="Times New Roman" w:hAnsi="Times New Roman" w:cs="Times New Roman"/>
          <w:color w:val="000000"/>
          <w:spacing w:val="0"/>
          <w:w w:val="100"/>
          <w:position w:val="0"/>
        </w:rPr>
        <w:t>2</w:t>
      </w:r>
      <w:r>
        <w:rPr>
          <w:color w:val="000000"/>
          <w:spacing w:val="0"/>
          <w:w w:val="100"/>
          <w:position w:val="0"/>
        </w:rPr>
        <w:t>）</w:t>
        <w:tab/>
        <w:t>归属于公司普通股股东的每股净资产：按期初股本计算，期末归属于公司普通股股东的每股净 资产为</w:t>
      </w:r>
      <w:r>
        <w:rPr>
          <w:rFonts w:ascii="Times New Roman" w:eastAsia="Times New Roman" w:hAnsi="Times New Roman" w:cs="Times New Roman"/>
          <w:color w:val="000000"/>
          <w:spacing w:val="0"/>
          <w:w w:val="100"/>
          <w:position w:val="0"/>
        </w:rPr>
        <w:t>23.17</w:t>
      </w:r>
      <w:r>
        <w:rPr>
          <w:color w:val="000000"/>
          <w:spacing w:val="0"/>
          <w:w w:val="100"/>
          <w:position w:val="0"/>
        </w:rPr>
        <w:t>元；增加股本后，期末归属于公司普通股股东的每股净资产为</w:t>
      </w:r>
      <w:r>
        <w:rPr>
          <w:rFonts w:ascii="Times New Roman" w:eastAsia="Times New Roman" w:hAnsi="Times New Roman" w:cs="Times New Roman"/>
          <w:color w:val="000000"/>
          <w:spacing w:val="0"/>
          <w:w w:val="100"/>
          <w:position w:val="0"/>
        </w:rPr>
        <w:t>17.38</w:t>
      </w:r>
      <w:r>
        <w:rPr>
          <w:color w:val="000000"/>
          <w:spacing w:val="0"/>
          <w:w w:val="100"/>
          <w:position w:val="0"/>
        </w:rPr>
        <w:t>元；因本期股本增加导 致每股净资产下降。</w:t>
      </w:r>
    </w:p>
    <w:p>
      <w:pPr>
        <w:pStyle w:val="Style31"/>
        <w:keepNext w:val="0"/>
        <w:keepLines w:val="0"/>
        <w:widowControl w:val="0"/>
        <w:shd w:val="clear" w:color="auto" w:fill="auto"/>
        <w:bidi w:val="0"/>
        <w:spacing w:before="0" w:line="316" w:lineRule="exact"/>
        <w:ind w:left="0" w:right="0" w:firstLine="0"/>
        <w:jc w:val="left"/>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280" w:line="31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4</w:t>
      </w:r>
      <w:r>
        <w:rPr>
          <w:color w:val="000000"/>
          <w:spacing w:val="0"/>
          <w:w w:val="100"/>
          <w:position w:val="0"/>
        </w:rPr>
        <w:t>不适用</w:t>
      </w:r>
    </w:p>
    <w:p>
      <w:pPr>
        <w:pStyle w:val="Style28"/>
        <w:keepNext/>
        <w:keepLines/>
        <w:widowControl w:val="0"/>
        <w:shd w:val="clear" w:color="auto" w:fill="auto"/>
        <w:bidi w:val="0"/>
        <w:spacing w:before="0" w:after="380" w:line="316" w:lineRule="exact"/>
        <w:ind w:left="0" w:right="0" w:firstLine="0"/>
        <w:jc w:val="left"/>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2</w:t>
      </w:r>
      <w:bookmarkEnd w:id="605"/>
      <w:r>
        <w:rPr>
          <w:color w:val="000000"/>
          <w:spacing w:val="0"/>
          <w:w w:val="100"/>
          <w:position w:val="0"/>
        </w:rPr>
        <w:t>、限售股份变动情况</w:t>
      </w:r>
      <w:bookmarkEnd w:id="603"/>
      <w:bookmarkEnd w:id="604"/>
      <w:bookmarkEnd w:id="606"/>
    </w:p>
    <w:p>
      <w:pPr>
        <w:pStyle w:val="Style2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621"/>
        <w:gridCol w:w="960"/>
        <w:gridCol w:w="1085"/>
        <w:gridCol w:w="672"/>
        <w:gridCol w:w="960"/>
        <w:gridCol w:w="2362"/>
        <w:gridCol w:w="1051"/>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 除限售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拟解除限售 日期</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林明玲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10,045,620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3,348,540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13,394,160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首发前限售股份，限售期限为 自公司首次公开发行并上市 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2024-11-12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广州奥邦投资咨询有限公司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3,413,600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3,413,600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首发前限售股份，限售期限为 自公司首次公开发行并上市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2022-11-12</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深圳市乐成信息咨询管理企业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3,179,999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3,179,999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首发前限售股份，限售期限为 自公司首次公开发行并上市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2022-11-12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马学沛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1,931,850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643,950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2,575,800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首发前限售股份，限售期限为 自公司首次公开发行并上市 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2024-11-12</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汕头市励志投资管理合伙企业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1,717,200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858,600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2,575,800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首发前限售股份，限售期限为 自公司首次公开发行并上市</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2022-11-12</w:t>
            </w:r>
          </w:p>
        </w:tc>
      </w:tr>
    </w:tbl>
    <w:p>
      <w:pPr>
        <w:spacing w:lineRule="exact" w:line="1"/>
        <w:rPr>
          <w:sz w:val="2"/>
          <w:szCs w:val="2"/>
        </w:rPr>
      </w:pPr>
      <w:r>
        <w:br w:type="page"/>
      </w:r>
    </w:p>
    <w:tbl>
      <w:tblPr>
        <w:tblOverlap w:val="never"/>
        <w:jc w:val="center"/>
        <w:tblLayout w:type="fixed"/>
      </w:tblPr>
      <w:tblGrid>
        <w:gridCol w:w="2621"/>
        <w:gridCol w:w="960"/>
        <w:gridCol w:w="1085"/>
        <w:gridCol w:w="672"/>
        <w:gridCol w:w="960"/>
        <w:gridCol w:w="2362"/>
        <w:gridCol w:w="1051"/>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 除限售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拟解除限售 日期</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西藏思科瑞股权投资中心（有限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1,839,857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1,839,857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首发前限售股份，限售期限为 自公司首次公开发行并上市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2022-11-12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共青城东兴博元投资中心（有限 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1,767,001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1,767,001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首发前限售股份，限售期限为 自公司首次公开发行并上市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2022-11-12</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宁波梅山保税港区信度投资中心</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1,767,001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1,767,001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首发前限售股份，限售期限为 自公司首次公开发行并上市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2022-11-12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新疆融汇湘疆创业投资有限合伙 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1,022,142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1,022,142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首发前限售股份，限售期限为 自公司首次公开发行并上市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2022-11-12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许丽群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首发前限售股份，限售期限为 自公司首次公开发行并上市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2022-11-12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广东省粤科母基金投资管理有限 公司一广东粤科华侨创新创业投 资中心（有限合伙）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首发前限售股份，限售期限为 自公司首次公开发行并上市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2022-11-12</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蔡子玲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636,000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首发前限售股份，限售期限为 自公司首次公开发行并上市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2022-11-12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张儒平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400,840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400,840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首发前限售股份，限售期限为 自公司首次公开发行并上市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2022-11-12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北京丰汇泰和投资管理有限公司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首发前限售股份，限售期限为 自公司首次公开发行并上市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2022-11-12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张利明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首发前限售股份，限售期限为 自公司首次公开发行并上市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2022-11-12</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郑树英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首发前限售股份，限售期限为 自公司首次公开发行并上市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2022-11-12</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洪君明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首发前限售股份，限售期限为 自公司首次公开发行并上市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2022-11-12</w:t>
            </w:r>
          </w:p>
        </w:tc>
      </w:tr>
    </w:tbl>
    <w:p>
      <w:pPr>
        <w:spacing w:lineRule="exact" w:line="1"/>
        <w:rPr>
          <w:sz w:val="2"/>
          <w:szCs w:val="2"/>
        </w:rPr>
      </w:pPr>
      <w:r>
        <w:br w:type="page"/>
      </w:r>
    </w:p>
    <w:tbl>
      <w:tblPr>
        <w:tblOverlap w:val="never"/>
        <w:jc w:val="center"/>
        <w:tblLayout w:type="fixed"/>
      </w:tblPr>
      <w:tblGrid>
        <w:gridCol w:w="2621"/>
        <w:gridCol w:w="960"/>
        <w:gridCol w:w="1085"/>
        <w:gridCol w:w="672"/>
        <w:gridCol w:w="960"/>
        <w:gridCol w:w="2362"/>
        <w:gridCol w:w="1051"/>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 除限售 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拟解除限售 日期</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吴燕赞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首发前限售股份，限售期限为 自公司首次公开发行并上市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2022-11-12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周修齐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首发前限售股份，限售期限为 自公司首次公开发行并上市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2022-11-12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首发前限售股份，限售期限为 自公司首次公开发行并上市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2022-11-12</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张艳銮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首发前限售股份，限售期限为 自公司首次公开发行并上市 之日起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2022-11-12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13,694,670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21,639,330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35,334,000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5"/>
        <w:keepNext/>
        <w:keepLines/>
        <w:widowControl w:val="0"/>
        <w:shd w:val="clear" w:color="auto" w:fill="auto"/>
        <w:bidi w:val="0"/>
        <w:spacing w:before="0" w:after="340" w:line="240" w:lineRule="auto"/>
        <w:ind w:left="0" w:right="0" w:firstLine="0"/>
        <w:jc w:val="left"/>
      </w:pPr>
      <w:bookmarkStart w:id="607" w:name="bookmark607"/>
      <w:bookmarkStart w:id="608" w:name="bookmark608"/>
      <w:bookmarkStart w:id="609" w:name="bookmark609"/>
      <w:bookmarkStart w:id="610" w:name="bookmark610"/>
      <w:r>
        <w:rPr>
          <w:color w:val="000000"/>
          <w:spacing w:val="0"/>
          <w:w w:val="100"/>
          <w:position w:val="0"/>
        </w:rPr>
        <w:t>二</w:t>
      </w:r>
      <w:bookmarkEnd w:id="609"/>
      <w:r>
        <w:rPr>
          <w:color w:val="000000"/>
          <w:spacing w:val="0"/>
          <w:w w:val="100"/>
          <w:position w:val="0"/>
        </w:rPr>
        <w:t>、证券发行与上市情况</w:t>
      </w:r>
      <w:bookmarkEnd w:id="607"/>
      <w:bookmarkEnd w:id="608"/>
      <w:bookmarkEnd w:id="610"/>
    </w:p>
    <w:p>
      <w:pPr>
        <w:pStyle w:val="Style28"/>
        <w:keepNext/>
        <w:keepLines/>
        <w:widowControl w:val="0"/>
        <w:shd w:val="clear" w:color="auto" w:fill="auto"/>
        <w:bidi w:val="0"/>
        <w:spacing w:before="0" w:after="40" w:line="240" w:lineRule="auto"/>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1</w:t>
      </w:r>
      <w:bookmarkEnd w:id="613"/>
      <w:r>
        <w:rPr>
          <w:color w:val="000000"/>
          <w:spacing w:val="0"/>
          <w:w w:val="100"/>
          <w:position w:val="0"/>
        </w:rPr>
        <w:t>、报告期内证券发行（不含优先股）情况</w:t>
      </w:r>
      <w:bookmarkEnd w:id="611"/>
      <w:bookmarkEnd w:id="612"/>
      <w:bookmarkEnd w:id="614"/>
      <w:r>
        <w:rPr>
          <w:color w:val="000000"/>
          <w:spacing w:val="0"/>
          <w:w w:val="100"/>
          <w:position w:val="0"/>
        </w:rPr>
        <w:t xml:space="preserve"> </w:t>
      </w:r>
      <w:r>
        <w:rPr>
          <w:rStyle w:val="CharStyle32"/>
          <w:rFonts w:ascii="Times New Roman" w:eastAsia="Times New Roman" w:hAnsi="Times New Roman" w:cs="Times New Roman"/>
          <w:b w:val="0"/>
          <w:bCs w:val="0"/>
        </w:rPr>
        <w:t>［</w:t>
      </w:r>
      <w:r>
        <w:rPr>
          <w:rStyle w:val="CharStyle32"/>
          <w:b w:val="0"/>
          <w:bCs w:val="0"/>
        </w:rPr>
        <w:t>适用</w:t>
      </w:r>
      <w:r>
        <w:rPr>
          <w:rStyle w:val="CharStyle32"/>
          <w:b w:val="0"/>
          <w:bCs w:val="0"/>
        </w:rPr>
        <w:t>口</w:t>
      </w:r>
      <w:r>
        <w:rPr>
          <w:rStyle w:val="CharStyle32"/>
          <w:b w:val="0"/>
          <w:bCs w:val="0"/>
        </w:rPr>
        <w:t>不适用</w:t>
      </w:r>
    </w:p>
    <w:tbl>
      <w:tblPr>
        <w:tblOverlap w:val="never"/>
        <w:jc w:val="center"/>
        <w:tblLayout w:type="fixed"/>
      </w:tblPr>
      <w:tblGrid>
        <w:gridCol w:w="979"/>
        <w:gridCol w:w="970"/>
        <w:gridCol w:w="970"/>
        <w:gridCol w:w="970"/>
        <w:gridCol w:w="974"/>
        <w:gridCol w:w="970"/>
        <w:gridCol w:w="974"/>
        <w:gridCol w:w="1915"/>
        <w:gridCol w:w="98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股票及其衍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发行价格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获准上市交</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交易终止日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48.66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11,778,000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1,178,000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详见公司披露于巨潮资 讯网</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 等法定披露媒体的《广 东天亿马信息产业股份 有限公司首次公开发行 股票并在创业板上市之 上市公告书》）。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r>
      <w:tr>
        <w:trPr>
          <w:trHeight w:val="413" w:hRule="exact"/>
        </w:trPr>
        <w:tc>
          <w:tcPr>
            <w:gridSpan w:val="9"/>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widowControl w:val="0"/>
        <w:spacing w:after="159" w:line="1" w:lineRule="exact"/>
      </w:pPr>
    </w:p>
    <w:p>
      <w:pPr>
        <w:pStyle w:val="Style31"/>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报告期内证券发行（不含优先股）情况的说明</w:t>
      </w:r>
    </w:p>
    <w:p>
      <w:pPr>
        <w:pStyle w:val="Style31"/>
        <w:keepNext w:val="0"/>
        <w:keepLines w:val="0"/>
        <w:widowControl w:val="0"/>
        <w:shd w:val="clear" w:color="auto" w:fill="auto"/>
        <w:bidi w:val="0"/>
        <w:spacing w:before="0" w:after="260" w:line="315" w:lineRule="exact"/>
        <w:ind w:left="0" w:right="0" w:firstLine="440"/>
        <w:jc w:val="left"/>
      </w:pPr>
      <w:r>
        <w:rPr>
          <w:color w:val="000000"/>
          <w:spacing w:val="0"/>
          <w:w w:val="100"/>
          <w:position w:val="0"/>
        </w:rPr>
        <w:t>经中国证券监督管理委员会批复（证监许可</w:t>
      </w:r>
      <w:r>
        <w:rPr>
          <w:rFonts w:ascii="Times New Roman" w:eastAsia="Times New Roman" w:hAnsi="Times New Roman" w:cs="Times New Roman"/>
          <w:color w:val="000000"/>
          <w:spacing w:val="0"/>
          <w:w w:val="100"/>
          <w:position w:val="0"/>
        </w:rPr>
        <w:t>［2021］2937</w:t>
      </w:r>
      <w:r>
        <w:rPr>
          <w:color w:val="000000"/>
          <w:spacing w:val="0"/>
          <w:w w:val="100"/>
          <w:position w:val="0"/>
        </w:rPr>
        <w:t>号），并经深圳证券交易所同意（深证上〔</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1115</w:t>
      </w:r>
      <w:r>
        <w:rPr>
          <w:color w:val="000000"/>
          <w:spacing w:val="0"/>
          <w:w w:val="100"/>
          <w:position w:val="0"/>
        </w:rPr>
        <w:t>号），公司获准向社会首次公开发行人民币普通股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11,778,000</w:t>
      </w:r>
      <w:r>
        <w:rPr>
          <w:color w:val="000000"/>
          <w:spacing w:val="0"/>
          <w:w w:val="100"/>
          <w:position w:val="0"/>
        </w:rPr>
        <w:t>股，并于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日在 深圳证券交易所创业板上市。上市后，公司股本总额由</w:t>
      </w:r>
      <w:r>
        <w:rPr>
          <w:rFonts w:ascii="Times New Roman" w:eastAsia="Times New Roman" w:hAnsi="Times New Roman" w:cs="Times New Roman"/>
          <w:color w:val="000000"/>
          <w:spacing w:val="0"/>
          <w:w w:val="100"/>
          <w:position w:val="0"/>
        </w:rPr>
        <w:t>35,334,000</w:t>
      </w:r>
      <w:r>
        <w:rPr>
          <w:color w:val="000000"/>
          <w:spacing w:val="0"/>
          <w:w w:val="100"/>
          <w:position w:val="0"/>
        </w:rPr>
        <w:t>股增至</w:t>
      </w:r>
      <w:r>
        <w:rPr>
          <w:rFonts w:ascii="Times New Roman" w:eastAsia="Times New Roman" w:hAnsi="Times New Roman" w:cs="Times New Roman"/>
          <w:color w:val="000000"/>
          <w:spacing w:val="0"/>
          <w:w w:val="100"/>
          <w:position w:val="0"/>
        </w:rPr>
        <w:t>47,112,000</w:t>
      </w:r>
      <w:r>
        <w:rPr>
          <w:color w:val="000000"/>
          <w:spacing w:val="0"/>
          <w:w w:val="100"/>
          <w:position w:val="0"/>
        </w:rPr>
        <w:t>股，股本结构变动情况 详见本节</w:t>
      </w:r>
      <w:r>
        <w:rPr>
          <w:rFonts w:ascii="Times New Roman" w:eastAsia="Times New Roman" w:hAnsi="Times New Roman" w:cs="Times New Roman"/>
          <w:color w:val="000000"/>
          <w:spacing w:val="0"/>
          <w:w w:val="100"/>
          <w:position w:val="0"/>
        </w:rPr>
        <w:t>“</w:t>
      </w:r>
      <w:r>
        <w:rPr>
          <w:color w:val="000000"/>
          <w:spacing w:val="0"/>
          <w:w w:val="100"/>
          <w:position w:val="0"/>
        </w:rPr>
        <w:t>一、股份变动情况''之</w:t>
      </w:r>
      <w:r>
        <w:rPr>
          <w:rFonts w:ascii="Times New Roman" w:eastAsia="Times New Roman" w:hAnsi="Times New Roman" w:cs="Times New Roman"/>
          <w:color w:val="000000"/>
          <w:spacing w:val="0"/>
          <w:w w:val="100"/>
          <w:position w:val="0"/>
        </w:rPr>
        <w:t>“1.</w:t>
      </w:r>
      <w:r>
        <w:rPr>
          <w:color w:val="000000"/>
          <w:spacing w:val="0"/>
          <w:w w:val="100"/>
          <w:position w:val="0"/>
        </w:rPr>
        <w:t>股份变动情况</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8"/>
        <w:keepNext/>
        <w:keepLines/>
        <w:widowControl w:val="0"/>
        <w:shd w:val="clear" w:color="auto" w:fill="auto"/>
        <w:tabs>
          <w:tab w:pos="378" w:val="left"/>
        </w:tabs>
        <w:bidi w:val="0"/>
        <w:spacing w:before="0" w:after="280" w:line="317" w:lineRule="exact"/>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2</w:t>
      </w:r>
      <w:bookmarkEnd w:id="617"/>
      <w:r>
        <w:rPr>
          <w:color w:val="000000"/>
          <w:spacing w:val="0"/>
          <w:w w:val="100"/>
          <w:position w:val="0"/>
        </w:rPr>
        <w:t>、</w:t>
        <w:tab/>
        <w:t>公司股份总数及股东结构的变动、公司资产和负债结构的变动情况说明</w:t>
      </w:r>
      <w:bookmarkEnd w:id="615"/>
      <w:bookmarkEnd w:id="616"/>
      <w:bookmarkEnd w:id="618"/>
    </w:p>
    <w:p>
      <w:pPr>
        <w:pStyle w:val="Style31"/>
        <w:keepNext w:val="0"/>
        <w:keepLines w:val="0"/>
        <w:widowControl w:val="0"/>
        <w:shd w:val="clear" w:color="auto" w:fill="auto"/>
        <w:bidi w:val="0"/>
        <w:spacing w:before="0" w:after="120" w:line="317" w:lineRule="exact"/>
        <w:ind w:left="0" w:right="0" w:firstLine="0"/>
        <w:jc w:val="left"/>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280" w:line="317" w:lineRule="exact"/>
        <w:ind w:left="0" w:right="0" w:firstLine="440"/>
        <w:jc w:val="left"/>
      </w:pPr>
      <w:r>
        <w:rPr>
          <w:color w:val="000000"/>
          <w:spacing w:val="0"/>
          <w:w w:val="100"/>
          <w:position w:val="0"/>
        </w:rPr>
        <w:t>经中国证券监督管理委员会批复（证监许可</w:t>
      </w:r>
      <w:r>
        <w:rPr>
          <w:rFonts w:ascii="Times New Roman" w:eastAsia="Times New Roman" w:hAnsi="Times New Roman" w:cs="Times New Roman"/>
          <w:color w:val="000000"/>
          <w:spacing w:val="0"/>
          <w:w w:val="100"/>
          <w:position w:val="0"/>
        </w:rPr>
        <w:t>[2021]2937</w:t>
      </w:r>
      <w:r>
        <w:rPr>
          <w:color w:val="000000"/>
          <w:spacing w:val="0"/>
          <w:w w:val="100"/>
          <w:position w:val="0"/>
        </w:rPr>
        <w:t>号），并经深圳证券交易所同意（深证上〔</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1115</w:t>
      </w:r>
      <w:r>
        <w:rPr>
          <w:color w:val="000000"/>
          <w:spacing w:val="0"/>
          <w:w w:val="100"/>
          <w:position w:val="0"/>
        </w:rPr>
        <w:t>号），公司获准向社会首次公开发行人民币普通股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股）股票</w:t>
      </w:r>
      <w:r>
        <w:rPr>
          <w:rFonts w:ascii="Times New Roman" w:eastAsia="Times New Roman" w:hAnsi="Times New Roman" w:cs="Times New Roman"/>
          <w:color w:val="000000"/>
          <w:spacing w:val="0"/>
          <w:w w:val="100"/>
          <w:position w:val="0"/>
        </w:rPr>
        <w:t>11,778,000</w:t>
      </w:r>
      <w:r>
        <w:rPr>
          <w:color w:val="000000"/>
          <w:spacing w:val="0"/>
          <w:w w:val="100"/>
          <w:position w:val="0"/>
        </w:rPr>
        <w:t>股，并于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r>
        <w:rPr>
          <w:color w:val="000000"/>
          <w:spacing w:val="0"/>
          <w:w w:val="100"/>
          <w:position w:val="0"/>
        </w:rPr>
        <w:t>日在深圳证券交易所创业板上市。上市后，公司股本总额由</w:t>
      </w:r>
      <w:r>
        <w:rPr>
          <w:rFonts w:ascii="Times New Roman" w:eastAsia="Times New Roman" w:hAnsi="Times New Roman" w:cs="Times New Roman"/>
          <w:color w:val="000000"/>
          <w:spacing w:val="0"/>
          <w:w w:val="100"/>
          <w:position w:val="0"/>
        </w:rPr>
        <w:t>35,334,000</w:t>
      </w:r>
      <w:r>
        <w:rPr>
          <w:color w:val="000000"/>
          <w:spacing w:val="0"/>
          <w:w w:val="100"/>
          <w:position w:val="0"/>
        </w:rPr>
        <w:t>股增至</w:t>
      </w:r>
      <w:r>
        <w:rPr>
          <w:rFonts w:ascii="Times New Roman" w:eastAsia="Times New Roman" w:hAnsi="Times New Roman" w:cs="Times New Roman"/>
          <w:color w:val="000000"/>
          <w:spacing w:val="0"/>
          <w:w w:val="100"/>
          <w:position w:val="0"/>
        </w:rPr>
        <w:t>47,112,000</w:t>
      </w:r>
      <w:r>
        <w:rPr>
          <w:color w:val="000000"/>
          <w:spacing w:val="0"/>
          <w:w w:val="100"/>
          <w:position w:val="0"/>
        </w:rPr>
        <w:t>股，股本结构 变动情况详见本节“一、股份变动情况”之</w:t>
      </w:r>
      <w:r>
        <w:rPr>
          <w:rFonts w:ascii="Times New Roman" w:eastAsia="Times New Roman" w:hAnsi="Times New Roman" w:cs="Times New Roman"/>
          <w:color w:val="000000"/>
          <w:spacing w:val="0"/>
          <w:w w:val="100"/>
          <w:position w:val="0"/>
        </w:rPr>
        <w:t>“1.</w:t>
      </w:r>
      <w:r>
        <w:rPr>
          <w:color w:val="000000"/>
          <w:spacing w:val="0"/>
          <w:w w:val="100"/>
          <w:position w:val="0"/>
        </w:rPr>
        <w:t>股份变动情况”。上述发行完成后，公司报告期末总资产、 净资产较上年同期增长，报告期末资产负债率较上年同期下降。</w:t>
      </w:r>
    </w:p>
    <w:p>
      <w:pPr>
        <w:pStyle w:val="Style28"/>
        <w:keepNext/>
        <w:keepLines/>
        <w:widowControl w:val="0"/>
        <w:shd w:val="clear" w:color="auto" w:fill="auto"/>
        <w:tabs>
          <w:tab w:pos="378" w:val="left"/>
        </w:tabs>
        <w:bidi w:val="0"/>
        <w:spacing w:before="0" w:line="317" w:lineRule="exact"/>
        <w:ind w:left="0" w:right="0" w:firstLine="0"/>
        <w:jc w:val="both"/>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3</w:t>
      </w:r>
      <w:bookmarkEnd w:id="621"/>
      <w:r>
        <w:rPr>
          <w:color w:val="000000"/>
          <w:spacing w:val="0"/>
          <w:w w:val="100"/>
          <w:position w:val="0"/>
        </w:rPr>
        <w:t>、</w:t>
        <w:tab/>
        <w:t>现存的内部职工股情况</w:t>
      </w:r>
      <w:bookmarkEnd w:id="619"/>
      <w:bookmarkEnd w:id="620"/>
      <w:bookmarkEnd w:id="622"/>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both"/>
      </w:pPr>
      <w:bookmarkStart w:id="623" w:name="bookmark623"/>
      <w:bookmarkStart w:id="624" w:name="bookmark624"/>
      <w:bookmarkStart w:id="625" w:name="bookmark625"/>
      <w:bookmarkStart w:id="626" w:name="bookmark626"/>
      <w:r>
        <w:rPr>
          <w:color w:val="000000"/>
          <w:spacing w:val="0"/>
          <w:w w:val="100"/>
          <w:position w:val="0"/>
        </w:rPr>
        <w:t>三</w:t>
      </w:r>
      <w:bookmarkEnd w:id="625"/>
      <w:r>
        <w:rPr>
          <w:color w:val="000000"/>
          <w:spacing w:val="0"/>
          <w:w w:val="100"/>
          <w:position w:val="0"/>
        </w:rPr>
        <w:t>、股东和实际控制人情况</w:t>
      </w:r>
      <w:bookmarkEnd w:id="623"/>
      <w:bookmarkEnd w:id="624"/>
      <w:bookmarkEnd w:id="626"/>
    </w:p>
    <w:p>
      <w:pPr>
        <w:pStyle w:val="Style28"/>
        <w:keepNext/>
        <w:keepLines/>
        <w:widowControl w:val="0"/>
        <w:shd w:val="clear" w:color="auto" w:fill="auto"/>
        <w:bidi w:val="0"/>
        <w:spacing w:before="0" w:line="317" w:lineRule="exact"/>
        <w:ind w:left="0" w:right="0" w:firstLine="0"/>
        <w:jc w:val="both"/>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1</w:t>
      </w:r>
      <w:bookmarkEnd w:id="629"/>
      <w:r>
        <w:rPr>
          <w:color w:val="000000"/>
          <w:spacing w:val="0"/>
          <w:w w:val="100"/>
          <w:position w:val="0"/>
        </w:rPr>
        <w:t>、公司股东数量及持股情况</w:t>
      </w:r>
      <w:bookmarkEnd w:id="627"/>
      <w:bookmarkEnd w:id="628"/>
      <w:bookmarkEnd w:id="630"/>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723"/>
        <w:gridCol w:w="912"/>
        <w:gridCol w:w="1056"/>
        <w:gridCol w:w="965"/>
        <w:gridCol w:w="1090"/>
        <w:gridCol w:w="1075"/>
        <w:gridCol w:w="1147"/>
        <w:gridCol w:w="542"/>
        <w:gridCol w:w="734"/>
        <w:gridCol w:w="466"/>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报告期末普通股股东 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11,925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年度报告披 露日前上一 月末普通股 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10,517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报告期末表 决权恢复的 优先股股东 总数（如有） （参见注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 日前上一月末 表决权恢复的 优先股股东总 数（如有）（参</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22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持有特 别表决 权股份 的股东 总数（如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71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报告期末持</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报告期内增</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减变动情况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持有无限售条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件的股份数量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质押、标记或冻结情 况</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股份</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林明玲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13,394,160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13,394,160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广州奥邦投资咨询有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3,413,600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1,027,297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深圳市乐成信息咨询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3,179,999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马学沛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2,575,800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汕头市励志投资管理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2,575,800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西藏思科瑞股权投资 中心（有限合伙）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1,839,857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1,839,857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723"/>
        <w:gridCol w:w="912"/>
        <w:gridCol w:w="1056"/>
        <w:gridCol w:w="965"/>
        <w:gridCol w:w="1090"/>
        <w:gridCol w:w="1075"/>
        <w:gridCol w:w="1147"/>
        <w:gridCol w:w="542"/>
        <w:gridCol w:w="120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共青城东兴博元投资 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1,767,001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宁波梅山保税港区信 度投资中心（有限合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1,767,001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新疆融汇湘疆创业投 资有限合伙企业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1,022,142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许丽群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战略投资者或一般法人因配售新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普通股前十名股东之间，马学沛与林明玲系夫妻关系，马学沛为汕头市励志投资管理合伙 企业（有限合伙）的执行事务合伙人。上述其他股东之间未知是否存在关联关系或属于一 致行动人</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 放弃表决权情况的说明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名股东中存在回购专户的特 别说明（如有）（参见注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4"/>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报告期末持有无限售条件 股份数量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4"/>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数量</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UBS AG</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242,891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242,891</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中国国际金融香港资产管理有限公司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99,500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99,500</w:t>
            </w:r>
          </w:p>
        </w:tc>
      </w:tr>
      <w:tr>
        <w:trPr>
          <w:trHeight w:val="398"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曾卫强</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79,000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79,000</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吴明宏</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72,800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72,800</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华泰证券股份有限公司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63,872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63,872</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周云五</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62,600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62,600</w:t>
            </w:r>
          </w:p>
        </w:tc>
      </w:tr>
      <w:tr>
        <w:trPr>
          <w:trHeight w:val="398"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朱红</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59,700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59,700</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高尧</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53,200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53,200</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JPMORGAN CHASE BANK,NATIONAL ASSOCIATION</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51,600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51,600</w:t>
            </w:r>
          </w:p>
        </w:tc>
      </w:tr>
      <w:tr>
        <w:trPr>
          <w:trHeight w:val="403" w:hRule="exact"/>
        </w:trPr>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陶云斐</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46,000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w:t>
            </w:r>
          </w:p>
        </w:tc>
      </w:tr>
      <w:tr>
        <w:trPr>
          <w:trHeight w:val="1142"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名股东之间关联关系或一致行动的说明</w:t>
            </w:r>
          </w:p>
        </w:tc>
        <w:tc>
          <w:tcPr>
            <w:gridSpan w:val="5"/>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公司未知前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 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名股东之间是否存在关联关系或一致行 动关系。</w:t>
            </w:r>
          </w:p>
        </w:tc>
      </w:tr>
      <w:tr>
        <w:trPr>
          <w:trHeight w:val="734"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参与融资融券业务股东情况说明（如有）（参见注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名无限售流通股股东中参与融资融券业务的股东如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w:t>
            </w:r>
          </w:p>
        </w:tc>
      </w:tr>
    </w:tbl>
    <w:p>
      <w:pPr>
        <w:spacing w:lineRule="exact" w:line="1"/>
        <w:rPr>
          <w:sz w:val="2"/>
          <w:szCs w:val="2"/>
        </w:rPr>
      </w:pPr>
      <w:r>
        <w:br w:type="page"/>
      </w:r>
    </w:p>
    <w:tbl>
      <w:tblPr>
        <w:tblOverlap w:val="never"/>
        <w:jc w:val="center"/>
        <w:tblLayout w:type="fixed"/>
      </w:tblPr>
      <w:tblGrid>
        <w:gridCol w:w="4656"/>
        <w:gridCol w:w="5054"/>
      </w:tblGrid>
      <w:tr>
        <w:trPr>
          <w:trHeight w:val="2981"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numPr>
                <w:ilvl w:val="0"/>
                <w:numId w:val="111"/>
              </w:numPr>
              <w:shd w:val="clear" w:color="auto" w:fill="auto"/>
              <w:tabs>
                <w:tab w:pos="634" w:val="left"/>
              </w:tabs>
              <w:bidi w:val="0"/>
              <w:spacing w:before="0" w:after="60" w:line="307" w:lineRule="exact"/>
              <w:ind w:left="0" w:right="0" w:firstLine="380"/>
              <w:jc w:val="both"/>
            </w:pPr>
            <w:r>
              <w:rPr>
                <w:color w:val="000000"/>
                <w:spacing w:val="0"/>
                <w:w w:val="100"/>
                <w:position w:val="0"/>
              </w:rPr>
              <w:t>股东曾卫强通过普通证券账户持有公司股份</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 投资者信用证券账户持有公司股份</w:t>
            </w:r>
            <w:r>
              <w:rPr>
                <w:rFonts w:ascii="Times New Roman" w:eastAsia="Times New Roman" w:hAnsi="Times New Roman" w:cs="Times New Roman"/>
                <w:color w:val="000000"/>
                <w:spacing w:val="0"/>
                <w:w w:val="100"/>
                <w:position w:val="0"/>
                <w:sz w:val="18"/>
                <w:szCs w:val="18"/>
              </w:rPr>
              <w:t>79,000</w:t>
            </w:r>
            <w:r>
              <w:rPr>
                <w:color w:val="000000"/>
                <w:spacing w:val="0"/>
                <w:w w:val="100"/>
                <w:position w:val="0"/>
              </w:rPr>
              <w:t xml:space="preserve">股，合计持有公司股 份 </w:t>
            </w:r>
            <w:r>
              <w:rPr>
                <w:rFonts w:ascii="Times New Roman" w:eastAsia="Times New Roman" w:hAnsi="Times New Roman" w:cs="Times New Roman"/>
                <w:color w:val="000000"/>
                <w:spacing w:val="0"/>
                <w:w w:val="100"/>
                <w:position w:val="0"/>
                <w:sz w:val="18"/>
                <w:szCs w:val="18"/>
              </w:rPr>
              <w:t xml:space="preserve">79,000 </w:t>
            </w:r>
            <w:r>
              <w:rPr>
                <w:color w:val="000000"/>
                <w:spacing w:val="0"/>
                <w:w w:val="100"/>
                <w:position w:val="0"/>
              </w:rPr>
              <w:t>股；</w:t>
            </w:r>
          </w:p>
          <w:p>
            <w:pPr>
              <w:pStyle w:val="Style2"/>
              <w:keepNext w:val="0"/>
              <w:keepLines w:val="0"/>
              <w:widowControl w:val="0"/>
              <w:numPr>
                <w:ilvl w:val="0"/>
                <w:numId w:val="111"/>
              </w:numPr>
              <w:shd w:val="clear" w:color="auto" w:fill="auto"/>
              <w:tabs>
                <w:tab w:pos="634" w:val="left"/>
              </w:tabs>
              <w:bidi w:val="0"/>
              <w:spacing w:before="0" w:after="60" w:line="310" w:lineRule="exact"/>
              <w:ind w:left="0" w:right="0" w:firstLine="380"/>
              <w:jc w:val="both"/>
            </w:pPr>
            <w:r>
              <w:rPr>
                <w:color w:val="000000"/>
                <w:spacing w:val="0"/>
                <w:w w:val="100"/>
                <w:position w:val="0"/>
              </w:rPr>
              <w:t>股东周云五通过普通证券账户持有公司股份</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 投资者信用证券账户持有公司股份</w:t>
            </w:r>
            <w:r>
              <w:rPr>
                <w:rFonts w:ascii="Times New Roman" w:eastAsia="Times New Roman" w:hAnsi="Times New Roman" w:cs="Times New Roman"/>
                <w:color w:val="000000"/>
                <w:spacing w:val="0"/>
                <w:w w:val="100"/>
                <w:position w:val="0"/>
                <w:sz w:val="18"/>
                <w:szCs w:val="18"/>
              </w:rPr>
              <w:t>62,600</w:t>
            </w:r>
            <w:r>
              <w:rPr>
                <w:color w:val="000000"/>
                <w:spacing w:val="0"/>
                <w:w w:val="100"/>
                <w:position w:val="0"/>
              </w:rPr>
              <w:t xml:space="preserve">股，合计持有公司股 份 </w:t>
            </w:r>
            <w:r>
              <w:rPr>
                <w:rFonts w:ascii="Times New Roman" w:eastAsia="Times New Roman" w:hAnsi="Times New Roman" w:cs="Times New Roman"/>
                <w:color w:val="000000"/>
                <w:spacing w:val="0"/>
                <w:w w:val="100"/>
                <w:position w:val="0"/>
                <w:sz w:val="18"/>
                <w:szCs w:val="18"/>
              </w:rPr>
              <w:t xml:space="preserve">62,600 </w:t>
            </w:r>
            <w:r>
              <w:rPr>
                <w:color w:val="000000"/>
                <w:spacing w:val="0"/>
                <w:w w:val="100"/>
                <w:position w:val="0"/>
              </w:rPr>
              <w:t>股；</w:t>
            </w:r>
          </w:p>
          <w:p>
            <w:pPr>
              <w:pStyle w:val="Style2"/>
              <w:keepNext w:val="0"/>
              <w:keepLines w:val="0"/>
              <w:widowControl w:val="0"/>
              <w:numPr>
                <w:ilvl w:val="0"/>
                <w:numId w:val="111"/>
              </w:numPr>
              <w:shd w:val="clear" w:color="auto" w:fill="auto"/>
              <w:tabs>
                <w:tab w:pos="634" w:val="left"/>
              </w:tabs>
              <w:bidi w:val="0"/>
              <w:spacing w:before="0" w:after="60" w:line="307" w:lineRule="exact"/>
              <w:ind w:left="0" w:right="0" w:firstLine="380"/>
              <w:jc w:val="both"/>
            </w:pPr>
            <w:r>
              <w:rPr>
                <w:color w:val="000000"/>
                <w:spacing w:val="0"/>
                <w:w w:val="100"/>
                <w:position w:val="0"/>
              </w:rPr>
              <w:t>股东朱红通过普通证券账户持有公司股份</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股，通过投 资者信用证券账户持有公司股份</w:t>
            </w:r>
            <w:r>
              <w:rPr>
                <w:rFonts w:ascii="Times New Roman" w:eastAsia="Times New Roman" w:hAnsi="Times New Roman" w:cs="Times New Roman"/>
                <w:color w:val="000000"/>
                <w:spacing w:val="0"/>
                <w:w w:val="100"/>
                <w:position w:val="0"/>
                <w:sz w:val="18"/>
                <w:szCs w:val="18"/>
              </w:rPr>
              <w:t>59,700.00</w:t>
            </w:r>
            <w:r>
              <w:rPr>
                <w:color w:val="000000"/>
                <w:spacing w:val="0"/>
                <w:w w:val="100"/>
                <w:position w:val="0"/>
              </w:rPr>
              <w:t xml:space="preserve">股，合计持有公司股 份 </w:t>
            </w:r>
            <w:r>
              <w:rPr>
                <w:rFonts w:ascii="Times New Roman" w:eastAsia="Times New Roman" w:hAnsi="Times New Roman" w:cs="Times New Roman"/>
                <w:color w:val="000000"/>
                <w:spacing w:val="0"/>
                <w:w w:val="100"/>
                <w:position w:val="0"/>
                <w:sz w:val="18"/>
                <w:szCs w:val="18"/>
              </w:rPr>
              <w:t xml:space="preserve">59,700.00 </w:t>
            </w:r>
            <w:r>
              <w:rPr>
                <w:color w:val="000000"/>
                <w:spacing w:val="0"/>
                <w:w w:val="100"/>
                <w:position w:val="0"/>
              </w:rPr>
              <w:t>股。</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公司是否具有表决权差异安排</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28"/>
        <w:keepNext/>
        <w:keepLines/>
        <w:widowControl w:val="0"/>
        <w:shd w:val="clear" w:color="auto" w:fill="auto"/>
        <w:bidi w:val="0"/>
        <w:spacing w:before="0" w:after="26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2</w:t>
      </w:r>
      <w:bookmarkEnd w:id="633"/>
      <w:r>
        <w:rPr>
          <w:color w:val="000000"/>
          <w:spacing w:val="0"/>
          <w:w w:val="100"/>
          <w:position w:val="0"/>
        </w:rPr>
        <w:t>、公司控股股东情况</w:t>
      </w:r>
      <w:bookmarkEnd w:id="631"/>
      <w:bookmarkEnd w:id="632"/>
      <w:bookmarkEnd w:id="634"/>
    </w:p>
    <w:p>
      <w:pPr>
        <w:pStyle w:val="Style31"/>
        <w:keepNext w:val="0"/>
        <w:keepLines w:val="0"/>
        <w:widowControl w:val="0"/>
        <w:shd w:val="clear" w:color="auto" w:fill="auto"/>
        <w:bidi w:val="0"/>
        <w:spacing w:before="0" w:after="80" w:line="355" w:lineRule="exact"/>
        <w:ind w:left="0" w:right="0" w:firstLine="0"/>
        <w:jc w:val="left"/>
      </w:pPr>
      <w:r>
        <w:rPr>
          <w:color w:val="000000"/>
          <w:spacing w:val="0"/>
          <w:w w:val="100"/>
          <w:position w:val="0"/>
        </w:rPr>
        <w:t>控股股东性质：自然人控股 控股股东类型：自然人</w:t>
      </w:r>
    </w:p>
    <w:tbl>
      <w:tblPr>
        <w:tblOverlap w:val="never"/>
        <w:jc w:val="center"/>
        <w:tblLayout w:type="fixed"/>
      </w:tblPr>
      <w:tblGrid>
        <w:gridCol w:w="3115"/>
        <w:gridCol w:w="2347"/>
        <w:gridCol w:w="41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林明玲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详见本报告第四节公司治理七、董事、监事和高级管理人员情况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、任职情况。</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28"/>
        <w:keepNext/>
        <w:keepLines/>
        <w:widowControl w:val="0"/>
        <w:shd w:val="clear" w:color="auto" w:fill="auto"/>
        <w:bidi w:val="0"/>
        <w:spacing w:before="0" w:after="26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3</w:t>
      </w:r>
      <w:bookmarkEnd w:id="637"/>
      <w:r>
        <w:rPr>
          <w:color w:val="000000"/>
          <w:spacing w:val="0"/>
          <w:w w:val="100"/>
          <w:position w:val="0"/>
        </w:rPr>
        <w:t>、公司实际控制人及其一致行动人</w:t>
      </w:r>
      <w:bookmarkEnd w:id="635"/>
      <w:bookmarkEnd w:id="636"/>
      <w:bookmarkEnd w:id="638"/>
    </w:p>
    <w:p>
      <w:pPr>
        <w:pStyle w:val="Style31"/>
        <w:keepNext w:val="0"/>
        <w:keepLines w:val="0"/>
        <w:widowControl w:val="0"/>
        <w:shd w:val="clear" w:color="auto" w:fill="auto"/>
        <w:bidi w:val="0"/>
        <w:spacing w:before="0" w:after="80" w:line="350" w:lineRule="exact"/>
        <w:ind w:left="0" w:right="0" w:firstLine="0"/>
        <w:jc w:val="left"/>
      </w:pPr>
      <w:r>
        <w:rPr>
          <w:color w:val="000000"/>
          <w:spacing w:val="0"/>
          <w:w w:val="100"/>
          <w:position w:val="0"/>
        </w:rPr>
        <w:t>实际控制人性质：境内自然人 实际控制人类型：自然人</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林明玲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马学沛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详见本报告第四节公司治理七、董事、监事和高级管理人员情况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、任职情况。</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419" w:line="1" w:lineRule="exact"/>
      </w:pP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after="720" w:line="240" w:lineRule="auto"/>
        <w:ind w:left="0" w:right="0" w:firstLine="0"/>
        <w:jc w:val="left"/>
      </w:pPr>
      <w:r>
        <w:rPr>
          <w:color w:val="000000"/>
          <w:spacing w:val="0"/>
          <w:w w:val="100"/>
          <w:position w:val="0"/>
        </w:rPr>
        <w:t>公司与实际控制人之间的产权及控制关系的方框图</w:t>
      </w:r>
    </w:p>
    <w:p>
      <w:pPr>
        <w:pStyle w:val="Style2"/>
        <w:keepNext w:val="0"/>
        <w:keepLines w:val="0"/>
        <w:widowControl w:val="0"/>
        <w:shd w:val="clear" w:color="auto" w:fill="auto"/>
        <w:tabs>
          <w:tab w:pos="1320" w:val="left"/>
          <w:tab w:pos="5894" w:val="left"/>
        </w:tabs>
        <w:bidi w:val="0"/>
        <w:spacing w:before="0" w:after="0" w:line="240" w:lineRule="auto"/>
        <w:ind w:left="0" w:right="0" w:firstLine="0"/>
        <w:jc w:val="center"/>
        <w:rPr>
          <w:sz w:val="9"/>
          <w:szCs w:val="9"/>
        </w:rPr>
      </w:pPr>
      <w:r>
        <w:rPr>
          <w:color w:val="908F92"/>
          <w:spacing w:val="0"/>
          <w:w w:val="100"/>
          <w:position w:val="0"/>
          <w:sz w:val="9"/>
          <w:szCs w:val="9"/>
        </w:rPr>
        <w:t>林明玲</w:t>
        <w:tab/>
        <w:t xml:space="preserve">马学沛 </w:t>
      </w:r>
      <w:r>
        <w:rPr>
          <w:color w:val="C1C1C1"/>
          <w:spacing w:val="0"/>
          <w:w w:val="100"/>
          <w:position w:val="0"/>
          <w:sz w:val="9"/>
          <w:szCs w:val="9"/>
          <w:u w:val="single"/>
        </w:rPr>
        <w:t xml:space="preserve">: </w:t>
      </w:r>
      <w:r>
        <w:rPr>
          <w:color w:val="908F92"/>
          <w:spacing w:val="0"/>
          <w:w w:val="100"/>
          <w:position w:val="0"/>
          <w:sz w:val="9"/>
          <w:szCs w:val="9"/>
          <w:u w:val="single"/>
        </w:rPr>
        <w:t>浒跖</w:t>
      </w:r>
      <w:r>
        <w:rPr>
          <w:color w:val="908F92"/>
          <w:spacing w:val="0"/>
          <w:w w:val="100"/>
          <w:position w:val="0"/>
          <w:sz w:val="9"/>
          <w:szCs w:val="9"/>
          <w:u w:val="single"/>
        </w:rPr>
        <w:t xml:space="preserve">g </w:t>
      </w:r>
      <w:r>
        <w:rPr>
          <w:color w:val="C1C1C1"/>
          <w:spacing w:val="0"/>
          <w:w w:val="100"/>
          <w:position w:val="0"/>
          <w:sz w:val="9"/>
          <w:szCs w:val="9"/>
          <w:u w:val="single"/>
        </w:rPr>
        <w:t>%</w:t>
      </w:r>
      <w:r>
        <w:rPr>
          <w:color w:val="C1C1C1"/>
          <w:spacing w:val="0"/>
          <w:w w:val="100"/>
          <w:position w:val="0"/>
          <w:sz w:val="9"/>
          <w:szCs w:val="9"/>
        </w:rPr>
        <w:t xml:space="preserve"> </w:t>
      </w:r>
      <w:r>
        <w:rPr>
          <w:color w:val="908F92"/>
          <w:spacing w:val="0"/>
          <w:w w:val="100"/>
          <w:position w:val="0"/>
          <w:sz w:val="9"/>
          <w:szCs w:val="9"/>
        </w:rPr>
        <w:t>汕？由书项干我号命</w:t>
      </w:r>
      <w:r>
        <w:rPr>
          <w:rFonts w:ascii="Arial" w:eastAsia="Arial" w:hAnsi="Arial" w:cs="Arial"/>
          <w:b/>
          <w:bCs/>
          <w:color w:val="908F92"/>
          <w:spacing w:val="0"/>
          <w:w w:val="100"/>
          <w:position w:val="0"/>
          <w:sz w:val="14"/>
          <w:szCs w:val="14"/>
        </w:rPr>
        <w:t>it</w:t>
      </w:r>
      <w:r>
        <w:rPr>
          <w:color w:val="908F92"/>
          <w:spacing w:val="0"/>
          <w:w w:val="100"/>
          <w:position w:val="0"/>
          <w:sz w:val="9"/>
          <w:szCs w:val="9"/>
        </w:rPr>
        <w:t>】</w:t>
        <w:tab/>
      </w:r>
      <w:r>
        <w:rPr>
          <w:color w:val="908F92"/>
          <w:spacing w:val="0"/>
          <w:w w:val="100"/>
          <w:position w:val="0"/>
          <w:sz w:val="9"/>
          <w:szCs w:val="9"/>
        </w:rPr>
        <w:t>卓</w:t>
      </w:r>
    </w:p>
    <w:p>
      <w:pPr>
        <w:pStyle w:val="Style2"/>
        <w:keepNext w:val="0"/>
        <w:keepLines w:val="0"/>
        <w:widowControl w:val="0"/>
        <w:shd w:val="clear" w:color="auto" w:fill="auto"/>
        <w:tabs>
          <w:tab w:pos="1320" w:val="left"/>
          <w:tab w:pos="2477" w:val="left"/>
          <w:tab w:pos="3878" w:val="left"/>
          <w:tab w:pos="5323" w:val="left"/>
          <w:tab w:pos="5611" w:val="left"/>
        </w:tabs>
        <w:bidi w:val="0"/>
        <w:spacing w:before="0" w:after="640" w:line="240" w:lineRule="auto"/>
        <w:ind w:left="0" w:right="0" w:firstLine="0"/>
        <w:jc w:val="center"/>
        <w:rPr>
          <w:sz w:val="10"/>
          <w:szCs w:val="10"/>
        </w:rPr>
      </w:pPr>
      <w:r>
        <w:rPr>
          <w:color w:val="908F92"/>
          <w:spacing w:val="0"/>
          <w:w w:val="100"/>
          <w:position w:val="0"/>
          <w:sz w:val="9"/>
          <w:szCs w:val="9"/>
        </w:rPr>
        <w:t>（拎就:</w:t>
        <w:tab/>
      </w:r>
      <w:r>
        <w:rPr>
          <w:rFonts w:ascii="Arial" w:eastAsia="Arial" w:hAnsi="Arial" w:cs="Arial"/>
          <w:b/>
          <w:bCs/>
          <w:color w:val="908F92"/>
          <w:spacing w:val="0"/>
          <w:w w:val="100"/>
          <w:position w:val="0"/>
          <w:sz w:val="14"/>
          <w:szCs w:val="14"/>
        </w:rPr>
        <w:t>r</w:t>
      </w:r>
      <w:r>
        <w:rPr>
          <w:color w:val="908F92"/>
          <w:spacing w:val="0"/>
          <w:w w:val="100"/>
          <w:position w:val="0"/>
          <w:sz w:val="9"/>
          <w:szCs w:val="9"/>
        </w:rPr>
        <w:t>捕</w:t>
      </w:r>
      <w:r>
        <w:rPr>
          <w:rFonts w:ascii="Arial" w:eastAsia="Arial" w:hAnsi="Arial" w:cs="Arial"/>
          <w:b/>
          <w:bCs/>
          <w:color w:val="908F92"/>
          <w:spacing w:val="0"/>
          <w:w w:val="100"/>
          <w:position w:val="0"/>
          <w:sz w:val="14"/>
          <w:szCs w:val="14"/>
        </w:rPr>
        <w:t>.!15</w:t>
      </w:r>
      <w:r>
        <w:rPr>
          <w:color w:val="908F92"/>
          <w:spacing w:val="0"/>
          <w:w w:val="100"/>
          <w:position w:val="0"/>
          <w:sz w:val="9"/>
          <w:szCs w:val="9"/>
        </w:rPr>
        <w:t>一</w:t>
      </w:r>
      <w:r>
        <w:rPr>
          <w:rFonts w:ascii="Arial" w:eastAsia="Arial" w:hAnsi="Arial" w:cs="Arial"/>
          <w:b/>
          <w:bCs/>
          <w:color w:val="908F92"/>
          <w:spacing w:val="0"/>
          <w:w w:val="100"/>
          <w:position w:val="0"/>
          <w:sz w:val="14"/>
          <w:szCs w:val="14"/>
        </w:rPr>
        <w:t>4</w:t>
      </w:r>
      <w:r>
        <w:rPr>
          <w:color w:val="908F92"/>
          <w:spacing w:val="0"/>
          <w:w w:val="100"/>
          <w:position w:val="0"/>
          <w:sz w:val="9"/>
          <w:szCs w:val="9"/>
        </w:rPr>
        <w:t>网）</w:t>
        <w:tab/>
      </w:r>
      <w:r>
        <w:rPr>
          <w:color w:val="908F92"/>
          <w:spacing w:val="0"/>
          <w:w w:val="100"/>
          <w:position w:val="0"/>
          <w:sz w:val="9"/>
          <w:szCs w:val="9"/>
        </w:rPr>
        <w:t>'</w:t>
        <w:tab/>
      </w:r>
      <w:r>
        <w:rPr>
          <w:color w:val="908F92"/>
          <w:spacing w:val="0"/>
          <w:w w:val="100"/>
          <w:position w:val="0"/>
          <w:sz w:val="9"/>
          <w:szCs w:val="9"/>
        </w:rPr>
        <w:t>皿峪.硝）</w:t>
        <w:tab/>
        <w:t>:</w:t>
        <w:tab/>
      </w:r>
      <w:r>
        <w:rPr>
          <w:i/>
          <w:iCs/>
          <w:color w:val="908F92"/>
          <w:spacing w:val="0"/>
          <w:w w:val="100"/>
          <w:position w:val="0"/>
          <w:sz w:val="10"/>
          <w:szCs w:val="10"/>
        </w:rPr>
        <w:t>中蜘</w:t>
      </w:r>
      <w:r>
        <w:rPr>
          <w:i/>
          <w:iCs/>
          <w:color w:val="908F92"/>
          <w:spacing w:val="0"/>
          <w:w w:val="100"/>
          <w:position w:val="0"/>
          <w:sz w:val="10"/>
          <w:szCs w:val="10"/>
        </w:rPr>
        <w:t>E</w:t>
      </w:r>
    </w:p>
    <w:p>
      <w:pPr>
        <w:pStyle w:val="Style2"/>
        <w:keepNext w:val="0"/>
        <w:keepLines w:val="0"/>
        <w:widowControl w:val="0"/>
        <w:shd w:val="clear" w:color="auto" w:fill="auto"/>
        <w:bidi w:val="0"/>
        <w:spacing w:before="0" w:after="820" w:line="240" w:lineRule="auto"/>
        <w:ind w:left="2600" w:right="0" w:firstLine="0"/>
        <w:jc w:val="left"/>
        <w:rPr>
          <w:sz w:val="10"/>
          <w:szCs w:val="10"/>
        </w:rPr>
      </w:pPr>
      <w:r>
        <w:rPr>
          <w:rFonts w:ascii="Arial" w:eastAsia="Arial" w:hAnsi="Arial" w:cs="Arial"/>
          <w:color w:val="908F92"/>
          <w:spacing w:val="0"/>
          <w:w w:val="100"/>
          <w:position w:val="0"/>
          <w:sz w:val="10"/>
          <w:szCs w:val="10"/>
        </w:rPr>
        <w:t>S3.9PV</w:t>
      </w:r>
    </w:p>
    <w:p>
      <w:pPr>
        <w:pStyle w:val="Style2"/>
        <w:keepNext w:val="0"/>
        <w:keepLines w:val="0"/>
        <w:widowControl w:val="0"/>
        <w:shd w:val="clear" w:color="auto" w:fill="auto"/>
        <w:bidi w:val="0"/>
        <w:spacing w:before="0" w:after="0" w:line="240" w:lineRule="auto"/>
        <w:ind w:left="0" w:right="0" w:firstLine="0"/>
        <w:jc w:val="center"/>
        <w:rPr>
          <w:sz w:val="13"/>
          <w:szCs w:val="13"/>
        </w:rPr>
      </w:pPr>
      <w:r>
        <w:rPr>
          <w:rFonts w:ascii="SimHei" w:eastAsia="SimHei" w:hAnsi="SimHei" w:cs="SimHei"/>
          <w:color w:val="6B6A6B"/>
          <w:spacing w:val="0"/>
          <w:w w:val="100"/>
          <w:position w:val="0"/>
          <w:sz w:val="13"/>
          <w:szCs w:val="13"/>
        </w:rPr>
        <w:t>广嘉天也耳信息产业股伯有限恭司</w:t>
      </w:r>
    </w:p>
    <w:p>
      <w:pPr>
        <w:pStyle w:val="Style2"/>
        <w:keepNext w:val="0"/>
        <w:keepLines w:val="0"/>
        <w:widowControl w:val="0"/>
        <w:shd w:val="clear" w:color="auto" w:fill="auto"/>
        <w:bidi w:val="0"/>
        <w:spacing w:before="0" w:after="280" w:line="228" w:lineRule="auto"/>
        <w:ind w:left="0" w:right="0" w:firstLine="0"/>
        <w:jc w:val="center"/>
        <w:rPr>
          <w:sz w:val="14"/>
          <w:szCs w:val="14"/>
        </w:rPr>
      </w:pPr>
      <w:r>
        <w:rPr>
          <w:rFonts w:ascii="Arial" w:eastAsia="Arial" w:hAnsi="Arial" w:cs="Arial"/>
          <w:b/>
          <w:bCs/>
          <w:color w:val="908F92"/>
          <w:spacing w:val="0"/>
          <w:w w:val="100"/>
          <w:position w:val="0"/>
          <w:sz w:val="14"/>
          <w:szCs w:val="14"/>
        </w:rPr>
        <w:t>（lOOS）</w:t>
      </w:r>
    </w:p>
    <w:p>
      <w:pPr>
        <w:pStyle w:val="Style2"/>
        <w:keepNext w:val="0"/>
        <w:keepLines w:val="0"/>
        <w:widowControl w:val="0"/>
        <w:shd w:val="clear" w:color="auto" w:fill="auto"/>
        <w:bidi w:val="0"/>
        <w:spacing w:before="0" w:after="460" w:line="240" w:lineRule="auto"/>
        <w:ind w:left="7240" w:right="0" w:firstLine="0"/>
        <w:jc w:val="left"/>
        <w:rPr>
          <w:sz w:val="18"/>
          <w:szCs w:val="18"/>
        </w:rPr>
      </w:pPr>
      <w:r>
        <w:rPr>
          <w:rFonts w:ascii="Arial" w:eastAsia="Arial" w:hAnsi="Arial" w:cs="Arial"/>
          <w:b/>
          <w:bCs/>
          <w:color w:val="908F92"/>
          <w:spacing w:val="0"/>
          <w:w w:val="100"/>
          <w:position w:val="0"/>
          <w:sz w:val="11"/>
          <w:szCs w:val="11"/>
        </w:rPr>
        <w:t xml:space="preserve">: </w:t>
      </w:r>
      <w:r>
        <w:rPr>
          <w:rFonts w:ascii="Arial" w:eastAsia="Arial" w:hAnsi="Arial" w:cs="Arial"/>
          <w:b/>
          <w:bCs/>
          <w:color w:val="908F92"/>
          <w:spacing w:val="0"/>
          <w:w w:val="100"/>
          <w:position w:val="0"/>
          <w:sz w:val="11"/>
          <w:szCs w:val="11"/>
        </w:rPr>
        <w:t xml:space="preserve">2OQ1&gt;12.43I </w:t>
      </w:r>
      <w:r>
        <w:rPr>
          <w:rFonts w:ascii="Times New Roman" w:eastAsia="Times New Roman" w:hAnsi="Times New Roman" w:cs="Times New Roman"/>
          <w:i/>
          <w:iCs/>
          <w:color w:val="908F92"/>
          <w:spacing w:val="0"/>
          <w:w w:val="100"/>
          <w:position w:val="0"/>
          <w:sz w:val="18"/>
          <w:szCs w:val="18"/>
        </w:rPr>
        <w:t>B</w:t>
      </w:r>
    </w:p>
    <w:p>
      <w:pPr>
        <w:pStyle w:val="Style31"/>
        <w:keepNext w:val="0"/>
        <w:keepLines w:val="0"/>
        <w:widowControl w:val="0"/>
        <w:shd w:val="clear" w:color="auto" w:fill="auto"/>
        <w:bidi w:val="0"/>
        <w:spacing w:before="0" w:after="220" w:line="240" w:lineRule="auto"/>
        <w:ind w:left="0" w:right="0" w:firstLine="0"/>
        <w:jc w:val="both"/>
      </w:pPr>
      <w:r>
        <w:rPr>
          <w:color w:val="000000"/>
          <w:spacing w:val="0"/>
          <w:w w:val="100"/>
          <w:position w:val="0"/>
        </w:rPr>
        <w:t>实际控制人通过信托或其他资产管理方式控制公司</w:t>
      </w:r>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both"/>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4</w:t>
      </w:r>
      <w:bookmarkEnd w:id="641"/>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39"/>
      <w:bookmarkEnd w:id="640"/>
      <w:bookmarkEnd w:id="642"/>
      <w:r>
        <w:rPr>
          <w:rFonts w:ascii="Times New Roman" w:eastAsia="Times New Roman" w:hAnsi="Times New Roman" w:cs="Times New Roman"/>
          <w:color w:val="000000"/>
          <w:spacing w:val="0"/>
          <w:w w:val="100"/>
          <w:position w:val="0"/>
        </w:rPr>
        <w:t xml:space="preserve"> </w:t>
      </w:r>
      <w:r>
        <w:rPr>
          <w:rStyle w:val="CharStyle32"/>
          <w:rFonts w:ascii="Times New Roman" w:eastAsia="Times New Roman" w:hAnsi="Times New Roman" w:cs="Times New Roman"/>
          <w:b w:val="0"/>
          <w:bCs w:val="0"/>
        </w:rPr>
        <w:t>□</w:t>
      </w:r>
      <w:r>
        <w:rPr>
          <w:rStyle w:val="CharStyle32"/>
          <w:b w:val="0"/>
          <w:bCs w:val="0"/>
        </w:rPr>
        <w:t>适用</w:t>
      </w:r>
      <w:r>
        <w:rPr>
          <w:rStyle w:val="CharStyle32"/>
          <w:rFonts w:ascii="Times New Roman" w:eastAsia="Times New Roman" w:hAnsi="Times New Roman" w:cs="Times New Roman"/>
          <w:b w:val="0"/>
          <w:bCs w:val="0"/>
        </w:rPr>
        <w:t>q</w:t>
      </w:r>
      <w:r>
        <w:rPr>
          <w:rStyle w:val="CharStyle32"/>
          <w:b w:val="0"/>
          <w:bCs w:val="0"/>
        </w:rPr>
        <w:t>不适用</w:t>
      </w:r>
    </w:p>
    <w:p>
      <w:pPr>
        <w:pStyle w:val="Style28"/>
        <w:keepNext/>
        <w:keepLines/>
        <w:widowControl w:val="0"/>
        <w:shd w:val="clear" w:color="auto" w:fill="auto"/>
        <w:tabs>
          <w:tab w:pos="378" w:val="left"/>
        </w:tabs>
        <w:bidi w:val="0"/>
        <w:spacing w:before="0" w:line="240" w:lineRule="auto"/>
        <w:ind w:left="0" w:right="0" w:firstLine="0"/>
        <w:jc w:val="both"/>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5</w:t>
      </w:r>
      <w:bookmarkEnd w:id="645"/>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43"/>
      <w:bookmarkEnd w:id="644"/>
      <w:bookmarkEnd w:id="646"/>
    </w:p>
    <w:p>
      <w:pPr>
        <w:pStyle w:val="Style31"/>
        <w:keepNext w:val="0"/>
        <w:keepLines w:val="0"/>
        <w:widowControl w:val="0"/>
        <w:numPr>
          <w:ilvl w:val="0"/>
          <w:numId w:val="113"/>
        </w:numPr>
        <w:shd w:val="clear" w:color="auto" w:fill="auto"/>
        <w:tabs>
          <w:tab w:pos="296" w:val="left"/>
          <w:tab w:pos="814" w:val="left"/>
        </w:tabs>
        <w:bidi w:val="0"/>
        <w:spacing w:before="0" w:after="360" w:line="240" w:lineRule="auto"/>
        <w:ind w:left="0" w:right="0" w:firstLine="0"/>
        <w:jc w:val="both"/>
      </w:pPr>
      <w:bookmarkStart w:id="647" w:name="bookmark647"/>
      <w:bookmarkEnd w:id="647"/>
      <w:r>
        <w:rPr>
          <w:color w:val="000000"/>
          <w:spacing w:val="0"/>
          <w:w w:val="100"/>
          <w:position w:val="0"/>
        </w:rPr>
        <w:t>适用</w:t>
        <w:tab/>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28"/>
        <w:keepNext/>
        <w:keepLines/>
        <w:widowControl w:val="0"/>
        <w:shd w:val="clear" w:color="auto" w:fill="auto"/>
        <w:tabs>
          <w:tab w:pos="378" w:val="left"/>
        </w:tabs>
        <w:bidi w:val="0"/>
        <w:spacing w:before="0" w:line="240" w:lineRule="auto"/>
        <w:ind w:left="0" w:right="0" w:firstLine="0"/>
        <w:jc w:val="both"/>
      </w:pPr>
      <w:bookmarkStart w:id="648" w:name="bookmark648"/>
      <w:bookmarkStart w:id="649" w:name="bookmark649"/>
      <w:bookmarkStart w:id="650" w:name="bookmark650"/>
      <w:bookmarkStart w:id="651" w:name="bookmark651"/>
      <w:r>
        <w:rPr>
          <w:rFonts w:ascii="Times New Roman" w:eastAsia="Times New Roman" w:hAnsi="Times New Roman" w:cs="Times New Roman"/>
          <w:color w:val="000000"/>
          <w:spacing w:val="0"/>
          <w:w w:val="100"/>
          <w:position w:val="0"/>
        </w:rPr>
        <w:t>6</w:t>
      </w:r>
      <w:bookmarkEnd w:id="650"/>
      <w:r>
        <w:rPr>
          <w:color w:val="000000"/>
          <w:spacing w:val="0"/>
          <w:w w:val="100"/>
          <w:position w:val="0"/>
        </w:rPr>
        <w:t>、</w:t>
        <w:tab/>
        <w:t>控股股东、实际控制人、重组方及其他承诺主体股份限制减持情况</w:t>
      </w:r>
      <w:bookmarkEnd w:id="648"/>
      <w:bookmarkEnd w:id="649"/>
      <w:bookmarkEnd w:id="651"/>
    </w:p>
    <w:p>
      <w:pPr>
        <w:pStyle w:val="Style31"/>
        <w:keepNext w:val="0"/>
        <w:keepLines w:val="0"/>
        <w:widowControl w:val="0"/>
        <w:numPr>
          <w:ilvl w:val="0"/>
          <w:numId w:val="113"/>
        </w:numPr>
        <w:shd w:val="clear" w:color="auto" w:fill="auto"/>
        <w:tabs>
          <w:tab w:pos="296" w:val="left"/>
          <w:tab w:pos="814" w:val="left"/>
        </w:tabs>
        <w:bidi w:val="0"/>
        <w:spacing w:before="0" w:after="360" w:line="240" w:lineRule="auto"/>
        <w:ind w:left="0" w:right="0" w:firstLine="0"/>
        <w:jc w:val="both"/>
      </w:pPr>
      <w:bookmarkStart w:id="652" w:name="bookmark652"/>
      <w:bookmarkEnd w:id="652"/>
      <w:r>
        <w:rPr>
          <w:color w:val="000000"/>
          <w:spacing w:val="0"/>
          <w:w w:val="100"/>
          <w:position w:val="0"/>
        </w:rPr>
        <w:t>适用</w:t>
        <w:tab/>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both"/>
      </w:pPr>
      <w:bookmarkStart w:id="653" w:name="bookmark653"/>
      <w:bookmarkStart w:id="654" w:name="bookmark654"/>
      <w:bookmarkStart w:id="655" w:name="bookmark655"/>
      <w:bookmarkStart w:id="656" w:name="bookmark656"/>
      <w:r>
        <w:rPr>
          <w:color w:val="000000"/>
          <w:spacing w:val="0"/>
          <w:w w:val="100"/>
          <w:position w:val="0"/>
        </w:rPr>
        <w:t>四</w:t>
      </w:r>
      <w:bookmarkEnd w:id="655"/>
      <w:r>
        <w:rPr>
          <w:color w:val="000000"/>
          <w:spacing w:val="0"/>
          <w:w w:val="100"/>
          <w:position w:val="0"/>
        </w:rPr>
        <w:t>、股份回购在报告期的具体实施情况</w:t>
      </w:r>
      <w:bookmarkEnd w:id="653"/>
      <w:bookmarkEnd w:id="654"/>
      <w:bookmarkEnd w:id="656"/>
    </w:p>
    <w:p>
      <w:pPr>
        <w:pStyle w:val="Style31"/>
        <w:keepNext w:val="0"/>
        <w:keepLines w:val="0"/>
        <w:widowControl w:val="0"/>
        <w:shd w:val="clear" w:color="auto" w:fill="auto"/>
        <w:bidi w:val="0"/>
        <w:spacing w:before="0" w:after="220" w:line="240" w:lineRule="auto"/>
        <w:ind w:left="0" w:right="0" w:firstLine="0"/>
        <w:jc w:val="both"/>
      </w:pPr>
      <w:r>
        <w:rPr>
          <w:color w:val="000000"/>
          <w:spacing w:val="0"/>
          <w:w w:val="100"/>
          <w:position w:val="0"/>
        </w:rPr>
        <w:t>股份回购的实施进展情况</w:t>
      </w:r>
    </w:p>
    <w:p>
      <w:pPr>
        <w:pStyle w:val="Style31"/>
        <w:keepNext w:val="0"/>
        <w:keepLines w:val="0"/>
        <w:widowControl w:val="0"/>
        <w:numPr>
          <w:ilvl w:val="0"/>
          <w:numId w:val="113"/>
        </w:numPr>
        <w:shd w:val="clear" w:color="auto" w:fill="auto"/>
        <w:tabs>
          <w:tab w:pos="296" w:val="left"/>
          <w:tab w:pos="814" w:val="left"/>
        </w:tabs>
        <w:bidi w:val="0"/>
        <w:spacing w:before="0" w:after="220" w:line="240" w:lineRule="auto"/>
        <w:ind w:left="0" w:right="0" w:firstLine="0"/>
        <w:jc w:val="both"/>
      </w:pPr>
      <w:bookmarkStart w:id="657" w:name="bookmark657"/>
      <w:bookmarkEnd w:id="657"/>
      <w:r>
        <w:rPr>
          <w:color w:val="000000"/>
          <w:spacing w:val="0"/>
          <w:w w:val="100"/>
          <w:position w:val="0"/>
        </w:rPr>
        <w:t>适用</w:t>
        <w:tab/>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31"/>
        <w:keepNext w:val="0"/>
        <w:keepLines w:val="0"/>
        <w:widowControl w:val="0"/>
        <w:shd w:val="clear" w:color="auto" w:fill="auto"/>
        <w:bidi w:val="0"/>
        <w:spacing w:before="0" w:after="220" w:line="240" w:lineRule="auto"/>
        <w:ind w:left="0" w:right="0" w:firstLine="0"/>
        <w:jc w:val="both"/>
      </w:pPr>
      <w:r>
        <w:rPr>
          <w:color w:val="000000"/>
          <w:spacing w:val="0"/>
          <w:w w:val="100"/>
          <w:position w:val="0"/>
        </w:rPr>
        <w:t>采用集中竞价方式减持回购股份的实施进展情况</w:t>
      </w:r>
    </w:p>
    <w:p>
      <w:pPr>
        <w:pStyle w:val="Style31"/>
        <w:keepNext w:val="0"/>
        <w:keepLines w:val="0"/>
        <w:widowControl w:val="0"/>
        <w:numPr>
          <w:ilvl w:val="0"/>
          <w:numId w:val="113"/>
        </w:numPr>
        <w:shd w:val="clear" w:color="auto" w:fill="auto"/>
        <w:tabs>
          <w:tab w:pos="296" w:val="left"/>
          <w:tab w:pos="814" w:val="left"/>
        </w:tabs>
        <w:bidi w:val="0"/>
        <w:spacing w:before="0" w:after="360" w:line="240" w:lineRule="auto"/>
        <w:ind w:left="0" w:right="0" w:firstLine="0"/>
        <w:jc w:val="both"/>
      </w:pPr>
      <w:bookmarkStart w:id="658" w:name="bookmark658"/>
      <w:bookmarkEnd w:id="658"/>
      <w:r>
        <w:rPr>
          <w:color w:val="000000"/>
          <w:spacing w:val="0"/>
          <w:w w:val="100"/>
          <w:position w:val="0"/>
        </w:rPr>
        <w:t>适用</w:t>
        <w:tab/>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p>
      <w:pPr>
        <w:pStyle w:val="Style9"/>
        <w:keepNext/>
        <w:keepLines/>
        <w:widowControl w:val="0"/>
        <w:shd w:val="clear" w:color="auto" w:fill="auto"/>
        <w:bidi w:val="0"/>
        <w:spacing w:before="0" w:after="560" w:line="240" w:lineRule="auto"/>
        <w:ind w:left="0" w:right="0" w:firstLine="0"/>
        <w:jc w:val="center"/>
      </w:pPr>
      <w:bookmarkStart w:id="659" w:name="bookmark659"/>
      <w:bookmarkStart w:id="660" w:name="bookmark660"/>
      <w:bookmarkStart w:id="661" w:name="bookmark661"/>
      <w:r>
        <w:rPr>
          <w:color w:val="000000"/>
          <w:spacing w:val="0"/>
          <w:w w:val="100"/>
          <w:position w:val="0"/>
        </w:rPr>
        <w:t>第八节优先股相关情况</w:t>
      </w:r>
      <w:bookmarkEnd w:id="659"/>
      <w:bookmarkEnd w:id="660"/>
      <w:bookmarkEnd w:id="661"/>
    </w:p>
    <w:p>
      <w:pPr>
        <w:pStyle w:val="Style31"/>
        <w:keepNext w:val="0"/>
        <w:keepLines w:val="0"/>
        <w:widowControl w:val="0"/>
        <w:shd w:val="clear" w:color="auto" w:fill="auto"/>
        <w:bidi w:val="0"/>
        <w:spacing w:before="0" w:after="200" w:line="240" w:lineRule="auto"/>
        <w:ind w:left="0" w:right="0" w:firstLine="0"/>
        <w:jc w:val="left"/>
      </w:pPr>
      <w:bookmarkStart w:id="662" w:name="bookmark662"/>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662"/>
    </w:p>
    <w:p>
      <w:pPr>
        <w:pStyle w:val="Style31"/>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93" w:right="1049" w:bottom="1455" w:left="1041" w:header="0" w:footer="3" w:gutter="0"/>
          <w:cols w:space="720"/>
          <w:noEndnote/>
          <w:rtlGutter w:val="0"/>
          <w:docGrid w:linePitch="360"/>
        </w:sectPr>
      </w:pPr>
      <w:r>
        <w:rPr>
          <w:color w:val="000000"/>
          <w:spacing w:val="0"/>
          <w:w w:val="100"/>
          <w:position w:val="0"/>
        </w:rPr>
        <w:t>报告期公司不存在优先股。</w:t>
      </w:r>
    </w:p>
    <w:p>
      <w:pPr>
        <w:pStyle w:val="Style9"/>
        <w:keepNext/>
        <w:keepLines/>
        <w:widowControl w:val="0"/>
        <w:shd w:val="clear" w:color="auto" w:fill="auto"/>
        <w:bidi w:val="0"/>
        <w:spacing w:before="0" w:after="560" w:line="240" w:lineRule="auto"/>
        <w:ind w:left="0" w:right="0" w:firstLine="0"/>
        <w:jc w:val="center"/>
      </w:pPr>
      <w:bookmarkStart w:id="663" w:name="bookmark663"/>
      <w:bookmarkStart w:id="664" w:name="bookmark664"/>
      <w:bookmarkStart w:id="665" w:name="bookmark665"/>
      <w:r>
        <w:rPr>
          <w:color w:val="000000"/>
          <w:spacing w:val="0"/>
          <w:w w:val="100"/>
          <w:position w:val="0"/>
        </w:rPr>
        <w:t>第九节债券相关情况</w:t>
      </w:r>
      <w:bookmarkEnd w:id="663"/>
      <w:bookmarkEnd w:id="664"/>
      <w:bookmarkEnd w:id="665"/>
    </w:p>
    <w:p>
      <w:pPr>
        <w:pStyle w:val="Style3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011" w:bottom="1935" w:left="1011" w:header="0" w:footer="3" w:gutter="0"/>
          <w:cols w:space="720"/>
          <w:noEndnote/>
          <w:rtlGutter w:val="0"/>
          <w:docGrid w:linePitch="360"/>
        </w:sectPr>
      </w:pPr>
      <w:bookmarkStart w:id="666" w:name="bookmark666"/>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666"/>
    </w:p>
    <w:p>
      <w:pPr>
        <w:pStyle w:val="Style9"/>
        <w:keepNext/>
        <w:keepLines/>
        <w:widowControl w:val="0"/>
        <w:shd w:val="clear" w:color="auto" w:fill="auto"/>
        <w:bidi w:val="0"/>
        <w:spacing w:before="520" w:line="240" w:lineRule="auto"/>
        <w:ind w:left="0" w:right="0" w:firstLine="0"/>
        <w:jc w:val="center"/>
      </w:pPr>
      <w:bookmarkStart w:id="667" w:name="bookmark667"/>
      <w:bookmarkStart w:id="668" w:name="bookmark668"/>
      <w:bookmarkStart w:id="669" w:name="bookmark669"/>
      <w:r>
        <w:rPr>
          <w:color w:val="000000"/>
          <w:spacing w:val="0"/>
          <w:w w:val="100"/>
          <w:position w:val="0"/>
        </w:rPr>
        <w:t>第十节财务报告</w:t>
      </w:r>
      <w:bookmarkEnd w:id="667"/>
      <w:bookmarkEnd w:id="668"/>
      <w:bookmarkEnd w:id="669"/>
    </w:p>
    <w:p>
      <w:pPr>
        <w:pStyle w:val="Style25"/>
        <w:keepNext/>
        <w:keepLines/>
        <w:widowControl w:val="0"/>
        <w:shd w:val="clear" w:color="auto" w:fill="auto"/>
        <w:bidi w:val="0"/>
        <w:spacing w:before="0" w:after="320" w:line="240" w:lineRule="auto"/>
        <w:ind w:left="0" w:right="0" w:firstLine="360"/>
        <w:jc w:val="both"/>
      </w:pPr>
      <w:bookmarkStart w:id="670" w:name="bookmark670"/>
      <w:bookmarkStart w:id="671" w:name="bookmark671"/>
      <w:bookmarkStart w:id="672" w:name="bookmark672"/>
      <w:bookmarkStart w:id="673" w:name="bookmark673"/>
      <w:r>
        <w:rPr>
          <w:color w:val="000000"/>
          <w:spacing w:val="0"/>
          <w:w w:val="100"/>
          <w:position w:val="0"/>
        </w:rPr>
        <w:t>、审计报告</w:t>
      </w:r>
      <w:bookmarkEnd w:id="671"/>
      <w:bookmarkEnd w:id="672"/>
      <w:bookmarkEnd w:id="673"/>
      <w:bookmarkEnd w:id="670"/>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众环审字（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0610034</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巩启春、刘麟放</w:t>
            </w:r>
          </w:p>
        </w:tc>
      </w:tr>
    </w:tbl>
    <w:p>
      <w:pPr>
        <w:pStyle w:val="Style14"/>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pStyle w:val="Style31"/>
        <w:keepNext w:val="0"/>
        <w:keepLines w:val="0"/>
        <w:widowControl w:val="0"/>
        <w:shd w:val="clear" w:color="auto" w:fill="auto"/>
        <w:bidi w:val="0"/>
        <w:spacing w:before="0" w:line="313" w:lineRule="exact"/>
        <w:ind w:left="0" w:right="0" w:firstLine="0"/>
        <w:jc w:val="both"/>
      </w:pPr>
      <w:r>
        <w:rPr>
          <w:b/>
          <w:bCs/>
          <w:color w:val="000000"/>
          <w:spacing w:val="0"/>
          <w:w w:val="100"/>
          <w:position w:val="0"/>
        </w:rPr>
        <w:t>广东天亿马信息产业股份有限公司全体股东：</w:t>
      </w:r>
    </w:p>
    <w:p>
      <w:pPr>
        <w:pStyle w:val="Style31"/>
        <w:keepNext w:val="0"/>
        <w:keepLines w:val="0"/>
        <w:widowControl w:val="0"/>
        <w:shd w:val="clear" w:color="auto" w:fill="auto"/>
        <w:tabs>
          <w:tab w:pos="1018" w:val="left"/>
        </w:tabs>
        <w:bidi w:val="0"/>
        <w:spacing w:before="0" w:line="313" w:lineRule="exact"/>
        <w:ind w:left="0" w:right="0" w:firstLine="540"/>
        <w:jc w:val="both"/>
      </w:pPr>
      <w:bookmarkStart w:id="674" w:name="bookmark674"/>
      <w:r>
        <w:rPr>
          <w:b/>
          <w:bCs/>
          <w:color w:val="000000"/>
          <w:spacing w:val="0"/>
          <w:w w:val="100"/>
          <w:position w:val="0"/>
        </w:rPr>
        <w:t>一</w:t>
      </w:r>
      <w:bookmarkEnd w:id="674"/>
      <w:r>
        <w:rPr>
          <w:b/>
          <w:bCs/>
          <w:color w:val="000000"/>
          <w:spacing w:val="0"/>
          <w:w w:val="100"/>
          <w:position w:val="0"/>
        </w:rPr>
        <w:t>、</w:t>
        <w:tab/>
        <w:t>审计意见</w:t>
      </w:r>
    </w:p>
    <w:p>
      <w:pPr>
        <w:pStyle w:val="Style31"/>
        <w:keepNext w:val="0"/>
        <w:keepLines w:val="0"/>
        <w:widowControl w:val="0"/>
        <w:shd w:val="clear" w:color="auto" w:fill="auto"/>
        <w:bidi w:val="0"/>
        <w:spacing w:before="0" w:line="314" w:lineRule="exact"/>
        <w:ind w:left="0" w:right="0" w:firstLine="540"/>
        <w:jc w:val="both"/>
      </w:pPr>
      <w:r>
        <w:rPr>
          <w:color w:val="000000"/>
          <w:spacing w:val="0"/>
          <w:w w:val="100"/>
          <w:position w:val="0"/>
        </w:rPr>
        <w:t>我们审计了广东天亿马信息产业股份有限公司（以下简称“天亿马公司”）财务报表，包括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年度的合并及公司利润表、合并及公司现金流量表、合并及公司股 东权益变动表以及相关财务报表附注。</w:t>
      </w:r>
    </w:p>
    <w:p>
      <w:pPr>
        <w:pStyle w:val="Style31"/>
        <w:keepNext w:val="0"/>
        <w:keepLines w:val="0"/>
        <w:widowControl w:val="0"/>
        <w:shd w:val="clear" w:color="auto" w:fill="auto"/>
        <w:bidi w:val="0"/>
        <w:spacing w:before="0" w:line="302" w:lineRule="exact"/>
        <w:ind w:left="0" w:right="0" w:firstLine="540"/>
        <w:jc w:val="both"/>
      </w:pPr>
      <w:r>
        <w:rPr>
          <w:color w:val="000000"/>
          <w:spacing w:val="0"/>
          <w:w w:val="100"/>
          <w:position w:val="0"/>
        </w:rPr>
        <w:t xml:space="preserve">我们认为，后附的财务报表在所有重大方面按照企业会计准则的规定编制，公允反映了天亿马公司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日合并及公司的财务状况以及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年度合并及公司的经营成果和现金流量。</w:t>
      </w:r>
    </w:p>
    <w:p>
      <w:pPr>
        <w:pStyle w:val="Style31"/>
        <w:keepNext w:val="0"/>
        <w:keepLines w:val="0"/>
        <w:widowControl w:val="0"/>
        <w:shd w:val="clear" w:color="auto" w:fill="auto"/>
        <w:tabs>
          <w:tab w:pos="1018" w:val="left"/>
        </w:tabs>
        <w:bidi w:val="0"/>
        <w:spacing w:before="0" w:line="313" w:lineRule="exact"/>
        <w:ind w:left="0" w:right="0" w:firstLine="540"/>
        <w:jc w:val="both"/>
      </w:pPr>
      <w:bookmarkStart w:id="675" w:name="bookmark675"/>
      <w:r>
        <w:rPr>
          <w:b/>
          <w:bCs/>
          <w:color w:val="000000"/>
          <w:spacing w:val="0"/>
          <w:w w:val="100"/>
          <w:position w:val="0"/>
        </w:rPr>
        <w:t>二</w:t>
      </w:r>
      <w:bookmarkEnd w:id="675"/>
      <w:r>
        <w:rPr>
          <w:b/>
          <w:bCs/>
          <w:color w:val="000000"/>
          <w:spacing w:val="0"/>
          <w:w w:val="100"/>
          <w:position w:val="0"/>
        </w:rPr>
        <w:t>、</w:t>
        <w:tab/>
        <w:t>形成审计意见的基础</w:t>
      </w:r>
    </w:p>
    <w:p>
      <w:pPr>
        <w:pStyle w:val="Style31"/>
        <w:keepNext w:val="0"/>
        <w:keepLines w:val="0"/>
        <w:widowControl w:val="0"/>
        <w:shd w:val="clear" w:color="auto" w:fill="auto"/>
        <w:bidi w:val="0"/>
        <w:spacing w:before="0" w:line="312" w:lineRule="exact"/>
        <w:ind w:left="0" w:right="0" w:firstLine="54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的责任”部分进一步阐述了我们在这些准则下的责任。按照中国注册会计师职业道德守则，我们独立于天 亿马公司，并履行了职业道德方面的其他责任。我们相信，我们获取的审计证据是充分、适当的，为发表 审计意见提供了基础。</w:t>
      </w:r>
    </w:p>
    <w:p>
      <w:pPr>
        <w:pStyle w:val="Style31"/>
        <w:keepNext w:val="0"/>
        <w:keepLines w:val="0"/>
        <w:widowControl w:val="0"/>
        <w:shd w:val="clear" w:color="auto" w:fill="auto"/>
        <w:tabs>
          <w:tab w:pos="1023" w:val="left"/>
        </w:tabs>
        <w:bidi w:val="0"/>
        <w:spacing w:before="0" w:line="313" w:lineRule="exact"/>
        <w:ind w:left="0" w:right="0" w:firstLine="540"/>
        <w:jc w:val="both"/>
      </w:pPr>
      <w:bookmarkStart w:id="676" w:name="bookmark676"/>
      <w:r>
        <w:rPr>
          <w:b/>
          <w:bCs/>
          <w:color w:val="000000"/>
          <w:spacing w:val="0"/>
          <w:w w:val="100"/>
          <w:position w:val="0"/>
        </w:rPr>
        <w:t>三</w:t>
      </w:r>
      <w:bookmarkEnd w:id="676"/>
      <w:r>
        <w:rPr>
          <w:b/>
          <w:bCs/>
          <w:color w:val="000000"/>
          <w:spacing w:val="0"/>
          <w:w w:val="100"/>
          <w:position w:val="0"/>
        </w:rPr>
        <w:t>、</w:t>
        <w:tab/>
        <w:t>关键审计事项</w:t>
      </w:r>
    </w:p>
    <w:p>
      <w:pPr>
        <w:pStyle w:val="Style31"/>
        <w:keepNext w:val="0"/>
        <w:keepLines w:val="0"/>
        <w:widowControl w:val="0"/>
        <w:shd w:val="clear" w:color="auto" w:fill="auto"/>
        <w:bidi w:val="0"/>
        <w:spacing w:before="0" w:after="200" w:line="317" w:lineRule="exact"/>
        <w:ind w:left="0" w:right="0" w:firstLine="54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财务报表整体进行审计并形成审计意见为背景，我们不对这些事项单独发表意见。我们确定下列事项是需 要在审计报告中沟通的关键审计事项。</w:t>
      </w:r>
    </w:p>
    <w:p>
      <w:pPr>
        <w:pStyle w:val="Style14"/>
        <w:keepNext w:val="0"/>
        <w:keepLines w:val="0"/>
        <w:widowControl w:val="0"/>
        <w:shd w:val="clear" w:color="auto" w:fill="auto"/>
        <w:bidi w:val="0"/>
        <w:spacing w:before="0" w:after="0" w:line="240" w:lineRule="auto"/>
        <w:ind w:left="528" w:right="0" w:firstLine="0"/>
        <w:jc w:val="left"/>
        <w:rPr>
          <w:sz w:val="20"/>
          <w:szCs w:val="20"/>
        </w:rPr>
      </w:pPr>
      <w:r>
        <w:rPr>
          <w:b/>
          <w:bCs/>
          <w:color w:val="000000"/>
          <w:spacing w:val="0"/>
          <w:w w:val="100"/>
          <w:position w:val="0"/>
          <w:sz w:val="20"/>
          <w:szCs w:val="20"/>
        </w:rPr>
        <w:t>收入确认</w:t>
      </w:r>
    </w:p>
    <w:tbl>
      <w:tblPr>
        <w:tblOverlap w:val="never"/>
        <w:jc w:val="center"/>
        <w:tblLayout w:type="fixed"/>
      </w:tblPr>
      <w:tblGrid>
        <w:gridCol w:w="3437"/>
        <w:gridCol w:w="6442"/>
      </w:tblGrid>
      <w:tr>
        <w:trPr>
          <w:trHeight w:val="499"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关键审计事项</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在审计中如何应对该事项</w:t>
            </w:r>
          </w:p>
        </w:tc>
      </w:tr>
      <w:tr>
        <w:trPr>
          <w:trHeight w:val="237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310" w:lineRule="exact"/>
              <w:ind w:left="0" w:right="0" w:firstLine="0"/>
              <w:jc w:val="right"/>
              <w:rPr>
                <w:sz w:val="20"/>
                <w:szCs w:val="20"/>
              </w:rPr>
            </w:pPr>
            <w:r>
              <w:rPr>
                <w:color w:val="000000"/>
                <w:spacing w:val="0"/>
                <w:w w:val="100"/>
                <w:position w:val="0"/>
                <w:sz w:val="20"/>
                <w:szCs w:val="20"/>
              </w:rPr>
              <w:t>请参见财务报表本节五</w:t>
            </w:r>
            <w:r>
              <w:rPr>
                <w:rFonts w:ascii="Times New Roman" w:eastAsia="Times New Roman" w:hAnsi="Times New Roman" w:cs="Times New Roman"/>
                <w:color w:val="000000"/>
                <w:spacing w:val="0"/>
                <w:w w:val="100"/>
                <w:position w:val="0"/>
                <w:sz w:val="20"/>
                <w:szCs w:val="20"/>
              </w:rPr>
              <w:t xml:space="preserve">30 </w:t>
            </w:r>
            <w:r>
              <w:rPr>
                <w:color w:val="000000"/>
                <w:spacing w:val="0"/>
                <w:w w:val="100"/>
                <w:position w:val="0"/>
                <w:sz w:val="20"/>
                <w:szCs w:val="20"/>
              </w:rPr>
              <w:t>“收 入”、</w:t>
            </w:r>
            <w:r>
              <w:rPr>
                <w:rFonts w:ascii="Times New Roman" w:eastAsia="Times New Roman" w:hAnsi="Times New Roman" w:cs="Times New Roman"/>
                <w:color w:val="000000"/>
                <w:spacing w:val="0"/>
                <w:w w:val="100"/>
                <w:position w:val="0"/>
                <w:sz w:val="20"/>
                <w:szCs w:val="20"/>
              </w:rPr>
              <w:t xml:space="preserve">33 </w:t>
            </w:r>
            <w:r>
              <w:rPr>
                <w:color w:val="000000"/>
                <w:spacing w:val="0"/>
                <w:w w:val="100"/>
                <w:position w:val="0"/>
                <w:sz w:val="20"/>
                <w:szCs w:val="20"/>
              </w:rPr>
              <w:t>“营业收入及营业成本” 及十六</w:t>
            </w: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、“营业收入及营业成本”。</w:t>
            </w:r>
          </w:p>
          <w:p>
            <w:pPr>
              <w:pStyle w:val="Style2"/>
              <w:keepNext w:val="0"/>
              <w:keepLines w:val="0"/>
              <w:widowControl w:val="0"/>
              <w:shd w:val="clear" w:color="auto" w:fill="auto"/>
              <w:bidi w:val="0"/>
              <w:spacing w:before="0" w:after="0" w:line="319" w:lineRule="exact"/>
              <w:ind w:left="0" w:right="0" w:firstLine="0"/>
              <w:jc w:val="right"/>
              <w:rPr>
                <w:sz w:val="20"/>
                <w:szCs w:val="20"/>
              </w:rPr>
            </w:pPr>
            <w:r>
              <w:rPr>
                <w:color w:val="000000"/>
                <w:spacing w:val="0"/>
                <w:w w:val="100"/>
                <w:position w:val="0"/>
                <w:sz w:val="20"/>
                <w:szCs w:val="20"/>
              </w:rPr>
              <w:t>天亿马公司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 xml:space="preserve">年度营业收入 </w:t>
            </w:r>
            <w:r>
              <w:rPr>
                <w:rFonts w:ascii="Times New Roman" w:eastAsia="Times New Roman" w:hAnsi="Times New Roman" w:cs="Times New Roman"/>
                <w:color w:val="000000"/>
                <w:spacing w:val="0"/>
                <w:w w:val="100"/>
                <w:position w:val="0"/>
                <w:sz w:val="20"/>
                <w:szCs w:val="20"/>
              </w:rPr>
              <w:t>46,712.92</w:t>
            </w:r>
            <w:r>
              <w:rPr>
                <w:color w:val="000000"/>
                <w:spacing w:val="0"/>
                <w:w w:val="100"/>
                <w:position w:val="0"/>
                <w:sz w:val="20"/>
                <w:szCs w:val="20"/>
              </w:rPr>
              <w:t>万元，收入系软件和信息 技术服务行业收入。由于收入是天</w:t>
            </w:r>
          </w:p>
        </w:tc>
        <w:tc>
          <w:tcPr>
            <w:tcBorders>
              <w:top w:val="single" w:sz="4"/>
              <w:left w:val="single" w:sz="4"/>
              <w:bottom w:val="single" w:sz="4"/>
              <w:right w:val="single" w:sz="4"/>
            </w:tcBorders>
            <w:shd w:val="clear" w:color="auto" w:fill="FFFFFF"/>
            <w:vAlign w:val="bottom"/>
          </w:tcPr>
          <w:p>
            <w:pPr>
              <w:pStyle w:val="Style2"/>
              <w:keepNext w:val="0"/>
              <w:keepLines w:val="0"/>
              <w:widowControl w:val="0"/>
              <w:numPr>
                <w:ilvl w:val="0"/>
                <w:numId w:val="115"/>
              </w:numPr>
              <w:shd w:val="clear" w:color="auto" w:fill="auto"/>
              <w:tabs>
                <w:tab w:pos="605" w:val="left"/>
              </w:tabs>
              <w:bidi w:val="0"/>
              <w:spacing w:before="0" w:after="140" w:line="312" w:lineRule="exact"/>
              <w:ind w:left="0" w:right="0" w:firstLine="520"/>
              <w:jc w:val="both"/>
              <w:rPr>
                <w:sz w:val="20"/>
                <w:szCs w:val="20"/>
              </w:rPr>
            </w:pPr>
            <w:r>
              <w:rPr>
                <w:color w:val="000000"/>
                <w:spacing w:val="0"/>
                <w:w w:val="100"/>
                <w:position w:val="0"/>
                <w:sz w:val="20"/>
                <w:szCs w:val="20"/>
              </w:rPr>
              <w:t>了解和测试管理层与销售和收款相关的内部控制的设计和运 行有效性；</w:t>
            </w:r>
          </w:p>
          <w:p>
            <w:pPr>
              <w:pStyle w:val="Style2"/>
              <w:keepNext w:val="0"/>
              <w:keepLines w:val="0"/>
              <w:widowControl w:val="0"/>
              <w:numPr>
                <w:ilvl w:val="0"/>
                <w:numId w:val="115"/>
              </w:numPr>
              <w:shd w:val="clear" w:color="auto" w:fill="auto"/>
              <w:bidi w:val="0"/>
              <w:spacing w:before="0" w:after="140" w:line="319" w:lineRule="exact"/>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检查天亿马公司主要的销售合同，识别与收入确认相关的关键 合同条款及履约义务，以评价天亿马公司有关收入确认的政策是否符 合会计准则的要求，并复核相关会计政策是否得到一贯执行；</w:t>
            </w:r>
          </w:p>
          <w:p>
            <w:pPr>
              <w:pStyle w:val="Style2"/>
              <w:keepNext w:val="0"/>
              <w:keepLines w:val="0"/>
              <w:widowControl w:val="0"/>
              <w:numPr>
                <w:ilvl w:val="0"/>
                <w:numId w:val="115"/>
              </w:numPr>
              <w:shd w:val="clear" w:color="auto" w:fill="auto"/>
              <w:bidi w:val="0"/>
              <w:spacing w:before="0" w:after="140" w:line="319" w:lineRule="exact"/>
              <w:ind w:left="0" w:right="0" w:firstLine="520"/>
              <w:jc w:val="both"/>
              <w:rPr>
                <w:sz w:val="20"/>
                <w:szCs w:val="20"/>
              </w:rPr>
            </w:pP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sz w:val="20"/>
                <w:szCs w:val="20"/>
              </w:rPr>
              <w:t>对收入和成本执行分析程序，包括按照项目、客户和服务类别</w:t>
            </w:r>
          </w:p>
        </w:tc>
      </w:tr>
    </w:tbl>
    <w:p>
      <w:pPr>
        <w:widowControl w:val="0"/>
        <w:spacing w:line="1" w:lineRule="exact"/>
      </w:pPr>
    </w:p>
    <w:tbl>
      <w:tblPr>
        <w:tblOverlap w:val="never"/>
        <w:jc w:val="center"/>
        <w:tblLayout w:type="fixed"/>
      </w:tblPr>
      <w:tblGrid>
        <w:gridCol w:w="3437"/>
        <w:gridCol w:w="6442"/>
      </w:tblGrid>
      <w:tr>
        <w:trPr>
          <w:trHeight w:val="499"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关键审计事项</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在审计中如何应对该事项</w:t>
            </w:r>
          </w:p>
        </w:tc>
      </w:tr>
      <w:tr>
        <w:trPr>
          <w:trHeight w:val="517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4" w:lineRule="exact"/>
              <w:ind w:left="140" w:right="0" w:firstLine="0"/>
              <w:jc w:val="both"/>
              <w:rPr>
                <w:sz w:val="20"/>
                <w:szCs w:val="20"/>
              </w:rPr>
            </w:pPr>
            <w:r>
              <w:rPr>
                <w:color w:val="000000"/>
                <w:spacing w:val="0"/>
                <w:w w:val="100"/>
                <w:position w:val="0"/>
                <w:sz w:val="20"/>
                <w:szCs w:val="20"/>
              </w:rPr>
              <w:t>亿马公司的关键业绩指标之一，可 能存在管理层为了达到特定目标而 操纵收入确认的风险，因此我们将 收入确认识别为关键审计事项。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40" w:line="307" w:lineRule="exact"/>
              <w:ind w:left="0" w:right="0" w:firstLine="0"/>
              <w:jc w:val="both"/>
              <w:rPr>
                <w:sz w:val="20"/>
                <w:szCs w:val="20"/>
              </w:rPr>
            </w:pPr>
            <w:r>
              <w:rPr>
                <w:color w:val="000000"/>
                <w:spacing w:val="0"/>
                <w:w w:val="100"/>
                <w:position w:val="0"/>
                <w:sz w:val="20"/>
                <w:szCs w:val="20"/>
              </w:rPr>
              <w:t>对报告期收入、成本、毛利率波动分析，主要客户的产品服务价格对 比分析，评价收入确认的准确性；</w:t>
            </w:r>
          </w:p>
          <w:p>
            <w:pPr>
              <w:pStyle w:val="Style2"/>
              <w:keepNext w:val="0"/>
              <w:keepLines w:val="0"/>
              <w:widowControl w:val="0"/>
              <w:numPr>
                <w:ilvl w:val="0"/>
                <w:numId w:val="117"/>
              </w:numPr>
              <w:shd w:val="clear" w:color="auto" w:fill="auto"/>
              <w:tabs>
                <w:tab w:pos="581" w:val="left"/>
              </w:tabs>
              <w:bidi w:val="0"/>
              <w:spacing w:before="0" w:after="140" w:line="319" w:lineRule="exact"/>
              <w:ind w:left="0" w:right="0" w:firstLine="520"/>
              <w:jc w:val="both"/>
              <w:rPr>
                <w:sz w:val="20"/>
                <w:szCs w:val="20"/>
              </w:rPr>
            </w:pPr>
            <w:r>
              <w:rPr>
                <w:color w:val="000000"/>
                <w:spacing w:val="0"/>
                <w:w w:val="100"/>
                <w:position w:val="0"/>
                <w:sz w:val="20"/>
                <w:szCs w:val="20"/>
              </w:rPr>
              <w:t>就报告期的销售收入，选取样本，检查其销售合同、入账记录 及客户验收记录，以评价收入确认是否与天亿马公司的收入确认政策 相符；</w:t>
            </w:r>
          </w:p>
          <w:p>
            <w:pPr>
              <w:pStyle w:val="Style2"/>
              <w:keepNext w:val="0"/>
              <w:keepLines w:val="0"/>
              <w:widowControl w:val="0"/>
              <w:numPr>
                <w:ilvl w:val="0"/>
                <w:numId w:val="117"/>
              </w:numPr>
              <w:shd w:val="clear" w:color="auto" w:fill="auto"/>
              <w:tabs>
                <w:tab w:pos="566" w:val="left"/>
              </w:tabs>
              <w:bidi w:val="0"/>
              <w:spacing w:before="0" w:after="140" w:line="322" w:lineRule="exact"/>
              <w:ind w:left="0" w:right="0" w:firstLine="520"/>
              <w:jc w:val="both"/>
              <w:rPr>
                <w:sz w:val="20"/>
                <w:szCs w:val="20"/>
              </w:rPr>
            </w:pPr>
            <w:r>
              <w:rPr>
                <w:color w:val="000000"/>
                <w:spacing w:val="0"/>
                <w:w w:val="100"/>
                <w:position w:val="0"/>
                <w:sz w:val="20"/>
                <w:szCs w:val="20"/>
              </w:rPr>
              <w:t>就报告期的销售收入，选取重大客户和新增客户向其发送询证 函，询证销售额以及应收账款余额；</w:t>
            </w:r>
          </w:p>
          <w:p>
            <w:pPr>
              <w:pStyle w:val="Style2"/>
              <w:keepNext w:val="0"/>
              <w:keepLines w:val="0"/>
              <w:widowControl w:val="0"/>
              <w:numPr>
                <w:ilvl w:val="0"/>
                <w:numId w:val="117"/>
              </w:numPr>
              <w:shd w:val="clear" w:color="auto" w:fill="auto"/>
              <w:tabs>
                <w:tab w:pos="576" w:val="left"/>
              </w:tabs>
              <w:bidi w:val="0"/>
              <w:spacing w:before="0" w:after="140" w:line="326" w:lineRule="exact"/>
              <w:ind w:left="0" w:right="0" w:firstLine="520"/>
              <w:jc w:val="both"/>
              <w:rPr>
                <w:sz w:val="20"/>
                <w:szCs w:val="20"/>
              </w:rPr>
            </w:pPr>
            <w:r>
              <w:rPr>
                <w:color w:val="000000"/>
                <w:spacing w:val="0"/>
                <w:w w:val="100"/>
                <w:position w:val="0"/>
                <w:sz w:val="20"/>
                <w:szCs w:val="20"/>
              </w:rPr>
              <w:t>选取客户样本实施现场访谈和网络背景调查程序，核查与客户 交易的真实性和准确性；</w:t>
            </w:r>
          </w:p>
          <w:p>
            <w:pPr>
              <w:pStyle w:val="Style2"/>
              <w:keepNext w:val="0"/>
              <w:keepLines w:val="0"/>
              <w:widowControl w:val="0"/>
              <w:numPr>
                <w:ilvl w:val="0"/>
                <w:numId w:val="117"/>
              </w:numPr>
              <w:shd w:val="clear" w:color="auto" w:fill="auto"/>
              <w:tabs>
                <w:tab w:pos="581" w:val="left"/>
              </w:tabs>
              <w:bidi w:val="0"/>
              <w:spacing w:before="0" w:after="140" w:line="322" w:lineRule="exact"/>
              <w:ind w:left="0" w:right="0" w:firstLine="520"/>
              <w:jc w:val="both"/>
              <w:rPr>
                <w:sz w:val="20"/>
                <w:szCs w:val="20"/>
              </w:rPr>
            </w:pPr>
            <w:r>
              <w:rPr>
                <w:color w:val="000000"/>
                <w:spacing w:val="0"/>
                <w:w w:val="100"/>
                <w:position w:val="0"/>
                <w:sz w:val="20"/>
                <w:szCs w:val="20"/>
              </w:rPr>
              <w:t>就资产负债表日前后确认的收入，选取样本，检查其销售合同、 入账记录及客户验收记录，以评价相关收入是否记录在正确的会计期 间；</w:t>
            </w:r>
          </w:p>
          <w:p>
            <w:pPr>
              <w:pStyle w:val="Style2"/>
              <w:keepNext w:val="0"/>
              <w:keepLines w:val="0"/>
              <w:widowControl w:val="0"/>
              <w:numPr>
                <w:ilvl w:val="0"/>
                <w:numId w:val="117"/>
              </w:numPr>
              <w:shd w:val="clear" w:color="auto" w:fill="auto"/>
              <w:tabs>
                <w:tab w:pos="581" w:val="left"/>
              </w:tabs>
              <w:bidi w:val="0"/>
              <w:spacing w:before="0" w:after="140" w:line="322" w:lineRule="exact"/>
              <w:ind w:left="0" w:right="0" w:firstLine="520"/>
              <w:jc w:val="both"/>
              <w:rPr>
                <w:sz w:val="20"/>
                <w:szCs w:val="20"/>
              </w:rPr>
            </w:pPr>
            <w:r>
              <w:rPr>
                <w:color w:val="000000"/>
                <w:spacing w:val="0"/>
                <w:w w:val="100"/>
                <w:position w:val="0"/>
                <w:sz w:val="20"/>
                <w:szCs w:val="20"/>
              </w:rPr>
              <w:t>检查在财务报表中有关收入确认的披露是否符合企业会计准 则的要求。</w:t>
            </w:r>
          </w:p>
        </w:tc>
      </w:tr>
    </w:tbl>
    <w:p>
      <w:pPr>
        <w:pStyle w:val="Style14"/>
        <w:keepNext w:val="0"/>
        <w:keepLines w:val="0"/>
        <w:widowControl w:val="0"/>
        <w:shd w:val="clear" w:color="auto" w:fill="auto"/>
        <w:bidi w:val="0"/>
        <w:spacing w:before="0" w:after="0" w:line="240" w:lineRule="auto"/>
        <w:ind w:left="538" w:right="0" w:firstLine="0"/>
        <w:jc w:val="left"/>
        <w:rPr>
          <w:sz w:val="20"/>
          <w:szCs w:val="20"/>
        </w:rPr>
      </w:pPr>
      <w:r>
        <w:rPr>
          <w:b/>
          <w:bCs/>
          <w:color w:val="000000"/>
          <w:spacing w:val="0"/>
          <w:w w:val="100"/>
          <w:position w:val="0"/>
          <w:sz w:val="20"/>
          <w:szCs w:val="20"/>
        </w:rPr>
        <w:t>四、其他信息</w:t>
      </w:r>
    </w:p>
    <w:p>
      <w:pPr>
        <w:widowControl w:val="0"/>
        <w:spacing w:after="139" w:line="1" w:lineRule="exact"/>
      </w:pPr>
    </w:p>
    <w:p>
      <w:pPr>
        <w:pStyle w:val="Style31"/>
        <w:keepNext w:val="0"/>
        <w:keepLines w:val="0"/>
        <w:widowControl w:val="0"/>
        <w:shd w:val="clear" w:color="auto" w:fill="auto"/>
        <w:bidi w:val="0"/>
        <w:spacing w:before="0" w:line="312" w:lineRule="exact"/>
        <w:ind w:left="0" w:right="0" w:firstLine="540"/>
        <w:jc w:val="both"/>
      </w:pPr>
      <w:r>
        <w:rPr>
          <w:color w:val="000000"/>
          <w:spacing w:val="0"/>
          <w:w w:val="100"/>
          <w:position w:val="0"/>
        </w:rPr>
        <w:t>天亿马公司管理层对其他信息负责。其他信息包括天亿马公司</w:t>
      </w:r>
      <w:r>
        <w:rPr>
          <w:rFonts w:ascii="Times New Roman" w:eastAsia="Times New Roman" w:hAnsi="Times New Roman" w:cs="Times New Roman"/>
          <w:color w:val="000000"/>
          <w:spacing w:val="0"/>
          <w:w w:val="100"/>
          <w:position w:val="0"/>
        </w:rPr>
        <w:t>2021</w:t>
      </w:r>
      <w:r>
        <w:rPr>
          <w:color w:val="000000"/>
          <w:spacing w:val="0"/>
          <w:w w:val="100"/>
          <w:position w:val="0"/>
        </w:rPr>
        <w:t>年年度报告中涵盖的信息，但不包 括财务报表和我们的审计报告。</w:t>
      </w:r>
    </w:p>
    <w:p>
      <w:pPr>
        <w:pStyle w:val="Style31"/>
        <w:keepNext w:val="0"/>
        <w:keepLines w:val="0"/>
        <w:widowControl w:val="0"/>
        <w:shd w:val="clear" w:color="auto" w:fill="auto"/>
        <w:bidi w:val="0"/>
        <w:spacing w:before="0" w:line="312" w:lineRule="exact"/>
        <w:ind w:left="0" w:right="0" w:firstLine="540"/>
        <w:jc w:val="both"/>
      </w:pPr>
      <w:r>
        <w:rPr>
          <w:color w:val="000000"/>
          <w:spacing w:val="0"/>
          <w:w w:val="100"/>
          <w:position w:val="0"/>
        </w:rPr>
        <w:t>我们对财务报表发表的审计意见不涵盖其他信息，我们也不对其他信息发表任何形式的鉴证结论。</w:t>
      </w:r>
    </w:p>
    <w:p>
      <w:pPr>
        <w:pStyle w:val="Style31"/>
        <w:keepNext w:val="0"/>
        <w:keepLines w:val="0"/>
        <w:widowControl w:val="0"/>
        <w:shd w:val="clear" w:color="auto" w:fill="auto"/>
        <w:bidi w:val="0"/>
        <w:spacing w:before="0" w:line="317" w:lineRule="exact"/>
        <w:ind w:left="0" w:right="0" w:firstLine="540"/>
        <w:jc w:val="both"/>
      </w:pPr>
      <w:r>
        <w:rPr>
          <w:color w:val="000000"/>
          <w:spacing w:val="0"/>
          <w:w w:val="100"/>
          <w:position w:val="0"/>
        </w:rPr>
        <w:t>结合我们对财务报表的审计，我们的责任是阅读其他信息，在此过程中，考虑其他信息是否与财务报 表或我们在审计过程中了解到的情况存在重大不一致或者似乎存在重大错报。</w:t>
      </w:r>
    </w:p>
    <w:p>
      <w:pPr>
        <w:pStyle w:val="Style31"/>
        <w:keepNext w:val="0"/>
        <w:keepLines w:val="0"/>
        <w:widowControl w:val="0"/>
        <w:shd w:val="clear" w:color="auto" w:fill="auto"/>
        <w:bidi w:val="0"/>
        <w:spacing w:before="0" w:line="317" w:lineRule="exact"/>
        <w:ind w:left="0" w:right="0" w:firstLine="54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31"/>
        <w:keepNext w:val="0"/>
        <w:keepLines w:val="0"/>
        <w:widowControl w:val="0"/>
        <w:shd w:val="clear" w:color="auto" w:fill="auto"/>
        <w:tabs>
          <w:tab w:pos="1018" w:val="left"/>
        </w:tabs>
        <w:bidi w:val="0"/>
        <w:spacing w:before="0" w:line="312" w:lineRule="exact"/>
        <w:ind w:left="0" w:right="0" w:firstLine="540"/>
        <w:jc w:val="both"/>
      </w:pPr>
      <w:bookmarkStart w:id="677" w:name="bookmark677"/>
      <w:r>
        <w:rPr>
          <w:b/>
          <w:bCs/>
          <w:color w:val="000000"/>
          <w:spacing w:val="0"/>
          <w:w w:val="100"/>
          <w:position w:val="0"/>
        </w:rPr>
        <w:t>五</w:t>
      </w:r>
      <w:bookmarkEnd w:id="677"/>
      <w:r>
        <w:rPr>
          <w:b/>
          <w:bCs/>
          <w:color w:val="000000"/>
          <w:spacing w:val="0"/>
          <w:w w:val="100"/>
          <w:position w:val="0"/>
        </w:rPr>
        <w:t>、</w:t>
        <w:tab/>
        <w:t>管理层和治理层对财务报表的责任</w:t>
      </w:r>
    </w:p>
    <w:p>
      <w:pPr>
        <w:pStyle w:val="Style31"/>
        <w:keepNext w:val="0"/>
        <w:keepLines w:val="0"/>
        <w:widowControl w:val="0"/>
        <w:shd w:val="clear" w:color="auto" w:fill="auto"/>
        <w:bidi w:val="0"/>
        <w:spacing w:before="0" w:line="317" w:lineRule="exact"/>
        <w:ind w:left="0" w:right="0" w:firstLine="540"/>
        <w:jc w:val="both"/>
      </w:pPr>
      <w:r>
        <w:rPr>
          <w:color w:val="000000"/>
          <w:spacing w:val="0"/>
          <w:w w:val="100"/>
          <w:position w:val="0"/>
        </w:rPr>
        <w:t>天亿马公司管理层（以下简称</w:t>
      </w:r>
      <w:r>
        <w:rPr>
          <w:rFonts w:ascii="Times New Roman" w:eastAsia="Times New Roman" w:hAnsi="Times New Roman" w:cs="Times New Roman"/>
          <w:color w:val="000000"/>
          <w:spacing w:val="0"/>
          <w:w w:val="100"/>
          <w:position w:val="0"/>
        </w:rPr>
        <w:t>“</w:t>
      </w:r>
      <w:r>
        <w:rPr>
          <w:color w:val="000000"/>
          <w:spacing w:val="0"/>
          <w:w w:val="100"/>
          <w:position w:val="0"/>
        </w:rPr>
        <w:t>管理层</w:t>
      </w:r>
      <w:r>
        <w:rPr>
          <w:rFonts w:ascii="Times New Roman" w:eastAsia="Times New Roman" w:hAnsi="Times New Roman" w:cs="Times New Roman"/>
          <w:color w:val="000000"/>
          <w:spacing w:val="0"/>
          <w:w w:val="100"/>
          <w:position w:val="0"/>
        </w:rPr>
        <w:t>”</w:t>
      </w:r>
      <w:r>
        <w:rPr>
          <w:color w:val="000000"/>
          <w:spacing w:val="0"/>
          <w:w w:val="100"/>
          <w:position w:val="0"/>
        </w:rPr>
        <w:t>）负责按照企业会计准则的规定编制财务报表，使其实现公允 反映，并设计、执行和维护必要的内部控制，以使财务报表不存在由于舞弊或错误导致的重大错报。</w:t>
      </w:r>
    </w:p>
    <w:p>
      <w:pPr>
        <w:pStyle w:val="Style31"/>
        <w:keepNext w:val="0"/>
        <w:keepLines w:val="0"/>
        <w:widowControl w:val="0"/>
        <w:shd w:val="clear" w:color="auto" w:fill="auto"/>
        <w:bidi w:val="0"/>
        <w:spacing w:before="0" w:line="307" w:lineRule="exact"/>
        <w:ind w:left="0" w:right="0" w:firstLine="540"/>
        <w:jc w:val="both"/>
      </w:pPr>
      <w:r>
        <w:rPr>
          <w:color w:val="000000"/>
          <w:spacing w:val="0"/>
          <w:w w:val="100"/>
          <w:position w:val="0"/>
        </w:rPr>
        <w:t>在编制财务报表时，管理层负责评估天亿马公司的持续经营能力，披露与持续经营相关的事项（如适 用），并运用持续经营假设，除非管理层计划清算天亿马公司、终止运营或别无其他现实的选择。</w:t>
      </w:r>
    </w:p>
    <w:p>
      <w:pPr>
        <w:pStyle w:val="Style31"/>
        <w:keepNext w:val="0"/>
        <w:keepLines w:val="0"/>
        <w:widowControl w:val="0"/>
        <w:shd w:val="clear" w:color="auto" w:fill="auto"/>
        <w:bidi w:val="0"/>
        <w:spacing w:before="0" w:line="312" w:lineRule="exact"/>
        <w:ind w:left="0" w:right="0" w:firstLine="540"/>
        <w:jc w:val="both"/>
      </w:pPr>
      <w:r>
        <w:rPr>
          <w:color w:val="000000"/>
          <w:spacing w:val="0"/>
          <w:w w:val="100"/>
          <w:position w:val="0"/>
        </w:rPr>
        <w:t>治理层负责监督天亿马公司的财务报告过程。</w:t>
      </w:r>
    </w:p>
    <w:p>
      <w:pPr>
        <w:pStyle w:val="Style31"/>
        <w:keepNext w:val="0"/>
        <w:keepLines w:val="0"/>
        <w:widowControl w:val="0"/>
        <w:shd w:val="clear" w:color="auto" w:fill="auto"/>
        <w:tabs>
          <w:tab w:pos="1018" w:val="left"/>
        </w:tabs>
        <w:bidi w:val="0"/>
        <w:spacing w:before="0" w:line="312" w:lineRule="exact"/>
        <w:ind w:left="0" w:right="0" w:firstLine="540"/>
        <w:jc w:val="both"/>
      </w:pPr>
      <w:bookmarkStart w:id="678" w:name="bookmark678"/>
      <w:r>
        <w:rPr>
          <w:b/>
          <w:bCs/>
          <w:color w:val="000000"/>
          <w:spacing w:val="0"/>
          <w:w w:val="100"/>
          <w:position w:val="0"/>
        </w:rPr>
        <w:t>六</w:t>
      </w:r>
      <w:bookmarkEnd w:id="678"/>
      <w:r>
        <w:rPr>
          <w:b/>
          <w:bCs/>
          <w:color w:val="000000"/>
          <w:spacing w:val="0"/>
          <w:w w:val="100"/>
          <w:position w:val="0"/>
        </w:rPr>
        <w:t>、</w:t>
        <w:tab/>
        <w:t>注册会计师对财务报表审计的责任</w:t>
      </w:r>
    </w:p>
    <w:p>
      <w:pPr>
        <w:pStyle w:val="Style31"/>
        <w:keepNext w:val="0"/>
        <w:keepLines w:val="0"/>
        <w:widowControl w:val="0"/>
        <w:shd w:val="clear" w:color="auto" w:fill="auto"/>
        <w:bidi w:val="0"/>
        <w:spacing w:before="0" w:line="310" w:lineRule="exact"/>
        <w:ind w:left="0" w:right="0" w:firstLine="5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31"/>
        <w:keepNext w:val="0"/>
        <w:keepLines w:val="0"/>
        <w:widowControl w:val="0"/>
        <w:shd w:val="clear" w:color="auto" w:fill="auto"/>
        <w:bidi w:val="0"/>
        <w:spacing w:before="0" w:line="312" w:lineRule="exact"/>
        <w:ind w:left="0" w:right="0" w:firstLine="540"/>
        <w:jc w:val="both"/>
      </w:pPr>
      <w:r>
        <w:rPr>
          <w:color w:val="000000"/>
          <w:spacing w:val="0"/>
          <w:w w:val="100"/>
          <w:position w:val="0"/>
        </w:rPr>
        <w:t xml:space="preserve">在按照审计准则执行审计工作的过程中，我们运用职业判断，并保持职业怀疑。同时，我们也执行以 </w:t>
      </w:r>
      <w:r>
        <w:rPr>
          <w:color w:val="000000"/>
          <w:spacing w:val="0"/>
          <w:w w:val="100"/>
          <w:position w:val="0"/>
        </w:rPr>
        <w:t>下工作：</w:t>
      </w:r>
    </w:p>
    <w:p>
      <w:pPr>
        <w:pStyle w:val="Style31"/>
        <w:keepNext w:val="0"/>
        <w:keepLines w:val="0"/>
        <w:widowControl w:val="0"/>
        <w:shd w:val="clear" w:color="auto" w:fill="auto"/>
        <w:tabs>
          <w:tab w:pos="1126" w:val="left"/>
        </w:tabs>
        <w:bidi w:val="0"/>
        <w:spacing w:before="0" w:line="309" w:lineRule="exact"/>
        <w:ind w:left="0" w:right="0" w:firstLine="440"/>
        <w:jc w:val="both"/>
      </w:pPr>
      <w:bookmarkStart w:id="679" w:name="bookmark679"/>
      <w:r>
        <w:rPr>
          <w:color w:val="000000"/>
          <w:spacing w:val="0"/>
          <w:w w:val="100"/>
          <w:position w:val="0"/>
        </w:rPr>
        <w:t>（</w:t>
      </w:r>
      <w:bookmarkEnd w:id="679"/>
      <w:r>
        <w:rPr>
          <w:color w:val="000000"/>
          <w:spacing w:val="0"/>
          <w:w w:val="100"/>
          <w:position w:val="0"/>
        </w:rPr>
        <w:t>一）</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31"/>
        <w:keepNext w:val="0"/>
        <w:keepLines w:val="0"/>
        <w:widowControl w:val="0"/>
        <w:shd w:val="clear" w:color="auto" w:fill="auto"/>
        <w:tabs>
          <w:tab w:pos="1034" w:val="left"/>
        </w:tabs>
        <w:bidi w:val="0"/>
        <w:spacing w:before="0" w:after="180" w:line="313" w:lineRule="exact"/>
        <w:ind w:left="0" w:right="0" w:firstLine="440"/>
        <w:jc w:val="both"/>
      </w:pPr>
      <w:bookmarkStart w:id="680" w:name="bookmark680"/>
      <w:r>
        <w:rPr>
          <w:color w:val="000000"/>
          <w:spacing w:val="0"/>
          <w:w w:val="100"/>
          <w:position w:val="0"/>
        </w:rPr>
        <w:t>（</w:t>
      </w:r>
      <w:bookmarkEnd w:id="680"/>
      <w:r>
        <w:rPr>
          <w:color w:val="000000"/>
          <w:spacing w:val="0"/>
          <w:w w:val="100"/>
          <w:position w:val="0"/>
        </w:rPr>
        <w:t>二）</w:t>
        <w:tab/>
        <w:t>了解与审计相关的内部控制，以设计恰当的审计程序。</w:t>
      </w:r>
    </w:p>
    <w:p>
      <w:pPr>
        <w:pStyle w:val="Style31"/>
        <w:keepNext w:val="0"/>
        <w:keepLines w:val="0"/>
        <w:widowControl w:val="0"/>
        <w:shd w:val="clear" w:color="auto" w:fill="auto"/>
        <w:tabs>
          <w:tab w:pos="1034" w:val="left"/>
        </w:tabs>
        <w:bidi w:val="0"/>
        <w:spacing w:before="0" w:line="313" w:lineRule="exact"/>
        <w:ind w:left="0" w:right="0" w:firstLine="440"/>
        <w:jc w:val="both"/>
      </w:pPr>
      <w:bookmarkStart w:id="681" w:name="bookmark681"/>
      <w:r>
        <w:rPr>
          <w:color w:val="000000"/>
          <w:spacing w:val="0"/>
          <w:w w:val="100"/>
          <w:position w:val="0"/>
        </w:rPr>
        <w:t>（</w:t>
      </w:r>
      <w:bookmarkEnd w:id="681"/>
      <w:r>
        <w:rPr>
          <w:color w:val="000000"/>
          <w:spacing w:val="0"/>
          <w:w w:val="100"/>
          <w:position w:val="0"/>
        </w:rPr>
        <w:t>三）</w:t>
        <w:tab/>
        <w:t>评价管理层选用会计政策的恰当性和作出会计估计及相关披露的合理性。</w:t>
      </w:r>
    </w:p>
    <w:p>
      <w:pPr>
        <w:pStyle w:val="Style31"/>
        <w:keepNext w:val="0"/>
        <w:keepLines w:val="0"/>
        <w:widowControl w:val="0"/>
        <w:shd w:val="clear" w:color="auto" w:fill="auto"/>
        <w:tabs>
          <w:tab w:pos="1126" w:val="left"/>
        </w:tabs>
        <w:bidi w:val="0"/>
        <w:spacing w:before="0" w:line="314" w:lineRule="exact"/>
        <w:ind w:left="0" w:right="0" w:firstLine="440"/>
        <w:jc w:val="both"/>
      </w:pPr>
      <w:bookmarkStart w:id="682" w:name="bookmark682"/>
      <w:r>
        <w:rPr>
          <w:color w:val="000000"/>
          <w:spacing w:val="0"/>
          <w:w w:val="100"/>
          <w:position w:val="0"/>
        </w:rPr>
        <w:t>（</w:t>
      </w:r>
      <w:bookmarkEnd w:id="682"/>
      <w:r>
        <w:rPr>
          <w:color w:val="000000"/>
          <w:spacing w:val="0"/>
          <w:w w:val="100"/>
          <w:position w:val="0"/>
        </w:rPr>
        <w:t>四）</w:t>
        <w:tab/>
        <w:t>对管理层使用持续经营假设的恰当性得出结论。同时，根据获取的审计证据，就可能导致对天 亿马公司持续经营能力产生重大疑虑的事项或情况是否存在重大不确定性得出结论。如果我们得出结论认 为存在重大不确定性，审计准则要求我们在审计报告中提请报表使用者注意财务报表中的相关披露；如果 披露不充分，我们应当发表非无保留意见。我们的结论基于截至审计报告日可获得的信息。然而，未来的 事项或情况可能导致天亿马公司不能持续经营。</w:t>
      </w:r>
    </w:p>
    <w:p>
      <w:pPr>
        <w:pStyle w:val="Style31"/>
        <w:keepNext w:val="0"/>
        <w:keepLines w:val="0"/>
        <w:widowControl w:val="0"/>
        <w:shd w:val="clear" w:color="auto" w:fill="auto"/>
        <w:tabs>
          <w:tab w:pos="1034" w:val="left"/>
        </w:tabs>
        <w:bidi w:val="0"/>
        <w:spacing w:before="0" w:line="313" w:lineRule="exact"/>
        <w:ind w:left="0" w:right="0" w:firstLine="440"/>
        <w:jc w:val="both"/>
      </w:pPr>
      <w:bookmarkStart w:id="683" w:name="bookmark683"/>
      <w:r>
        <w:rPr>
          <w:color w:val="000000"/>
          <w:spacing w:val="0"/>
          <w:w w:val="100"/>
          <w:position w:val="0"/>
        </w:rPr>
        <w:t>（</w:t>
      </w:r>
      <w:bookmarkEnd w:id="683"/>
      <w:r>
        <w:rPr>
          <w:color w:val="000000"/>
          <w:spacing w:val="0"/>
          <w:w w:val="100"/>
          <w:position w:val="0"/>
        </w:rPr>
        <w:t>五）</w:t>
        <w:tab/>
        <w:t>评价财务报表的总体列报、结构和内容，并评价财务报表是否公允反映相关交易和事项。</w:t>
      </w:r>
    </w:p>
    <w:p>
      <w:pPr>
        <w:pStyle w:val="Style31"/>
        <w:keepNext w:val="0"/>
        <w:keepLines w:val="0"/>
        <w:widowControl w:val="0"/>
        <w:shd w:val="clear" w:color="auto" w:fill="auto"/>
        <w:tabs>
          <w:tab w:pos="1122" w:val="left"/>
        </w:tabs>
        <w:bidi w:val="0"/>
        <w:spacing w:before="0" w:line="312" w:lineRule="exact"/>
        <w:ind w:left="0" w:right="0" w:firstLine="440"/>
        <w:jc w:val="both"/>
      </w:pPr>
      <w:bookmarkStart w:id="684" w:name="bookmark684"/>
      <w:r>
        <w:rPr>
          <w:color w:val="000000"/>
          <w:spacing w:val="0"/>
          <w:w w:val="100"/>
          <w:position w:val="0"/>
        </w:rPr>
        <w:t>（</w:t>
      </w:r>
      <w:bookmarkEnd w:id="684"/>
      <w:r>
        <w:rPr>
          <w:color w:val="000000"/>
          <w:spacing w:val="0"/>
          <w:w w:val="100"/>
          <w:position w:val="0"/>
        </w:rPr>
        <w:t>六）</w:t>
        <w:tab/>
        <w:t>就天亿马公司中实体或业务活动的财务信息获取充分、适当的审计证据，以对财务报表发表意 见。我们负责指导、监督和执行集团审计。我们对审计意见承担全部责任。</w:t>
      </w:r>
    </w:p>
    <w:p>
      <w:pPr>
        <w:pStyle w:val="Style31"/>
        <w:keepNext w:val="0"/>
        <w:keepLines w:val="0"/>
        <w:widowControl w:val="0"/>
        <w:shd w:val="clear" w:color="auto" w:fill="auto"/>
        <w:bidi w:val="0"/>
        <w:spacing w:before="0" w:line="317"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31"/>
        <w:keepNext w:val="0"/>
        <w:keepLines w:val="0"/>
        <w:widowControl w:val="0"/>
        <w:shd w:val="clear" w:color="auto" w:fill="auto"/>
        <w:bidi w:val="0"/>
        <w:spacing w:before="0" w:line="317" w:lineRule="exact"/>
        <w:ind w:left="0" w:right="0" w:firstLine="4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31"/>
        <w:keepNext w:val="0"/>
        <w:keepLines w:val="0"/>
        <w:widowControl w:val="0"/>
        <w:shd w:val="clear" w:color="auto" w:fill="auto"/>
        <w:bidi w:val="0"/>
        <w:spacing w:before="0" w:after="860" w:line="310" w:lineRule="exact"/>
        <w:ind w:left="0" w:right="0" w:firstLine="4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31"/>
        <w:keepNext w:val="0"/>
        <w:keepLines w:val="0"/>
        <w:widowControl w:val="0"/>
        <w:shd w:val="clear" w:color="auto" w:fill="auto"/>
        <w:tabs>
          <w:tab w:pos="4800" w:val="left"/>
        </w:tabs>
        <w:bidi w:val="0"/>
        <w:spacing w:before="0" w:after="220" w:line="240" w:lineRule="auto"/>
        <w:ind w:left="0" w:right="0" w:firstLine="0"/>
        <w:jc w:val="left"/>
      </w:pPr>
      <w:r>
        <w:rPr>
          <w:color w:val="000000"/>
          <w:spacing w:val="0"/>
          <w:w w:val="100"/>
          <w:position w:val="0"/>
        </w:rPr>
        <w:t>中审众环会计师事务所（特殊普通合伙）</w:t>
        <w:tab/>
        <w:t>中国注册会计师：</w:t>
      </w:r>
    </w:p>
    <w:p>
      <w:pPr>
        <w:pStyle w:val="Style31"/>
        <w:keepNext w:val="0"/>
        <w:keepLines w:val="0"/>
        <w:widowControl w:val="0"/>
        <w:shd w:val="clear" w:color="auto" w:fill="auto"/>
        <w:tabs>
          <w:tab w:leader="underscore" w:pos="3734" w:val="left"/>
        </w:tabs>
        <w:bidi w:val="0"/>
        <w:spacing w:before="0" w:after="220" w:line="240" w:lineRule="auto"/>
        <w:ind w:left="0" w:right="1060" w:firstLine="0"/>
        <w:jc w:val="right"/>
      </w:pPr>
      <w:r>
        <w:rPr>
          <w:color w:val="000000"/>
          <w:spacing w:val="0"/>
          <w:w w:val="100"/>
          <w:position w:val="0"/>
        </w:rPr>
        <w:t>（项目合伙人）:</w:t>
        <w:tab/>
      </w:r>
    </w:p>
    <w:p>
      <w:pPr>
        <w:pStyle w:val="Style31"/>
        <w:keepNext w:val="0"/>
        <w:keepLines w:val="0"/>
        <w:widowControl w:val="0"/>
        <w:shd w:val="clear" w:color="auto" w:fill="auto"/>
        <w:bidi w:val="0"/>
        <w:spacing w:before="0" w:after="1640" w:line="240" w:lineRule="auto"/>
        <w:ind w:left="0" w:right="1060" w:firstLine="0"/>
        <w:jc w:val="right"/>
      </w:pPr>
      <w:r>
        <w:rPr>
          <w:color w:val="000000"/>
          <w:spacing w:val="0"/>
          <w:w w:val="100"/>
          <w:position w:val="0"/>
        </w:rPr>
        <w:t>巩启春</w:t>
      </w:r>
    </w:p>
    <w:p>
      <w:pPr>
        <w:pStyle w:val="Style31"/>
        <w:keepNext w:val="0"/>
        <w:keepLines w:val="0"/>
        <w:widowControl w:val="0"/>
        <w:shd w:val="clear" w:color="auto" w:fill="auto"/>
        <w:tabs>
          <w:tab w:leader="underscore" w:pos="3734" w:val="left"/>
        </w:tabs>
        <w:bidi w:val="0"/>
        <w:spacing w:before="0" w:after="220" w:line="240" w:lineRule="auto"/>
        <w:ind w:left="0" w:right="1060" w:firstLine="0"/>
        <w:jc w:val="right"/>
      </w:pPr>
      <w:r>
        <w:rPr>
          <w:color w:val="000000"/>
          <w:spacing w:val="0"/>
          <w:w w:val="100"/>
          <w:position w:val="0"/>
        </w:rPr>
        <w:t>中国注册会计师：</w:t>
        <w:tab/>
      </w:r>
    </w:p>
    <w:p>
      <w:pPr>
        <w:pStyle w:val="Style31"/>
        <w:keepNext w:val="0"/>
        <w:keepLines w:val="0"/>
        <w:widowControl w:val="0"/>
        <w:shd w:val="clear" w:color="auto" w:fill="auto"/>
        <w:bidi w:val="0"/>
        <w:spacing w:before="0" w:after="360" w:line="240" w:lineRule="auto"/>
        <w:ind w:left="0" w:right="1760" w:firstLine="0"/>
        <w:jc w:val="right"/>
      </w:pPr>
      <w:r>
        <w:rPr>
          <w:color w:val="000000"/>
          <w:spacing w:val="0"/>
          <w:w w:val="100"/>
          <w:position w:val="0"/>
        </w:rPr>
        <w:t>刘麟放</w:t>
      </w:r>
    </w:p>
    <w:p>
      <w:pPr>
        <w:pStyle w:val="Style31"/>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 xml:space="preserve">武汉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r>
        <w:br w:type="page"/>
      </w:r>
    </w:p>
    <w:p>
      <w:pPr>
        <w:pStyle w:val="Style25"/>
        <w:keepNext/>
        <w:keepLines/>
        <w:widowControl w:val="0"/>
        <w:shd w:val="clear" w:color="auto" w:fill="auto"/>
        <w:bidi w:val="0"/>
        <w:spacing w:before="0" w:after="360" w:line="240" w:lineRule="auto"/>
        <w:ind w:left="0" w:right="0" w:firstLine="0"/>
        <w:jc w:val="left"/>
      </w:pPr>
      <w:bookmarkStart w:id="685" w:name="bookmark685"/>
      <w:bookmarkStart w:id="686" w:name="bookmark686"/>
      <w:bookmarkStart w:id="687" w:name="bookmark687"/>
      <w:r>
        <w:rPr>
          <w:color w:val="000000"/>
          <w:spacing w:val="0"/>
          <w:w w:val="100"/>
          <w:position w:val="0"/>
        </w:rPr>
        <w:t>二、财务报表</w:t>
      </w:r>
      <w:bookmarkEnd w:id="685"/>
      <w:bookmarkEnd w:id="686"/>
      <w:bookmarkEnd w:id="687"/>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28"/>
        <w:keepNext/>
        <w:keepLines/>
        <w:widowControl w:val="0"/>
        <w:shd w:val="clear" w:color="auto" w:fill="auto"/>
        <w:bidi w:val="0"/>
        <w:spacing w:before="0" w:line="240" w:lineRule="auto"/>
        <w:ind w:left="0" w:right="0" w:firstLine="0"/>
        <w:jc w:val="left"/>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1</w:t>
      </w:r>
      <w:bookmarkEnd w:id="690"/>
      <w:r>
        <w:rPr>
          <w:color w:val="000000"/>
          <w:spacing w:val="0"/>
          <w:w w:val="100"/>
          <w:position w:val="0"/>
        </w:rPr>
        <w:t>、合并资产负债表</w:t>
      </w:r>
      <w:bookmarkEnd w:id="688"/>
      <w:bookmarkEnd w:id="689"/>
      <w:bookmarkEnd w:id="691"/>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编制单位：广东天亿马信息产业股份有限公司</w:t>
      </w:r>
    </w:p>
    <w:p>
      <w:pPr>
        <w:pStyle w:val="Style2"/>
        <w:keepNext w:val="0"/>
        <w:keepLines w:val="0"/>
        <w:widowControl w:val="0"/>
        <w:shd w:val="clear" w:color="auto" w:fill="auto"/>
        <w:bidi w:val="0"/>
        <w:spacing w:before="0" w:after="10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10"/>
        <w:gridCol w:w="3346"/>
        <w:gridCol w:w="335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653,298,458.22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182,800,994.31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104,433.50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180,394,347.22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113,560,403.23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11,887,680.52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7,330,925.89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5,518,088.23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3,715,334.47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55,241,050.24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26,093,371.17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4,488,989.79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2,680,711.05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42,518,597.61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30,368,708.86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4,688,216.34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1,522,674.27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958,139,861.67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368,073,123.25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10"/>
        <w:gridCol w:w="3346"/>
        <w:gridCol w:w="335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10,443,677.39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44,590,756.39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4,350,443.05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4,998,622.83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9,638,074.38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3,272,027.64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4,445,196.48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2,682,094.38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2,682,094.38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1,701,809.00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2,692,776.87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11,469,452.41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11,370,723.05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both"/>
              <w:rPr>
                <w:sz w:val="18"/>
                <w:szCs w:val="18"/>
              </w:rPr>
            </w:pPr>
            <w:r>
              <w:rPr>
                <w:rFonts w:ascii="Times New Roman" w:eastAsia="Times New Roman" w:hAnsi="Times New Roman" w:cs="Times New Roman"/>
                <w:color w:val="000000"/>
                <w:spacing w:val="0"/>
                <w:w w:val="100"/>
                <w:position w:val="0"/>
                <w:sz w:val="18"/>
                <w:szCs w:val="18"/>
              </w:rPr>
              <w:t>1,516,279.75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2,329,485.85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50,073,858.00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78,109,655.85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1,008,213,719.67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446,182,779.10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5,012,423.61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4,617,986.00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77,376,100.56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73,157,771.48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39,500,983.26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56,257,516.59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10"/>
        <w:gridCol w:w="3346"/>
        <w:gridCol w:w="335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9,505,437.53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7,547,925.73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34,523,646.04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33,856,320.95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10,502,561.38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1,790,885.99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4,001,998.65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175,900,310.42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182,240,830.35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5,538,384.39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60" w:right="0" w:firstLine="0"/>
              <w:jc w:val="left"/>
              <w:rPr>
                <w:sz w:val="18"/>
                <w:szCs w:val="18"/>
              </w:rPr>
            </w:pPr>
            <w:r>
              <w:rPr>
                <w:rFonts w:ascii="Times New Roman" w:eastAsia="Times New Roman" w:hAnsi="Times New Roman" w:cs="Times New Roman"/>
                <w:color w:val="000000"/>
                <w:spacing w:val="0"/>
                <w:w w:val="100"/>
                <w:position w:val="0"/>
                <w:sz w:val="18"/>
                <w:szCs w:val="18"/>
              </w:rPr>
              <w:t>8,300,190.68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11,257,192.16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13,838,575.07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11,257,192.16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rPr>
                <w:sz w:val="18"/>
                <w:szCs w:val="18"/>
              </w:rPr>
            </w:pPr>
            <w:r>
              <w:rPr>
                <w:rFonts w:ascii="Times New Roman" w:eastAsia="Times New Roman" w:hAnsi="Times New Roman" w:cs="Times New Roman"/>
                <w:color w:val="000000"/>
                <w:spacing w:val="0"/>
                <w:w w:val="100"/>
                <w:position w:val="0"/>
                <w:sz w:val="18"/>
                <w:szCs w:val="18"/>
              </w:rPr>
              <w:t>189,738,885.49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193,498,022.51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47,112,000.00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35,334,000.00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591,064,516.72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92,581,864.72</w:t>
            </w:r>
          </w:p>
        </w:tc>
      </w:tr>
    </w:tbl>
    <w:p>
      <w:pPr>
        <w:widowControl w:val="0"/>
        <w:spacing w:line="1" w:lineRule="exact"/>
      </w:pPr>
      <w:r>
        <w:br w:type="page"/>
      </w:r>
    </w:p>
    <w:tbl>
      <w:tblPr>
        <w:tblOverlap w:val="never"/>
        <w:jc w:val="center"/>
        <w:tblLayout w:type="fixed"/>
      </w:tblPr>
      <w:tblGrid>
        <w:gridCol w:w="3010"/>
        <w:gridCol w:w="3346"/>
        <w:gridCol w:w="335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93,554.76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193,106.21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22,772,729.30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17,660,232.88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157,747,788.25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107,203,208.28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818,790,589.03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252,972,412.09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-315,754.85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-287,655.50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818,474,834.18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252,684,756.59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1,008,213,719.67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446,182,779.10</w:t>
            </w:r>
          </w:p>
        </w:tc>
      </w:tr>
    </w:tbl>
    <w:p>
      <w:pPr>
        <w:pStyle w:val="Style28"/>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78" behindDoc="0" locked="0" layoutInCell="1" allowOverlap="1">
                <wp:simplePos x="0" y="0"/>
                <wp:positionH relativeFrom="page">
                  <wp:posOffset>700405</wp:posOffset>
                </wp:positionH>
                <wp:positionV relativeFrom="margin">
                  <wp:posOffset>3054350</wp:posOffset>
                </wp:positionV>
                <wp:extent cx="1057910" cy="149225"/>
                <wp:wrapTopAndBottom/>
                <wp:docPr id="1" name="Shape 1"/>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法定代表人：林明玲</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5.149999999999999pt;margin-top:240.5pt;width:83.299999999999997pt;height:11.75pt;z-index:-125829375;mso-wrap-distance-left:9.pt;mso-wrap-distance-top:12.pt;mso-wrap-distance-right:40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法定代表人：林明玲</w:t>
                      </w:r>
                    </w:p>
                  </w:txbxContent>
                </v:textbox>
                <w10:wrap type="topAndBottom" anchorx="page" anchory="margin"/>
              </v:shape>
            </w:pict>
          </mc:Fallback>
        </mc:AlternateContent>
      </w:r>
      <w:r>
        <mc:AlternateContent>
          <mc:Choice Requires="wps">
            <w:drawing>
              <wp:anchor distT="152400" distB="3175" distL="2290445" distR="2516505" simplePos="0" relativeHeight="125829380" behindDoc="0" locked="0" layoutInCell="1" allowOverlap="1">
                <wp:simplePos x="0" y="0"/>
                <wp:positionH relativeFrom="page">
                  <wp:posOffset>2876550</wp:posOffset>
                </wp:positionH>
                <wp:positionV relativeFrom="margin">
                  <wp:posOffset>3054350</wp:posOffset>
                </wp:positionV>
                <wp:extent cx="1508760" cy="146050"/>
                <wp:wrapTopAndBottom/>
                <wp:docPr id="3" name="Shape 3"/>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主管会计工作负责人：李华青</w:t>
                            </w:r>
                          </w:p>
                        </w:txbxContent>
                      </wps:txbx>
                      <wps:bodyPr wrap="none" lIns="0" tIns="0" rIns="0" bIns="0">
                        <a:noAutoFit/>
                      </wps:bodyPr>
                    </wps:wsp>
                  </a:graphicData>
                </a:graphic>
              </wp:anchor>
            </w:drawing>
          </mc:Choice>
          <mc:Fallback>
            <w:pict>
              <v:shape id="_x0000_s1029" type="#_x0000_t202" style="position:absolute;margin-left:226.5pt;margin-top:240.5pt;width:118.8pt;height:11.5pt;z-index:-125829373;mso-wrap-distance-left:180.34999999999999pt;mso-wrap-distance-top:12.pt;mso-wrap-distance-right:198.15000000000001pt;mso-wrap-distance-bottom:0.2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主管会计工作负责人：李华青</w:t>
                      </w:r>
                    </w:p>
                  </w:txbxContent>
                </v:textbox>
                <w10:wrap type="topAndBottom" anchorx="page" anchory="margin"/>
              </v:shape>
            </w:pict>
          </mc:Fallback>
        </mc:AlternateContent>
      </w:r>
      <w:r>
        <mc:AlternateContent>
          <mc:Choice Requires="wps">
            <w:drawing>
              <wp:anchor distT="152400" distB="0" distL="4914900" distR="114300" simplePos="0" relativeHeight="125829382" behindDoc="0" locked="0" layoutInCell="1" allowOverlap="1">
                <wp:simplePos x="0" y="0"/>
                <wp:positionH relativeFrom="page">
                  <wp:posOffset>5501005</wp:posOffset>
                </wp:positionH>
                <wp:positionV relativeFrom="margin">
                  <wp:posOffset>3054350</wp:posOffset>
                </wp:positionV>
                <wp:extent cx="1286510" cy="149225"/>
                <wp:wrapTopAndBottom/>
                <wp:docPr id="5" name="Shape 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会计机构负责人：赖宏伟</w:t>
                            </w:r>
                          </w:p>
                        </w:txbxContent>
                      </wps:txbx>
                      <wps:bodyPr wrap="none" lIns="0" tIns="0" rIns="0" bIns="0">
                        <a:noAutoFit/>
                      </wps:bodyPr>
                    </wps:wsp>
                  </a:graphicData>
                </a:graphic>
              </wp:anchor>
            </w:drawing>
          </mc:Choice>
          <mc:Fallback>
            <w:pict>
              <v:shape id="_x0000_s1031" type="#_x0000_t202" style="position:absolute;margin-left:433.15000000000003pt;margin-top:240.5pt;width:101.3pt;height:11.75pt;z-index:-125829371;mso-wrap-distance-left:387.pt;mso-wrap-distance-top:12.pt;mso-wrap-distance-right:9.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会计机构负责人：赖宏伟</w:t>
                      </w:r>
                    </w:p>
                  </w:txbxContent>
                </v:textbox>
                <w10:wrap type="topAndBottom" anchorx="page" anchory="margin"/>
              </v:shape>
            </w:pict>
          </mc:Fallback>
        </mc:AlternateContent>
      </w: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2</w:t>
      </w:r>
      <w:bookmarkEnd w:id="694"/>
      <w:r>
        <w:rPr>
          <w:color w:val="000000"/>
          <w:spacing w:val="0"/>
          <w:w w:val="100"/>
          <w:position w:val="0"/>
        </w:rPr>
        <w:t>、母公司资产负债表</w:t>
      </w:r>
      <w:bookmarkEnd w:id="692"/>
      <w:bookmarkEnd w:id="693"/>
      <w:bookmarkEnd w:id="695"/>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642,733,064.50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163,144,745.95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104,433.50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178,176,673.58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111,134,703.40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7,304,397.29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7,033,874.11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33,123,576.47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4,170,591.93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53,194,661.69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24,478,476.25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4,442,194.79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2,680,711.05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32,084,739.25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30,368,708.86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3,926,205.65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816,172.21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955,089,946.72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343,827,983.76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10,443,677.39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34,576,012.96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58,517,111.42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58,517,111.42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4,012,689.10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4,453,222.00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439,707.57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3,272,027.64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4,445,196.48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1,542,381.52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2,453,635.79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7,411,327.40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7,952,039.70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1,257,996.79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2,010,822.17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91,896,918.83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119,408,040.52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1,046,986,865.55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463,236,024.28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5,012,423.61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4,617,986.00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108,680,742.30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73,575,462.28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37,923,422.49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56,007,516.59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8,245,013.95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5,995,826.69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33,240,127.99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31,127,864.07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49,311,185.61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36,532,736.27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143500" simplePos="0" relativeHeight="125829384" behindDoc="0" locked="0" layoutInCell="1" allowOverlap="1">
                <wp:simplePos x="0" y="0"/>
                <wp:positionH relativeFrom="page">
                  <wp:posOffset>723265</wp:posOffset>
                </wp:positionH>
                <wp:positionV relativeFrom="margin">
                  <wp:posOffset>8418830</wp:posOffset>
                </wp:positionV>
                <wp:extent cx="1057910" cy="149225"/>
                <wp:wrapTopAndBottom/>
                <wp:docPr id="7" name="Shape 7"/>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法定代表人：林明玲</w:t>
                            </w:r>
                          </w:p>
                        </w:txbxContent>
                      </wps:txbx>
                      <wps:bodyPr wrap="none" lIns="0" tIns="0" rIns="0" bIns="0">
                        <a:noAutoFit/>
                      </wps:bodyPr>
                    </wps:wsp>
                  </a:graphicData>
                </a:graphic>
              </wp:anchor>
            </w:drawing>
          </mc:Choice>
          <mc:Fallback>
            <w:pict>
              <v:shape id="_x0000_s1033" type="#_x0000_t202" style="position:absolute;margin-left:56.950000000000003pt;margin-top:662.89999999999998pt;width:83.299999999999997pt;height:11.75pt;z-index:-125829369;mso-wrap-distance-left:9.pt;mso-wrap-distance-top:12.pt;mso-wrap-distance-right:40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法定代表人：林明玲</w:t>
                      </w:r>
                    </w:p>
                  </w:txbxContent>
                </v:textbox>
                <w10:wrap type="topAndBottom" anchorx="page" anchory="margin"/>
              </v:shape>
            </w:pict>
          </mc:Fallback>
        </mc:AlternateContent>
      </w:r>
      <w:r>
        <mc:AlternateContent>
          <mc:Choice Requires="wps">
            <w:drawing>
              <wp:anchor distT="152400" distB="3175" distL="2290445" distR="2516505" simplePos="0" relativeHeight="125829386" behindDoc="0" locked="0" layoutInCell="1" allowOverlap="1">
                <wp:simplePos x="0" y="0"/>
                <wp:positionH relativeFrom="page">
                  <wp:posOffset>2899410</wp:posOffset>
                </wp:positionH>
                <wp:positionV relativeFrom="margin">
                  <wp:posOffset>8418830</wp:posOffset>
                </wp:positionV>
                <wp:extent cx="1508760" cy="146050"/>
                <wp:wrapTopAndBottom/>
                <wp:docPr id="9" name="Shape 9"/>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主管会计工作负责人：李华青</w:t>
                            </w:r>
                          </w:p>
                        </w:txbxContent>
                      </wps:txbx>
                      <wps:bodyPr wrap="none" lIns="0" tIns="0" rIns="0" bIns="0">
                        <a:noAutoFit/>
                      </wps:bodyPr>
                    </wps:wsp>
                  </a:graphicData>
                </a:graphic>
              </wp:anchor>
            </w:drawing>
          </mc:Choice>
          <mc:Fallback>
            <w:pict>
              <v:shape id="_x0000_s1035" type="#_x0000_t202" style="position:absolute;margin-left:228.30000000000001pt;margin-top:662.89999999999998pt;width:118.8pt;height:11.5pt;z-index:-125829367;mso-wrap-distance-left:180.34999999999999pt;mso-wrap-distance-top:12.pt;mso-wrap-distance-right:198.15000000000001pt;mso-wrap-distance-bottom:0.2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主管会计工作负责人：李华青</w:t>
                      </w:r>
                    </w:p>
                  </w:txbxContent>
                </v:textbox>
                <w10:wrap type="topAndBottom" anchorx="page" anchory="margin"/>
              </v:shape>
            </w:pict>
          </mc:Fallback>
        </mc:AlternateContent>
      </w:r>
      <w:r>
        <mc:AlternateContent>
          <mc:Choice Requires="wps">
            <w:drawing>
              <wp:anchor distT="152400" distB="0" distL="4914900" distR="114300" simplePos="0" relativeHeight="125829388" behindDoc="0" locked="0" layoutInCell="1" allowOverlap="1">
                <wp:simplePos x="0" y="0"/>
                <wp:positionH relativeFrom="page">
                  <wp:posOffset>5523865</wp:posOffset>
                </wp:positionH>
                <wp:positionV relativeFrom="margin">
                  <wp:posOffset>8418830</wp:posOffset>
                </wp:positionV>
                <wp:extent cx="1286510" cy="149225"/>
                <wp:wrapTopAndBottom/>
                <wp:docPr id="11" name="Shape 11"/>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会计机构负责人：赖宏伟</w:t>
                            </w:r>
                          </w:p>
                        </w:txbxContent>
                      </wps:txbx>
                      <wps:bodyPr wrap="none" lIns="0" tIns="0" rIns="0" bIns="0">
                        <a:noAutoFit/>
                      </wps:bodyPr>
                    </wps:wsp>
                  </a:graphicData>
                </a:graphic>
              </wp:anchor>
            </w:drawing>
          </mc:Choice>
          <mc:Fallback>
            <w:pict>
              <v:shape id="_x0000_s1037" type="#_x0000_t202" style="position:absolute;margin-left:434.94999999999999pt;margin-top:662.89999999999998pt;width:101.3pt;height:11.75pt;z-index:-125829365;mso-wrap-distance-left:387.pt;mso-wrap-distance-top:12.pt;mso-wrap-distance-right:9.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会计机构负责人：赖宏伟</w:t>
                      </w:r>
                    </w:p>
                  </w:txbxContent>
                </v:textbox>
                <w10:wrap type="topAndBottom" anchorx="page" anchory="margin"/>
              </v:shape>
            </w:pict>
          </mc:Fallback>
        </mc:AlternateConten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270,447.95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238,160,523.29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212,869,815.51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173,434.72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5,939,026.83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9,037,944.23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6,112,461.55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9,037,944.23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244,272,984.84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221,907,759.74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47,112,000.00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35,334,000.00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591,071,627.34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92,588,975.34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22,772,729.30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17,660,232.88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141,247,524.07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95,235,056.32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802,713,880.71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241,328,264.54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1,046,986,865.55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463,236,024.28</w:t>
            </w:r>
          </w:p>
        </w:tc>
      </w:tr>
    </w:tbl>
    <w:p>
      <w:pPr>
        <w:spacing w:lineRule="exact" w:line="1"/>
        <w:rPr>
          <w:sz w:val="2"/>
          <w:szCs w:val="2"/>
        </w:rPr>
      </w:pPr>
      <w:r>
        <w:br w:type="page"/>
      </w:r>
    </w:p>
    <w:p>
      <w:pPr>
        <w:pStyle w:val="Style28"/>
        <w:keepNext/>
        <w:keepLines/>
        <w:widowControl w:val="0"/>
        <w:shd w:val="clear" w:color="auto" w:fill="auto"/>
        <w:bidi w:val="0"/>
        <w:spacing w:before="0" w:after="400" w:line="240" w:lineRule="auto"/>
        <w:ind w:left="0" w:right="0" w:firstLine="0"/>
        <w:jc w:val="left"/>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3</w:t>
      </w:r>
      <w:bookmarkEnd w:id="698"/>
      <w:r>
        <w:rPr>
          <w:color w:val="000000"/>
          <w:spacing w:val="0"/>
          <w:w w:val="100"/>
          <w:position w:val="0"/>
        </w:rPr>
        <w:t>、合并利润表</w:t>
      </w:r>
      <w:bookmarkEnd w:id="696"/>
      <w:bookmarkEnd w:id="697"/>
      <w:bookmarkEnd w:id="69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693"/>
        <w:gridCol w:w="24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467,129,176.10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366,896,926.99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467,129,176.10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366,896,926.99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399,967,200.70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303,964,509.51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349,471,575.52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255,813,334.62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1,473,739.22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2,922,401.67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18,662,216.66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16,514,132.39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16,175,581.45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13,881,133.95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17,501,476.13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16,091,402.47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-3,317,388.28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-1,257,895.59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345,296.41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600,755.10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2,010,834.98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1,883,777.41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683,503.55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705,779.15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-8,033,541.45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-4,194,235.96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-914,517.93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-430,893.12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242,002.54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693"/>
        <w:gridCol w:w="24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59,139,422.11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59,013,067.55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3,635,813.23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3,365,305.37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135,533.28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62,714,982.48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62,242,839.64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7,086,005.44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7,924,283.17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55,628,977.04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54,318,556.47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55,628,977.04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54,318,556.47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55,657,076.39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54,462,271.53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-143,715.06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-99,551.45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405,714.91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-99,551.45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405,714.91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-99,551.45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-104,285.09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-99,551.45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-104,285.09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55,529,425.59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54,724,271.38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55,557,524.94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54,867,986.44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-143,715.06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402"/>
        <w:gridCol w:w="2693"/>
        <w:gridCol w:w="24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r>
    </w:tbl>
    <w:p>
      <w:pPr>
        <w:pStyle w:val="Style28"/>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90" behindDoc="0" locked="0" layoutInCell="1" allowOverlap="1">
                <wp:simplePos x="0" y="0"/>
                <wp:positionH relativeFrom="page">
                  <wp:posOffset>700405</wp:posOffset>
                </wp:positionH>
                <wp:positionV relativeFrom="margin">
                  <wp:posOffset>1012190</wp:posOffset>
                </wp:positionV>
                <wp:extent cx="1057910" cy="149225"/>
                <wp:wrapTopAndBottom/>
                <wp:docPr id="13" name="Shape 13"/>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法定代表人：林明玲</w:t>
                            </w:r>
                          </w:p>
                        </w:txbxContent>
                      </wps:txbx>
                      <wps:bodyPr wrap="none" lIns="0" tIns="0" rIns="0" bIns="0">
                        <a:noAutoFit/>
                      </wps:bodyPr>
                    </wps:wsp>
                  </a:graphicData>
                </a:graphic>
              </wp:anchor>
            </w:drawing>
          </mc:Choice>
          <mc:Fallback>
            <w:pict>
              <v:shape id="_x0000_s1039" type="#_x0000_t202" style="position:absolute;margin-left:55.149999999999999pt;margin-top:79.700000000000003pt;width:83.299999999999997pt;height:11.75pt;z-index:-125829363;mso-wrap-distance-left:9.pt;mso-wrap-distance-top:12.pt;mso-wrap-distance-right:40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法定代表人：林明玲</w:t>
                      </w:r>
                    </w:p>
                  </w:txbxContent>
                </v:textbox>
                <w10:wrap type="topAndBottom" anchorx="page" anchory="margin"/>
              </v:shape>
            </w:pict>
          </mc:Fallback>
        </mc:AlternateContent>
      </w:r>
      <w:r>
        <mc:AlternateContent>
          <mc:Choice Requires="wps">
            <w:drawing>
              <wp:anchor distT="152400" distB="3175" distL="2290445" distR="2516505" simplePos="0" relativeHeight="125829392" behindDoc="0" locked="0" layoutInCell="1" allowOverlap="1">
                <wp:simplePos x="0" y="0"/>
                <wp:positionH relativeFrom="page">
                  <wp:posOffset>2876550</wp:posOffset>
                </wp:positionH>
                <wp:positionV relativeFrom="margin">
                  <wp:posOffset>1012190</wp:posOffset>
                </wp:positionV>
                <wp:extent cx="1508760" cy="146050"/>
                <wp:wrapTopAndBottom/>
                <wp:docPr id="15" name="Shape 15"/>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主管会计工作负责人：李华青</w:t>
                            </w:r>
                          </w:p>
                        </w:txbxContent>
                      </wps:txbx>
                      <wps:bodyPr wrap="none" lIns="0" tIns="0" rIns="0" bIns="0">
                        <a:noAutoFit/>
                      </wps:bodyPr>
                    </wps:wsp>
                  </a:graphicData>
                </a:graphic>
              </wp:anchor>
            </w:drawing>
          </mc:Choice>
          <mc:Fallback>
            <w:pict>
              <v:shape id="_x0000_s1041" type="#_x0000_t202" style="position:absolute;margin-left:226.5pt;margin-top:79.700000000000003pt;width:118.8pt;height:11.5pt;z-index:-125829361;mso-wrap-distance-left:180.34999999999999pt;mso-wrap-distance-top:12.pt;mso-wrap-distance-right:198.15000000000001pt;mso-wrap-distance-bottom:0.2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主管会计工作负责人：李华青</w:t>
                      </w:r>
                    </w:p>
                  </w:txbxContent>
                </v:textbox>
                <w10:wrap type="topAndBottom" anchorx="page" anchory="margin"/>
              </v:shape>
            </w:pict>
          </mc:Fallback>
        </mc:AlternateContent>
      </w:r>
      <w:r>
        <mc:AlternateContent>
          <mc:Choice Requires="wps">
            <w:drawing>
              <wp:anchor distT="152400" distB="0" distL="4914900" distR="114300" simplePos="0" relativeHeight="125829394" behindDoc="0" locked="0" layoutInCell="1" allowOverlap="1">
                <wp:simplePos x="0" y="0"/>
                <wp:positionH relativeFrom="page">
                  <wp:posOffset>5501005</wp:posOffset>
                </wp:positionH>
                <wp:positionV relativeFrom="margin">
                  <wp:posOffset>1012190</wp:posOffset>
                </wp:positionV>
                <wp:extent cx="1286510" cy="149225"/>
                <wp:wrapTopAndBottom/>
                <wp:docPr id="17" name="Shape 1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会计机构负责人：赖宏伟</w:t>
                            </w:r>
                          </w:p>
                        </w:txbxContent>
                      </wps:txbx>
                      <wps:bodyPr wrap="none" lIns="0" tIns="0" rIns="0" bIns="0">
                        <a:noAutoFit/>
                      </wps:bodyPr>
                    </wps:wsp>
                  </a:graphicData>
                </a:graphic>
              </wp:anchor>
            </w:drawing>
          </mc:Choice>
          <mc:Fallback>
            <w:pict>
              <v:shape id="_x0000_s1043" type="#_x0000_t202" style="position:absolute;margin-left:433.15000000000003pt;margin-top:79.700000000000003pt;width:101.3pt;height:11.75pt;z-index:-125829359;mso-wrap-distance-left:387.pt;mso-wrap-distance-top:12.pt;mso-wrap-distance-right:9.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会计机构负责人：赖宏伟</w:t>
                      </w:r>
                    </w:p>
                  </w:txbxContent>
                </v:textbox>
                <w10:wrap type="topAndBottom" anchorx="page" anchory="margin"/>
              </v:shape>
            </w:pict>
          </mc:Fallback>
        </mc:AlternateContent>
      </w: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4</w:t>
      </w:r>
      <w:bookmarkEnd w:id="702"/>
      <w:r>
        <w:rPr>
          <w:color w:val="000000"/>
          <w:spacing w:val="0"/>
          <w:w w:val="100"/>
          <w:position w:val="0"/>
        </w:rPr>
        <w:t>、母公司利润表</w:t>
      </w:r>
      <w:bookmarkEnd w:id="700"/>
      <w:bookmarkEnd w:id="701"/>
      <w:bookmarkEnd w:id="703"/>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693"/>
        <w:gridCol w:w="24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446,640,649.42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304,956,401.96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337,814,936.41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203,710,276.14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1,293,046.74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2,678,603.87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16,820,656.15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14,889,129.00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15,047,487.12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12,348,267.22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15,621,208.58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14,069,000.28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-3,212,928.76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-1,260,366.79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345,296.41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600,755.10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1,998,847.64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1,874,793.87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275,229.87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278,213.14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1100" w:right="0" w:firstLine="0"/>
              <w:jc w:val="left"/>
            </w:pPr>
            <w:r>
              <w:rPr>
                <w:color w:val="000000"/>
                <w:spacing w:val="0"/>
                <w:w w:val="100"/>
                <w:position w:val="0"/>
              </w:rPr>
              <w:t>以摊余成本计量的金融资产终止确认收益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-7,346,075.57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-3,546,876.22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-825,207.30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-404,392.40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241,993.49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55,602,183.67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54,848,436.76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3,104,311.93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3,200,301.35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58,085.26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135,533.24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58,648,410.34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57,913,204.87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7,523,446.17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7,415,925.08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51,124,964.17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50,497,279.79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51,124,964.17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50,497,279.79</w:t>
            </w:r>
          </w:p>
        </w:tc>
      </w:tr>
    </w:tbl>
    <w:p>
      <w:pPr>
        <w:widowControl w:val="0"/>
        <w:spacing w:line="1" w:lineRule="exact"/>
      </w:pPr>
      <w:r>
        <w:br w:type="page"/>
      </w:r>
    </w:p>
    <w:tbl>
      <w:tblPr>
        <w:tblOverlap w:val="never"/>
        <w:jc w:val="center"/>
        <w:tblLayout w:type="fixed"/>
      </w:tblPr>
      <w:tblGrid>
        <w:gridCol w:w="4402"/>
        <w:gridCol w:w="2693"/>
        <w:gridCol w:w="24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510,000.00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510,000.00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510,000.00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51,124,964.17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51,007,279.79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396" behindDoc="0" locked="0" layoutInCell="1" allowOverlap="1">
                <wp:simplePos x="0" y="0"/>
                <wp:positionH relativeFrom="page">
                  <wp:posOffset>700405</wp:posOffset>
                </wp:positionH>
                <wp:positionV relativeFrom="margin">
                  <wp:posOffset>5611495</wp:posOffset>
                </wp:positionV>
                <wp:extent cx="1057910" cy="149225"/>
                <wp:wrapTopAndBottom/>
                <wp:docPr id="19" name="Shape 19"/>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法定代表人：林明玲</w:t>
                            </w:r>
                          </w:p>
                        </w:txbxContent>
                      </wps:txbx>
                      <wps:bodyPr wrap="none" lIns="0" tIns="0" rIns="0" bIns="0">
                        <a:noAutoFit/>
                      </wps:bodyPr>
                    </wps:wsp>
                  </a:graphicData>
                </a:graphic>
              </wp:anchor>
            </w:drawing>
          </mc:Choice>
          <mc:Fallback>
            <w:pict>
              <v:shape id="_x0000_s1045" type="#_x0000_t202" style="position:absolute;margin-left:55.149999999999999pt;margin-top:441.85000000000002pt;width:83.299999999999997pt;height:11.75pt;z-index:-125829357;mso-wrap-distance-left:9.pt;mso-wrap-distance-top:12.pt;mso-wrap-distance-right:40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法定代表人：林明玲</w:t>
                      </w:r>
                    </w:p>
                  </w:txbxContent>
                </v:textbox>
                <w10:wrap type="topAndBottom" anchorx="page" anchory="margin"/>
              </v:shape>
            </w:pict>
          </mc:Fallback>
        </mc:AlternateContent>
      </w:r>
      <w:r>
        <mc:AlternateContent>
          <mc:Choice Requires="wps">
            <w:drawing>
              <wp:anchor distT="152400" distB="3175" distL="2290445" distR="2516505" simplePos="0" relativeHeight="125829398" behindDoc="0" locked="0" layoutInCell="1" allowOverlap="1">
                <wp:simplePos x="0" y="0"/>
                <wp:positionH relativeFrom="page">
                  <wp:posOffset>2876550</wp:posOffset>
                </wp:positionH>
                <wp:positionV relativeFrom="margin">
                  <wp:posOffset>5611495</wp:posOffset>
                </wp:positionV>
                <wp:extent cx="1508760" cy="146050"/>
                <wp:wrapTopAndBottom/>
                <wp:docPr id="21" name="Shape 21"/>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主管会计工作负责人：李华青</w:t>
                            </w:r>
                          </w:p>
                        </w:txbxContent>
                      </wps:txbx>
                      <wps:bodyPr wrap="none" lIns="0" tIns="0" rIns="0" bIns="0">
                        <a:noAutoFit/>
                      </wps:bodyPr>
                    </wps:wsp>
                  </a:graphicData>
                </a:graphic>
              </wp:anchor>
            </w:drawing>
          </mc:Choice>
          <mc:Fallback>
            <w:pict>
              <v:shape id="_x0000_s1047" type="#_x0000_t202" style="position:absolute;margin-left:226.5pt;margin-top:441.85000000000002pt;width:118.8pt;height:11.5pt;z-index:-125829355;mso-wrap-distance-left:180.34999999999999pt;mso-wrap-distance-top:12.pt;mso-wrap-distance-right:198.15000000000001pt;mso-wrap-distance-bottom:0.2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主管会计工作负责人：李华青</w:t>
                      </w:r>
                    </w:p>
                  </w:txbxContent>
                </v:textbox>
                <w10:wrap type="topAndBottom" anchorx="page" anchory="margin"/>
              </v:shape>
            </w:pict>
          </mc:Fallback>
        </mc:AlternateContent>
      </w:r>
      <w:r>
        <mc:AlternateContent>
          <mc:Choice Requires="wps">
            <w:drawing>
              <wp:anchor distT="152400" distB="0" distL="4914900" distR="114300" simplePos="0" relativeHeight="125829400" behindDoc="0" locked="0" layoutInCell="1" allowOverlap="1">
                <wp:simplePos x="0" y="0"/>
                <wp:positionH relativeFrom="page">
                  <wp:posOffset>5501005</wp:posOffset>
                </wp:positionH>
                <wp:positionV relativeFrom="margin">
                  <wp:posOffset>5611495</wp:posOffset>
                </wp:positionV>
                <wp:extent cx="1286510" cy="149225"/>
                <wp:wrapTopAndBottom/>
                <wp:docPr id="23" name="Shape 23"/>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会计机构负责人：赖宏伟</w:t>
                            </w:r>
                          </w:p>
                        </w:txbxContent>
                      </wps:txbx>
                      <wps:bodyPr wrap="none" lIns="0" tIns="0" rIns="0" bIns="0">
                        <a:noAutoFit/>
                      </wps:bodyPr>
                    </wps:wsp>
                  </a:graphicData>
                </a:graphic>
              </wp:anchor>
            </w:drawing>
          </mc:Choice>
          <mc:Fallback>
            <w:pict>
              <v:shape id="_x0000_s1049" type="#_x0000_t202" style="position:absolute;margin-left:433.15000000000003pt;margin-top:441.85000000000002pt;width:101.3pt;height:11.75pt;z-index:-125829353;mso-wrap-distance-left:387.pt;mso-wrap-distance-top:12.pt;mso-wrap-distance-right:9.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会计机构负责人：赖宏伟</w:t>
                      </w:r>
                    </w:p>
                  </w:txbxContent>
                </v:textbox>
                <w10:wrap type="topAndBottom" anchorx="page" anchory="margin"/>
              </v:shape>
            </w:pict>
          </mc:Fallback>
        </mc:AlternateContent>
      </w:r>
      <w:bookmarkStart w:id="704" w:name="bookmark704"/>
      <w:bookmarkStart w:id="705" w:name="bookmark705"/>
      <w:bookmarkStart w:id="706" w:name="bookmark706"/>
      <w:bookmarkStart w:id="707" w:name="bookmark707"/>
      <w:r>
        <w:rPr>
          <w:rFonts w:ascii="Times New Roman" w:eastAsia="Times New Roman" w:hAnsi="Times New Roman" w:cs="Times New Roman"/>
          <w:color w:val="000000"/>
          <w:spacing w:val="0"/>
          <w:w w:val="100"/>
          <w:position w:val="0"/>
        </w:rPr>
        <w:t>5</w:t>
      </w:r>
      <w:bookmarkEnd w:id="706"/>
      <w:r>
        <w:rPr>
          <w:color w:val="000000"/>
          <w:spacing w:val="0"/>
          <w:w w:val="100"/>
          <w:position w:val="0"/>
        </w:rPr>
        <w:t>、合并现金流量表</w:t>
      </w:r>
      <w:bookmarkEnd w:id="704"/>
      <w:bookmarkEnd w:id="705"/>
      <w:bookmarkEnd w:id="707"/>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968"/>
        <w:gridCol w:w="2126"/>
        <w:gridCol w:w="24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449,469,881.79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406,189,726.52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68"/>
        <w:gridCol w:w="2126"/>
        <w:gridCol w:w="24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78,168.18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9,735,824.61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10,858,392.09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459,283,874.58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417,048,118.61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411,187,059.21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251,799,911.10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34,038,494.79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31,178,988.81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20,184,825.00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12,292,547.88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27,528,096.26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28,451,039.18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492,938,475.26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323,722,486.97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-33,654,600.68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93,325,631.64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8,279,638.06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8,279,638.06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-193,579.00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-8,279,638.06</w:t>
            </w:r>
          </w:p>
        </w:tc>
      </w:tr>
    </w:tbl>
    <w:p>
      <w:pPr>
        <w:widowControl w:val="0"/>
        <w:spacing w:line="1" w:lineRule="exact"/>
      </w:pPr>
      <w:r>
        <w:br w:type="page"/>
      </w:r>
    </w:p>
    <w:tbl>
      <w:tblPr>
        <w:tblOverlap w:val="never"/>
        <w:jc w:val="center"/>
        <w:tblLayout w:type="fixed"/>
      </w:tblPr>
      <w:tblGrid>
        <w:gridCol w:w="4968"/>
        <w:gridCol w:w="2126"/>
        <w:gridCol w:w="24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530,602,651.21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25,950,000.00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1,352,117.00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584,954,768.21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25,950,000.00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25,950,000.00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354,563.89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14,873,661.51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17,390,164.10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4,617,986.00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75,744,727.99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45,441,647.51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509,210,040.22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-19,491,647.51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23,332.08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-67,700.12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475,385,192.62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65,486,645.95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175,035,799.93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109,549,153.98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650,420,992.55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175,035,799.93</w:t>
            </w:r>
          </w:p>
        </w:tc>
      </w:tr>
    </w:tbl>
    <w:p>
      <w:pPr>
        <w:pStyle w:val="Style28"/>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402" behindDoc="0" locked="0" layoutInCell="1" allowOverlap="1">
                <wp:simplePos x="0" y="0"/>
                <wp:positionH relativeFrom="page">
                  <wp:posOffset>700405</wp:posOffset>
                </wp:positionH>
                <wp:positionV relativeFrom="margin">
                  <wp:posOffset>4590415</wp:posOffset>
                </wp:positionV>
                <wp:extent cx="1057910" cy="149225"/>
                <wp:wrapTopAndBottom/>
                <wp:docPr id="25" name="Shape 25"/>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法定代表人：林明玲</w:t>
                            </w:r>
                          </w:p>
                        </w:txbxContent>
                      </wps:txbx>
                      <wps:bodyPr wrap="none" lIns="0" tIns="0" rIns="0" bIns="0">
                        <a:noAutoFit/>
                      </wps:bodyPr>
                    </wps:wsp>
                  </a:graphicData>
                </a:graphic>
              </wp:anchor>
            </w:drawing>
          </mc:Choice>
          <mc:Fallback>
            <w:pict>
              <v:shape id="_x0000_s1051" type="#_x0000_t202" style="position:absolute;margin-left:55.149999999999999pt;margin-top:361.44999999999999pt;width:83.299999999999997pt;height:11.75pt;z-index:-125829351;mso-wrap-distance-left:9.pt;mso-wrap-distance-top:12.pt;mso-wrap-distance-right:40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法定代表人：林明玲</w:t>
                      </w:r>
                    </w:p>
                  </w:txbxContent>
                </v:textbox>
                <w10:wrap type="topAndBottom" anchorx="page" anchory="margin"/>
              </v:shape>
            </w:pict>
          </mc:Fallback>
        </mc:AlternateContent>
      </w:r>
      <w:r>
        <mc:AlternateContent>
          <mc:Choice Requires="wps">
            <w:drawing>
              <wp:anchor distT="152400" distB="3175" distL="2290445" distR="2516505" simplePos="0" relativeHeight="125829404" behindDoc="0" locked="0" layoutInCell="1" allowOverlap="1">
                <wp:simplePos x="0" y="0"/>
                <wp:positionH relativeFrom="page">
                  <wp:posOffset>2876550</wp:posOffset>
                </wp:positionH>
                <wp:positionV relativeFrom="margin">
                  <wp:posOffset>4590415</wp:posOffset>
                </wp:positionV>
                <wp:extent cx="1508760" cy="146050"/>
                <wp:wrapTopAndBottom/>
                <wp:docPr id="27" name="Shape 27"/>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主管会计工作负责人：李华青</w:t>
                            </w:r>
                          </w:p>
                        </w:txbxContent>
                      </wps:txbx>
                      <wps:bodyPr wrap="none" lIns="0" tIns="0" rIns="0" bIns="0">
                        <a:noAutoFit/>
                      </wps:bodyPr>
                    </wps:wsp>
                  </a:graphicData>
                </a:graphic>
              </wp:anchor>
            </w:drawing>
          </mc:Choice>
          <mc:Fallback>
            <w:pict>
              <v:shape id="_x0000_s1053" type="#_x0000_t202" style="position:absolute;margin-left:226.5pt;margin-top:361.44999999999999pt;width:118.8pt;height:11.5pt;z-index:-125829349;mso-wrap-distance-left:180.34999999999999pt;mso-wrap-distance-top:12.pt;mso-wrap-distance-right:198.15000000000001pt;mso-wrap-distance-bottom:0.2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主管会计工作负责人：李华青</w:t>
                      </w:r>
                    </w:p>
                  </w:txbxContent>
                </v:textbox>
                <w10:wrap type="topAndBottom" anchorx="page" anchory="margin"/>
              </v:shape>
            </w:pict>
          </mc:Fallback>
        </mc:AlternateContent>
      </w:r>
      <w:r>
        <mc:AlternateContent>
          <mc:Choice Requires="wps">
            <w:drawing>
              <wp:anchor distT="152400" distB="0" distL="4914900" distR="114300" simplePos="0" relativeHeight="125829406" behindDoc="0" locked="0" layoutInCell="1" allowOverlap="1">
                <wp:simplePos x="0" y="0"/>
                <wp:positionH relativeFrom="page">
                  <wp:posOffset>5501005</wp:posOffset>
                </wp:positionH>
                <wp:positionV relativeFrom="margin">
                  <wp:posOffset>4590415</wp:posOffset>
                </wp:positionV>
                <wp:extent cx="1286510" cy="149225"/>
                <wp:wrapTopAndBottom/>
                <wp:docPr id="29" name="Shape 2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会计机构负责人：赖宏伟</w:t>
                            </w:r>
                          </w:p>
                        </w:txbxContent>
                      </wps:txbx>
                      <wps:bodyPr wrap="none" lIns="0" tIns="0" rIns="0" bIns="0">
                        <a:noAutoFit/>
                      </wps:bodyPr>
                    </wps:wsp>
                  </a:graphicData>
                </a:graphic>
              </wp:anchor>
            </w:drawing>
          </mc:Choice>
          <mc:Fallback>
            <w:pict>
              <v:shape id="_x0000_s1055" type="#_x0000_t202" style="position:absolute;margin-left:433.15000000000003pt;margin-top:361.44999999999999pt;width:101.3pt;height:11.75pt;z-index:-125829347;mso-wrap-distance-left:387.pt;mso-wrap-distance-top:12.pt;mso-wrap-distance-right:9.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会计机构负责人：赖宏伟</w:t>
                      </w:r>
                    </w:p>
                  </w:txbxContent>
                </v:textbox>
                <w10:wrap type="topAndBottom" anchorx="page" anchory="margin"/>
              </v:shape>
            </w:pict>
          </mc:Fallback>
        </mc:AlternateContent>
      </w:r>
      <w:bookmarkStart w:id="708" w:name="bookmark708"/>
      <w:bookmarkStart w:id="709" w:name="bookmark709"/>
      <w:bookmarkStart w:id="710" w:name="bookmark710"/>
      <w:bookmarkStart w:id="711" w:name="bookmark711"/>
      <w:r>
        <w:rPr>
          <w:rFonts w:ascii="Times New Roman" w:eastAsia="Times New Roman" w:hAnsi="Times New Roman" w:cs="Times New Roman"/>
          <w:color w:val="000000"/>
          <w:spacing w:val="0"/>
          <w:w w:val="100"/>
          <w:position w:val="0"/>
        </w:rPr>
        <w:t>6</w:t>
      </w:r>
      <w:bookmarkEnd w:id="710"/>
      <w:r>
        <w:rPr>
          <w:color w:val="000000"/>
          <w:spacing w:val="0"/>
          <w:w w:val="100"/>
          <w:position w:val="0"/>
        </w:rPr>
        <w:t>、母公司现金流量表</w:t>
      </w:r>
      <w:bookmarkEnd w:id="708"/>
      <w:bookmarkEnd w:id="709"/>
      <w:bookmarkEnd w:id="711"/>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968"/>
        <w:gridCol w:w="2126"/>
        <w:gridCol w:w="24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425,792,162.03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342,248,504.43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33,005,446.45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45,982,891.36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458,797,608.48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388,231,395.79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364,287,280.98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194,477,312.32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28,618,490.56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26,945,524.68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17,669,962.80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11,712,363.89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76,169,965.38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26,977,386.83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486,745,699.72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260,112,587.72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-27,948,091.24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128,118,808.07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68"/>
        <w:gridCol w:w="2126"/>
        <w:gridCol w:w="24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8,279,638.06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58,279,638.06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-193,579.00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-58,279,638.06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530,602,651.21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1,352,117.00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584,954,768.21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354,563.89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14,873,661.51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13,982,486.82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4,617,986.00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72,337,050.71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45,441,647.51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512,617,717.50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-19,491,647.51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484,476,047.26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50,347,522.50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155,379,551.57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105,032,029.07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639,855,598.83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155,379,551.57</w:t>
            </w:r>
          </w:p>
        </w:tc>
      </w:tr>
    </w:tbl>
    <w:p>
      <w:pPr>
        <w:sectPr>
          <w:footnotePr>
            <w:pos w:val="pageBottom"/>
            <w:numFmt w:val="decimal"/>
            <w:numRestart w:val="continuous"/>
          </w:footnotePr>
          <w:pgSz w:w="11900" w:h="16840"/>
          <w:pgMar w:top="1407" w:right="1017" w:bottom="1436" w:left="1005" w:header="0" w:footer="3" w:gutter="0"/>
          <w:cols w:space="720"/>
          <w:noEndnote/>
          <w:rtlGutter w:val="0"/>
          <w:docGrid w:linePitch="360"/>
        </w:sect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47" w:right="0" w:bottom="1157" w:left="0" w:header="0" w:footer="3" w:gutter="0"/>
          <w:cols w:space="720"/>
          <w:noEndnote/>
          <w:rtlGutter w:val="0"/>
          <w:docGrid w:linePitch="360"/>
        </w:sectPr>
      </w:pPr>
    </w:p>
    <w:p>
      <w:pPr>
        <w:pStyle w:val="Style21"/>
        <w:keepNext w:val="0"/>
        <w:keepLines w:val="0"/>
        <w:framePr w:w="1666" w:h="235" w:wrap="none" w:vAnchor="text" w:hAnchor="page" w:x="1140" w:y="21"/>
        <w:widowControl w:val="0"/>
        <w:shd w:val="clear" w:color="auto" w:fill="auto"/>
        <w:bidi w:val="0"/>
        <w:spacing w:before="0" w:after="0" w:line="240" w:lineRule="auto"/>
        <w:ind w:left="0" w:right="0" w:firstLine="0"/>
        <w:jc w:val="left"/>
      </w:pPr>
      <w:r>
        <w:rPr>
          <w:color w:val="000000"/>
          <w:spacing w:val="0"/>
          <w:w w:val="100"/>
          <w:position w:val="0"/>
        </w:rPr>
        <w:t>法定代表人：林明玲</w:t>
      </w:r>
    </w:p>
    <w:p>
      <w:pPr>
        <w:pStyle w:val="Style21"/>
        <w:keepNext w:val="0"/>
        <w:keepLines w:val="0"/>
        <w:framePr w:w="2376" w:h="230" w:wrap="none" w:vAnchor="text" w:hAnchor="page" w:x="4567" w:y="21"/>
        <w:widowControl w:val="0"/>
        <w:shd w:val="clear" w:color="auto" w:fill="auto"/>
        <w:bidi w:val="0"/>
        <w:spacing w:before="0" w:after="0" w:line="240" w:lineRule="auto"/>
        <w:ind w:left="0" w:right="0" w:firstLine="0"/>
        <w:jc w:val="left"/>
      </w:pPr>
      <w:r>
        <w:rPr>
          <w:color w:val="000000"/>
          <w:spacing w:val="0"/>
          <w:w w:val="100"/>
          <w:position w:val="0"/>
        </w:rPr>
        <w:t>主管会计工作负责人：李华青</w:t>
      </w:r>
    </w:p>
    <w:p>
      <w:pPr>
        <w:pStyle w:val="Style21"/>
        <w:keepNext w:val="0"/>
        <w:keepLines w:val="0"/>
        <w:framePr w:w="2026" w:h="235" w:wrap="none" w:vAnchor="text" w:hAnchor="page" w:x="8700" w:y="21"/>
        <w:widowControl w:val="0"/>
        <w:shd w:val="clear" w:color="auto" w:fill="auto"/>
        <w:bidi w:val="0"/>
        <w:spacing w:before="0" w:after="0" w:line="240" w:lineRule="auto"/>
        <w:ind w:left="0" w:right="0" w:firstLine="0"/>
        <w:jc w:val="left"/>
      </w:pPr>
      <w:r>
        <w:rPr>
          <w:color w:val="000000"/>
          <w:spacing w:val="0"/>
          <w:w w:val="100"/>
          <w:position w:val="0"/>
        </w:rPr>
        <w:t>会计机构负责人：赖宏伟</w:t>
      </w:r>
    </w:p>
    <w:p>
      <w:pPr>
        <w:widowControl w:val="0"/>
        <w:spacing w:after="234" w:line="1" w:lineRule="exact"/>
      </w:pPr>
    </w:p>
    <w:p>
      <w:pPr>
        <w:widowControl w:val="0"/>
        <w:spacing w:line="1" w:lineRule="exact"/>
        <w:sectPr>
          <w:footnotePr>
            <w:pos w:val="pageBottom"/>
            <w:numFmt w:val="decimal"/>
            <w:numRestart w:val="continuous"/>
          </w:footnotePr>
          <w:type w:val="continuous"/>
          <w:pgSz w:w="11900" w:h="16840"/>
          <w:pgMar w:top="1147" w:right="1126" w:bottom="1157" w:left="1112" w:header="0" w:footer="3" w:gutter="0"/>
          <w:cols w:space="720"/>
          <w:noEndnote/>
          <w:rtlGutter w:val="0"/>
          <w:docGrid w:linePitch="360"/>
        </w:sectPr>
      </w:pPr>
    </w:p>
    <w:p>
      <w:pPr>
        <w:pStyle w:val="Style28"/>
        <w:keepNext/>
        <w:keepLines/>
        <w:widowControl w:val="0"/>
        <w:shd w:val="clear" w:color="auto" w:fill="auto"/>
        <w:bidi w:val="0"/>
        <w:spacing w:before="0" w:line="240" w:lineRule="auto"/>
        <w:ind w:left="0" w:right="0" w:firstLine="0"/>
        <w:jc w:val="left"/>
      </w:pPr>
      <w:bookmarkStart w:id="712" w:name="bookmark712"/>
      <w:bookmarkStart w:id="713" w:name="bookmark713"/>
      <w:bookmarkStart w:id="714" w:name="bookmark714"/>
      <w:bookmarkStart w:id="715" w:name="bookmark715"/>
      <w:r>
        <w:rPr>
          <w:rFonts w:ascii="Times New Roman" w:eastAsia="Times New Roman" w:hAnsi="Times New Roman" w:cs="Times New Roman"/>
          <w:color w:val="000000"/>
          <w:spacing w:val="0"/>
          <w:w w:val="100"/>
          <w:position w:val="0"/>
        </w:rPr>
        <w:t>7</w:t>
      </w:r>
      <w:bookmarkEnd w:id="714"/>
      <w:r>
        <w:rPr>
          <w:color w:val="000000"/>
          <w:spacing w:val="0"/>
          <w:w w:val="100"/>
          <w:position w:val="0"/>
        </w:rPr>
        <w:t>、合并所有者权益变动表</w:t>
      </w:r>
      <w:bookmarkEnd w:id="712"/>
      <w:bookmarkEnd w:id="713"/>
      <w:bookmarkEnd w:id="715"/>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14"/>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1906"/>
        <w:gridCol w:w="1094"/>
        <w:gridCol w:w="389"/>
        <w:gridCol w:w="394"/>
        <w:gridCol w:w="312"/>
        <w:gridCol w:w="1186"/>
        <w:gridCol w:w="643"/>
        <w:gridCol w:w="984"/>
        <w:gridCol w:w="466"/>
        <w:gridCol w:w="1090"/>
        <w:gridCol w:w="624"/>
        <w:gridCol w:w="1181"/>
        <w:gridCol w:w="317"/>
        <w:gridCol w:w="1181"/>
        <w:gridCol w:w="1013"/>
        <w:gridCol w:w="125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少数股东权 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所有者权益合 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其他权益工 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一般风</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92,581,864.72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193,106.21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17,660,232.88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107,203,208.28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252,972,412.09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-287,655.50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252,684,756.59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同一控制下企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92,581,864.72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193,106.21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17,660,232.88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107,203,208.28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252,972,412.09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-287,655.50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252,684,756.59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三、本期增减变动金额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11,778,000.00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498,482,652.00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-99,551.45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5,112,496.42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50,544,579.97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565,818,176.94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565,790,077.59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-99,551.45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55,657,076.39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55,557,524.94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55,529,425.59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（二）所有者投入和减 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11,778,000.00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498,482,652.00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510,260,652.00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510,260,652.00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所有者投入的普通股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11,778,000.00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498,482,652.00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510,260,652.00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510,260,652.00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 投入资本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06"/>
        <w:gridCol w:w="1094"/>
        <w:gridCol w:w="389"/>
        <w:gridCol w:w="394"/>
        <w:gridCol w:w="312"/>
        <w:gridCol w:w="1186"/>
        <w:gridCol w:w="643"/>
        <w:gridCol w:w="984"/>
        <w:gridCol w:w="466"/>
        <w:gridCol w:w="1090"/>
        <w:gridCol w:w="624"/>
        <w:gridCol w:w="1181"/>
        <w:gridCol w:w="317"/>
        <w:gridCol w:w="1181"/>
        <w:gridCol w:w="1013"/>
        <w:gridCol w:w="1253"/>
      </w:tblGrid>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少数股东权 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71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其他权益工 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一般风</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5,112,496.42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-5,112,496.42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5,112,496.42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-5,112,496.42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设定受益计划变动额 结转留存收益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06"/>
        <w:gridCol w:w="1094"/>
        <w:gridCol w:w="389"/>
        <w:gridCol w:w="394"/>
        <w:gridCol w:w="312"/>
        <w:gridCol w:w="1186"/>
        <w:gridCol w:w="643"/>
        <w:gridCol w:w="984"/>
        <w:gridCol w:w="466"/>
        <w:gridCol w:w="1090"/>
        <w:gridCol w:w="624"/>
        <w:gridCol w:w="1181"/>
        <w:gridCol w:w="317"/>
        <w:gridCol w:w="1181"/>
        <w:gridCol w:w="1013"/>
        <w:gridCol w:w="1253"/>
      </w:tblGrid>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少数股东权 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710"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其他权益工 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一般风</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47,112,000.00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591,064,516.72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93,554.76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22,772,729.30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157,747,788.25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818,790,589.03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-315,754.85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818,474,834.18</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上期金额</w:t>
      </w:r>
    </w:p>
    <w:p>
      <w:pPr>
        <w:pStyle w:val="Style14"/>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1550"/>
        <w:gridCol w:w="1090"/>
        <w:gridCol w:w="427"/>
        <w:gridCol w:w="427"/>
        <w:gridCol w:w="490"/>
        <w:gridCol w:w="1090"/>
        <w:gridCol w:w="619"/>
        <w:gridCol w:w="926"/>
        <w:gridCol w:w="614"/>
        <w:gridCol w:w="1090"/>
        <w:gridCol w:w="619"/>
        <w:gridCol w:w="1181"/>
        <w:gridCol w:w="600"/>
        <w:gridCol w:w="1186"/>
        <w:gridCol w:w="926"/>
        <w:gridCol w:w="119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一般风</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92,581,864.72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-212,608.70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12,610,504.90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71,924,264.73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212,238,025.65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-143,940.44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212,094,085.21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加：会计政策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50"/>
        <w:gridCol w:w="1090"/>
        <w:gridCol w:w="427"/>
        <w:gridCol w:w="427"/>
        <w:gridCol w:w="490"/>
        <w:gridCol w:w="1090"/>
        <w:gridCol w:w="619"/>
        <w:gridCol w:w="926"/>
        <w:gridCol w:w="614"/>
        <w:gridCol w:w="1090"/>
        <w:gridCol w:w="619"/>
        <w:gridCol w:w="1181"/>
        <w:gridCol w:w="600"/>
        <w:gridCol w:w="1186"/>
        <w:gridCol w:w="926"/>
        <w:gridCol w:w="1195"/>
      </w:tblGrid>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一般风</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同一控制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92,581,864.72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-212,608.70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12,610,504.90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71,924,264.73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212,238,025.65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-143,940.44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212,094,085.21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9"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405,714.91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5,049,727.98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35,278,943.55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40,734,386.44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-143,715.06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40,590,671.38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405,714.91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54,462,271.53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54,867,986.44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-143,715.06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54,724,271.38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5,049,727.98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-19,183,327.98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-14,133,600.00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-14,133,600.00</w:t>
            </w:r>
          </w:p>
        </w:tc>
      </w:tr>
    </w:tbl>
    <w:p>
      <w:pPr>
        <w:widowControl w:val="0"/>
        <w:spacing w:line="1" w:lineRule="exact"/>
      </w:pPr>
      <w:r>
        <w:br w:type="page"/>
      </w:r>
    </w:p>
    <w:tbl>
      <w:tblPr>
        <w:tblOverlap w:val="never"/>
        <w:jc w:val="center"/>
        <w:tblLayout w:type="fixed"/>
      </w:tblPr>
      <w:tblGrid>
        <w:gridCol w:w="1550"/>
        <w:gridCol w:w="1090"/>
        <w:gridCol w:w="427"/>
        <w:gridCol w:w="427"/>
        <w:gridCol w:w="490"/>
        <w:gridCol w:w="1090"/>
        <w:gridCol w:w="619"/>
        <w:gridCol w:w="926"/>
        <w:gridCol w:w="614"/>
        <w:gridCol w:w="1090"/>
        <w:gridCol w:w="619"/>
        <w:gridCol w:w="1181"/>
        <w:gridCol w:w="600"/>
        <w:gridCol w:w="1186"/>
        <w:gridCol w:w="926"/>
        <w:gridCol w:w="1195"/>
      </w:tblGrid>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一般风</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5,049,727.98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-5,049,727.98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-14,133,600.00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-14,133,600.00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50"/>
        <w:gridCol w:w="1090"/>
        <w:gridCol w:w="427"/>
        <w:gridCol w:w="427"/>
        <w:gridCol w:w="490"/>
        <w:gridCol w:w="1090"/>
        <w:gridCol w:w="619"/>
        <w:gridCol w:w="926"/>
        <w:gridCol w:w="614"/>
        <w:gridCol w:w="1090"/>
        <w:gridCol w:w="619"/>
        <w:gridCol w:w="1181"/>
        <w:gridCol w:w="600"/>
        <w:gridCol w:w="1186"/>
        <w:gridCol w:w="926"/>
        <w:gridCol w:w="1195"/>
      </w:tblGrid>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一般风</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35,334,000.00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92,581,864.72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193,106.21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17,660,232.88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107,203,208.28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252,972,412.09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-287,655.50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252,684,756.59</w:t>
            </w:r>
          </w:p>
        </w:tc>
      </w:tr>
    </w:tbl>
    <w:p>
      <w:pPr>
        <w:pStyle w:val="Style28"/>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7828280" simplePos="0" relativeHeight="125829408" behindDoc="0" locked="0" layoutInCell="1" allowOverlap="1">
                <wp:simplePos x="0" y="0"/>
                <wp:positionH relativeFrom="page">
                  <wp:posOffset>902970</wp:posOffset>
                </wp:positionH>
                <wp:positionV relativeFrom="margin">
                  <wp:posOffset>2488565</wp:posOffset>
                </wp:positionV>
                <wp:extent cx="1057910" cy="149225"/>
                <wp:wrapTopAndBottom/>
                <wp:docPr id="31" name="Shape 31"/>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法定代表人：林明玲</w:t>
                            </w:r>
                          </w:p>
                        </w:txbxContent>
                      </wps:txbx>
                      <wps:bodyPr wrap="none" lIns="0" tIns="0" rIns="0" bIns="0">
                        <a:noAutoFit/>
                      </wps:bodyPr>
                    </wps:wsp>
                  </a:graphicData>
                </a:graphic>
              </wp:anchor>
            </w:drawing>
          </mc:Choice>
          <mc:Fallback>
            <w:pict>
              <v:shape id="_x0000_s1057" type="#_x0000_t202" style="position:absolute;margin-left:71.100000000000009pt;margin-top:195.95000000000002pt;width:83.299999999999997pt;height:11.75pt;z-index:-125829345;mso-wrap-distance-left:9.pt;mso-wrap-distance-top:12.pt;mso-wrap-distance-right:616.39999999999998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法定代表人：林明玲</w:t>
                      </w:r>
                    </w:p>
                  </w:txbxContent>
                </v:textbox>
                <w10:wrap type="topAndBottom" anchorx="page" anchory="margin"/>
              </v:shape>
            </w:pict>
          </mc:Fallback>
        </mc:AlternateContent>
      </w:r>
      <w:r>
        <mc:AlternateContent>
          <mc:Choice Requires="wps">
            <w:drawing>
              <wp:anchor distT="152400" distB="3175" distL="3945890" distR="3545840" simplePos="0" relativeHeight="125829410" behindDoc="0" locked="0" layoutInCell="1" allowOverlap="1">
                <wp:simplePos x="0" y="0"/>
                <wp:positionH relativeFrom="page">
                  <wp:posOffset>4734560</wp:posOffset>
                </wp:positionH>
                <wp:positionV relativeFrom="margin">
                  <wp:posOffset>2488565</wp:posOffset>
                </wp:positionV>
                <wp:extent cx="1508760" cy="146050"/>
                <wp:wrapTopAndBottom/>
                <wp:docPr id="33" name="Shape 33"/>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主管会计工作负责人：李华青</w:t>
                            </w:r>
                          </w:p>
                        </w:txbxContent>
                      </wps:txbx>
                      <wps:bodyPr wrap="none" lIns="0" tIns="0" rIns="0" bIns="0">
                        <a:noAutoFit/>
                      </wps:bodyPr>
                    </wps:wsp>
                  </a:graphicData>
                </a:graphic>
              </wp:anchor>
            </w:drawing>
          </mc:Choice>
          <mc:Fallback>
            <w:pict>
              <v:shape id="_x0000_s1059" type="#_x0000_t202" style="position:absolute;margin-left:372.80000000000001pt;margin-top:195.95000000000002pt;width:118.8pt;height:11.5pt;z-index:-125829343;mso-wrap-distance-left:310.69999999999999pt;mso-wrap-distance-top:12.pt;mso-wrap-distance-right:279.19999999999999pt;mso-wrap-distance-bottom:0.2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主管会计工作负责人：李华青</w:t>
                      </w:r>
                    </w:p>
                  </w:txbxContent>
                </v:textbox>
                <w10:wrap type="topAndBottom" anchorx="page" anchory="margin"/>
              </v:shape>
            </w:pict>
          </mc:Fallback>
        </mc:AlternateContent>
      </w:r>
      <w:r>
        <mc:AlternateContent>
          <mc:Choice Requires="wps">
            <w:drawing>
              <wp:anchor distT="152400" distB="0" distL="7600315" distR="113665" simplePos="0" relativeHeight="125829412" behindDoc="0" locked="0" layoutInCell="1" allowOverlap="1">
                <wp:simplePos x="0" y="0"/>
                <wp:positionH relativeFrom="page">
                  <wp:posOffset>8388985</wp:posOffset>
                </wp:positionH>
                <wp:positionV relativeFrom="margin">
                  <wp:posOffset>2488565</wp:posOffset>
                </wp:positionV>
                <wp:extent cx="1286510" cy="149225"/>
                <wp:wrapTopAndBottom/>
                <wp:docPr id="35" name="Shape 35"/>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会计机构负责人：赖宏伟</w:t>
                            </w:r>
                          </w:p>
                        </w:txbxContent>
                      </wps:txbx>
                      <wps:bodyPr wrap="none" lIns="0" tIns="0" rIns="0" bIns="0">
                        <a:noAutoFit/>
                      </wps:bodyPr>
                    </wps:wsp>
                  </a:graphicData>
                </a:graphic>
              </wp:anchor>
            </w:drawing>
          </mc:Choice>
          <mc:Fallback>
            <w:pict>
              <v:shape id="_x0000_s1061" type="#_x0000_t202" style="position:absolute;margin-left:660.55000000000007pt;margin-top:195.95000000000002pt;width:101.3pt;height:11.75pt;z-index:-125829341;mso-wrap-distance-left:598.45000000000005pt;mso-wrap-distance-top:12.pt;mso-wrap-distance-right:8.9500000000000011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会计机构负责人：赖宏伟</w:t>
                      </w:r>
                    </w:p>
                  </w:txbxContent>
                </v:textbox>
                <w10:wrap type="topAndBottom" anchorx="page" anchory="margin"/>
              </v:shape>
            </w:pict>
          </mc:Fallback>
        </mc:AlternateContent>
      </w:r>
      <w:bookmarkStart w:id="716" w:name="bookmark716"/>
      <w:bookmarkStart w:id="717" w:name="bookmark717"/>
      <w:bookmarkStart w:id="718" w:name="bookmark718"/>
      <w:bookmarkStart w:id="719" w:name="bookmark719"/>
      <w:r>
        <w:rPr>
          <w:rFonts w:ascii="Times New Roman" w:eastAsia="Times New Roman" w:hAnsi="Times New Roman" w:cs="Times New Roman"/>
          <w:color w:val="000000"/>
          <w:spacing w:val="0"/>
          <w:w w:val="100"/>
          <w:position w:val="0"/>
        </w:rPr>
        <w:t>8</w:t>
      </w:r>
      <w:bookmarkEnd w:id="718"/>
      <w:r>
        <w:rPr>
          <w:color w:val="000000"/>
          <w:spacing w:val="0"/>
          <w:w w:val="100"/>
          <w:position w:val="0"/>
        </w:rPr>
        <w:t>、母公司所有者权益变动表</w:t>
      </w:r>
      <w:bookmarkEnd w:id="716"/>
      <w:bookmarkEnd w:id="717"/>
      <w:bookmarkEnd w:id="719"/>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14"/>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1853"/>
        <w:gridCol w:w="1090"/>
        <w:gridCol w:w="821"/>
        <w:gridCol w:w="821"/>
        <w:gridCol w:w="816"/>
        <w:gridCol w:w="1181"/>
        <w:gridCol w:w="998"/>
        <w:gridCol w:w="994"/>
        <w:gridCol w:w="998"/>
        <w:gridCol w:w="1094"/>
        <w:gridCol w:w="1181"/>
        <w:gridCol w:w="974"/>
        <w:gridCol w:w="12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92,588,975.34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17,660,232.88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95,235,056.32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241,328,264.54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740"/>
              <w:jc w:val="left"/>
            </w:pPr>
            <w:r>
              <w:rPr>
                <w:color w:val="000000"/>
                <w:spacing w:val="0"/>
                <w:w w:val="100"/>
                <w:position w:val="0"/>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35,334,000.00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92,588,975.34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17,660,232.88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95,235,056.32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241,328,264.54</w:t>
            </w:r>
          </w:p>
        </w:tc>
      </w:tr>
    </w:tbl>
    <w:p>
      <w:pPr>
        <w:widowControl w:val="0"/>
        <w:spacing w:line="1" w:lineRule="exact"/>
      </w:pPr>
      <w:r>
        <w:br w:type="page"/>
      </w:r>
    </w:p>
    <w:tbl>
      <w:tblPr>
        <w:tblOverlap w:val="never"/>
        <w:jc w:val="center"/>
        <w:tblLayout w:type="fixed"/>
      </w:tblPr>
      <w:tblGrid>
        <w:gridCol w:w="1853"/>
        <w:gridCol w:w="1090"/>
        <w:gridCol w:w="821"/>
        <w:gridCol w:w="821"/>
        <w:gridCol w:w="816"/>
        <w:gridCol w:w="1181"/>
        <w:gridCol w:w="998"/>
        <w:gridCol w:w="994"/>
        <w:gridCol w:w="998"/>
        <w:gridCol w:w="1094"/>
        <w:gridCol w:w="1181"/>
        <w:gridCol w:w="974"/>
        <w:gridCol w:w="1210"/>
      </w:tblGrid>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所有者权益合 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三、本期增减变动金额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11,778,000.00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498,482,652.00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5,112,496.42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46,012,467.75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561,385,616.17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51,124,964.17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51,124,964.17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（二）所有者投入和减 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11,778,000.00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498,482,652.00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510,260,652.00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.所有者投入的普通 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11,778,000.00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498,482,652.00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510,260,652.00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 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5,112,496.42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-5,112,496.42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5,112,496.42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-5,112,496.42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53"/>
        <w:gridCol w:w="1090"/>
        <w:gridCol w:w="821"/>
        <w:gridCol w:w="821"/>
        <w:gridCol w:w="816"/>
        <w:gridCol w:w="1181"/>
        <w:gridCol w:w="998"/>
        <w:gridCol w:w="994"/>
        <w:gridCol w:w="998"/>
        <w:gridCol w:w="1094"/>
        <w:gridCol w:w="1181"/>
        <w:gridCol w:w="974"/>
        <w:gridCol w:w="1210"/>
      </w:tblGrid>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所有者权益合 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47,112,000.00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591,071,627.34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22,772,729.30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141,247,524.07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802,713,880.71</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上期金额</w:t>
      </w:r>
    </w:p>
    <w:p>
      <w:pPr>
        <w:pStyle w:val="Style14"/>
        <w:keepNext w:val="0"/>
        <w:keepLines w:val="0"/>
        <w:widowControl w:val="0"/>
        <w:shd w:val="clear" w:color="auto" w:fill="auto"/>
        <w:bidi w:val="0"/>
        <w:spacing w:before="0" w:after="0" w:line="240" w:lineRule="auto"/>
        <w:ind w:left="13262" w:right="0" w:firstLine="0"/>
        <w:jc w:val="left"/>
      </w:pPr>
      <w:r>
        <w:rPr>
          <w:color w:val="000000"/>
          <w:spacing w:val="0"/>
          <w:w w:val="100"/>
          <w:position w:val="0"/>
        </w:rPr>
        <w:t>单位：元</w:t>
      </w:r>
    </w:p>
    <w:tbl>
      <w:tblPr>
        <w:tblOverlap w:val="never"/>
        <w:jc w:val="center"/>
        <w:tblLayout w:type="fixed"/>
      </w:tblPr>
      <w:tblGrid>
        <w:gridCol w:w="3504"/>
        <w:gridCol w:w="1090"/>
        <w:gridCol w:w="581"/>
        <w:gridCol w:w="576"/>
        <w:gridCol w:w="408"/>
        <w:gridCol w:w="1094"/>
        <w:gridCol w:w="931"/>
        <w:gridCol w:w="1123"/>
        <w:gridCol w:w="754"/>
        <w:gridCol w:w="1090"/>
        <w:gridCol w:w="1152"/>
        <w:gridCol w:w="408"/>
        <w:gridCol w:w="13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 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所有者权益合 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92,588,975.34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12,610,504.90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63,921,104.51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204,454,584.75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04"/>
        <w:gridCol w:w="1090"/>
        <w:gridCol w:w="581"/>
        <w:gridCol w:w="576"/>
        <w:gridCol w:w="408"/>
        <w:gridCol w:w="1094"/>
        <w:gridCol w:w="931"/>
        <w:gridCol w:w="1123"/>
        <w:gridCol w:w="754"/>
        <w:gridCol w:w="1090"/>
        <w:gridCol w:w="1152"/>
        <w:gridCol w:w="408"/>
        <w:gridCol w:w="1320"/>
      </w:tblGrid>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35,334,000.00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92,588,975.34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12,610,504.90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63,921,104.51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204,454,584.75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5,049,727.98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31,313,951.81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36,873,679.79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50,497,279.79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51,007,279.79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5,049,727.98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-19,183,327.98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-14,133,600.00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5,049,727.98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-5,049,727.98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-14,133,600.00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-14,133,600.00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04"/>
        <w:gridCol w:w="1090"/>
        <w:gridCol w:w="581"/>
        <w:gridCol w:w="576"/>
        <w:gridCol w:w="408"/>
        <w:gridCol w:w="1094"/>
        <w:gridCol w:w="931"/>
        <w:gridCol w:w="1123"/>
        <w:gridCol w:w="754"/>
        <w:gridCol w:w="1090"/>
        <w:gridCol w:w="1152"/>
        <w:gridCol w:w="408"/>
        <w:gridCol w:w="1320"/>
      </w:tblGrid>
      <w:tr>
        <w:trPr>
          <w:trHeight w:val="437"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35,334,000.00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92,588,975.34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17,660,232.88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95,235,056.32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241,328,264.54</w:t>
            </w:r>
          </w:p>
        </w:tc>
      </w:tr>
    </w:tbl>
    <w:p>
      <w:pPr>
        <w:sectPr>
          <w:footnotePr>
            <w:pos w:val="pageBottom"/>
            <w:numFmt w:val="decimal"/>
            <w:numRestart w:val="continuous"/>
          </w:footnotePr>
          <w:pgSz w:w="16840" w:h="11900" w:orient="landscape"/>
          <w:pgMar w:top="1096" w:right="1402" w:bottom="1200" w:left="1407" w:header="0" w:footer="3" w:gutter="0"/>
          <w:cols w:space="720"/>
          <w:noEndnote/>
          <w:rtlGutter w:val="0"/>
          <w:docGrid w:linePitch="360"/>
        </w:sect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145" w:right="0" w:bottom="1150" w:left="0" w:header="0" w:footer="3" w:gutter="0"/>
          <w:cols w:space="720"/>
          <w:noEndnote/>
          <w:rtlGutter w:val="0"/>
          <w:docGrid w:linePitch="360"/>
        </w:sectPr>
      </w:pPr>
    </w:p>
    <w:p>
      <w:pPr>
        <w:pStyle w:val="Style21"/>
        <w:keepNext w:val="0"/>
        <w:keepLines w:val="0"/>
        <w:framePr w:w="1666" w:h="235" w:wrap="none" w:vAnchor="text" w:hAnchor="page" w:x="1423" w:y="21"/>
        <w:widowControl w:val="0"/>
        <w:shd w:val="clear" w:color="auto" w:fill="auto"/>
        <w:bidi w:val="0"/>
        <w:spacing w:before="0" w:after="0" w:line="240" w:lineRule="auto"/>
        <w:ind w:left="0" w:right="0" w:firstLine="0"/>
        <w:jc w:val="left"/>
      </w:pPr>
      <w:r>
        <w:rPr>
          <w:color w:val="000000"/>
          <w:spacing w:val="0"/>
          <w:w w:val="100"/>
          <w:position w:val="0"/>
        </w:rPr>
        <w:t>法定代表人：林明玲</w:t>
      </w:r>
    </w:p>
    <w:p>
      <w:pPr>
        <w:pStyle w:val="Style21"/>
        <w:keepNext w:val="0"/>
        <w:keepLines w:val="0"/>
        <w:framePr w:w="2376" w:h="230" w:wrap="none" w:vAnchor="text" w:hAnchor="page" w:x="7456" w:y="21"/>
        <w:widowControl w:val="0"/>
        <w:shd w:val="clear" w:color="auto" w:fill="auto"/>
        <w:bidi w:val="0"/>
        <w:spacing w:before="0" w:after="0" w:line="240" w:lineRule="auto"/>
        <w:ind w:left="0" w:right="0" w:firstLine="0"/>
        <w:jc w:val="left"/>
      </w:pPr>
      <w:r>
        <w:rPr>
          <w:color w:val="000000"/>
          <w:spacing w:val="0"/>
          <w:w w:val="100"/>
          <w:position w:val="0"/>
        </w:rPr>
        <w:t>主管会计工作负责人：李华青</w:t>
      </w:r>
    </w:p>
    <w:p>
      <w:pPr>
        <w:pStyle w:val="Style21"/>
        <w:keepNext w:val="0"/>
        <w:keepLines w:val="0"/>
        <w:framePr w:w="2026" w:h="235" w:wrap="none" w:vAnchor="text" w:hAnchor="page" w:x="13211" w:y="21"/>
        <w:widowControl w:val="0"/>
        <w:shd w:val="clear" w:color="auto" w:fill="auto"/>
        <w:bidi w:val="0"/>
        <w:spacing w:before="0" w:after="0" w:line="240" w:lineRule="auto"/>
        <w:ind w:left="0" w:right="0" w:firstLine="0"/>
        <w:jc w:val="left"/>
      </w:pPr>
      <w:r>
        <w:rPr>
          <w:color w:val="000000"/>
          <w:spacing w:val="0"/>
          <w:w w:val="100"/>
          <w:position w:val="0"/>
        </w:rPr>
        <w:t>会计机构负责人：赖宏伟</w:t>
      </w:r>
    </w:p>
    <w:p>
      <w:pPr>
        <w:widowControl w:val="0"/>
        <w:spacing w:after="234" w:line="1" w:lineRule="exact"/>
      </w:pPr>
    </w:p>
    <w:p>
      <w:pPr>
        <w:widowControl w:val="0"/>
        <w:spacing w:line="1" w:lineRule="exact"/>
        <w:sectPr>
          <w:footnotePr>
            <w:pos w:val="pageBottom"/>
            <w:numFmt w:val="decimal"/>
            <w:numRestart w:val="continuous"/>
          </w:footnotePr>
          <w:type w:val="continuous"/>
          <w:pgSz w:w="16840" w:h="11900" w:orient="landscape"/>
          <w:pgMar w:top="1145" w:right="1402" w:bottom="1150" w:left="1407" w:header="0" w:footer="3" w:gutter="0"/>
          <w:cols w:space="720"/>
          <w:noEndnote/>
          <w:rtlGutter w:val="0"/>
          <w:docGrid w:linePitch="360"/>
        </w:sectPr>
      </w:pPr>
    </w:p>
    <w:p>
      <w:pPr>
        <w:pStyle w:val="Style25"/>
        <w:keepNext/>
        <w:keepLines/>
        <w:widowControl w:val="0"/>
        <w:shd w:val="clear" w:color="auto" w:fill="auto"/>
        <w:bidi w:val="0"/>
        <w:spacing w:before="200" w:after="380" w:line="240" w:lineRule="auto"/>
        <w:ind w:left="0" w:right="0" w:firstLine="0"/>
        <w:jc w:val="left"/>
      </w:pPr>
      <w:bookmarkStart w:id="720" w:name="bookmark720"/>
      <w:bookmarkStart w:id="721" w:name="bookmark721"/>
      <w:bookmarkStart w:id="722" w:name="bookmark722"/>
      <w:r>
        <w:rPr>
          <w:color w:val="000000"/>
          <w:spacing w:val="0"/>
          <w:w w:val="100"/>
          <w:position w:val="0"/>
        </w:rPr>
        <w:t>三、公司基本情况</w:t>
      </w:r>
      <w:bookmarkEnd w:id="720"/>
      <w:bookmarkEnd w:id="721"/>
      <w:bookmarkEnd w:id="722"/>
    </w:p>
    <w:p>
      <w:pPr>
        <w:pStyle w:val="Style31"/>
        <w:keepNext w:val="0"/>
        <w:keepLines w:val="0"/>
        <w:widowControl w:val="0"/>
        <w:numPr>
          <w:ilvl w:val="0"/>
          <w:numId w:val="119"/>
        </w:numPr>
        <w:shd w:val="clear" w:color="auto" w:fill="auto"/>
        <w:tabs>
          <w:tab w:pos="774" w:val="left"/>
        </w:tabs>
        <w:bidi w:val="0"/>
        <w:spacing w:before="0" w:after="60" w:line="326" w:lineRule="auto"/>
        <w:ind w:left="0" w:right="0" w:firstLine="440"/>
        <w:jc w:val="both"/>
      </w:pPr>
      <w:bookmarkStart w:id="723" w:name="bookmark723"/>
      <w:bookmarkEnd w:id="723"/>
      <w:r>
        <w:rPr>
          <w:b/>
          <w:bCs/>
          <w:color w:val="000000"/>
          <w:spacing w:val="0"/>
          <w:w w:val="100"/>
          <w:position w:val="0"/>
        </w:rPr>
        <w:t>公司概况</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公司名称：广东天亿马信息产业股份有限公司</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公司住所：汕头市嵩山路南</w:t>
      </w:r>
      <w:r>
        <w:rPr>
          <w:rFonts w:ascii="Times New Roman" w:eastAsia="Times New Roman" w:hAnsi="Times New Roman" w:cs="Times New Roman"/>
          <w:color w:val="000000"/>
          <w:spacing w:val="0"/>
          <w:w w:val="100"/>
          <w:position w:val="0"/>
        </w:rPr>
        <w:t>20</w:t>
      </w:r>
      <w:r>
        <w:rPr>
          <w:color w:val="000000"/>
          <w:spacing w:val="0"/>
          <w:w w:val="100"/>
          <w:position w:val="0"/>
        </w:rPr>
        <w:t>号天澜国际大厦西塔</w:t>
      </w:r>
      <w:r>
        <w:rPr>
          <w:rFonts w:ascii="Times New Roman" w:eastAsia="Times New Roman" w:hAnsi="Times New Roman" w:cs="Times New Roman"/>
          <w:color w:val="000000"/>
          <w:spacing w:val="0"/>
          <w:w w:val="100"/>
          <w:position w:val="0"/>
        </w:rPr>
        <w:t>2111-2112</w:t>
      </w:r>
      <w:r>
        <w:rPr>
          <w:color w:val="000000"/>
          <w:spacing w:val="0"/>
          <w:w w:val="100"/>
          <w:position w:val="0"/>
        </w:rPr>
        <w:t>房</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法定代表人：林明玲</w:t>
      </w:r>
    </w:p>
    <w:p>
      <w:pPr>
        <w:pStyle w:val="Style31"/>
        <w:keepNext w:val="0"/>
        <w:keepLines w:val="0"/>
        <w:widowControl w:val="0"/>
        <w:shd w:val="clear" w:color="auto" w:fill="auto"/>
        <w:bidi w:val="0"/>
        <w:spacing w:before="0" w:after="220" w:line="312" w:lineRule="exact"/>
        <w:ind w:left="0" w:right="0" w:firstLine="440"/>
        <w:jc w:val="both"/>
      </w:pPr>
      <w:r>
        <w:rPr>
          <w:color w:val="000000"/>
          <w:spacing w:val="0"/>
          <w:w w:val="100"/>
          <w:position w:val="0"/>
        </w:rPr>
        <w:t>注册资本：人民币肆仟柒佰壹拾壹万贰仟元</w:t>
      </w:r>
    </w:p>
    <w:p>
      <w:pPr>
        <w:pStyle w:val="Style64"/>
        <w:keepNext w:val="0"/>
        <w:keepLines w:val="0"/>
        <w:widowControl w:val="0"/>
        <w:shd w:val="clear" w:color="auto" w:fill="auto"/>
        <w:bidi w:val="0"/>
        <w:spacing w:before="0" w:line="240" w:lineRule="auto"/>
        <w:ind w:left="0" w:right="0"/>
        <w:jc w:val="both"/>
      </w:pPr>
      <w:r>
        <w:rPr>
          <w:rFonts w:ascii="SimSun" w:eastAsia="SimSun" w:hAnsi="SimSun" w:cs="SimSun"/>
          <w:color w:val="000000"/>
          <w:spacing w:val="0"/>
          <w:w w:val="100"/>
          <w:position w:val="0"/>
        </w:rPr>
        <w:t>统一社会信用代码：</w:t>
      </w:r>
      <w:r>
        <w:rPr>
          <w:color w:val="000000"/>
          <w:spacing w:val="0"/>
          <w:w w:val="100"/>
          <w:position w:val="0"/>
        </w:rPr>
        <w:t>914405007080295548</w:t>
      </w:r>
    </w:p>
    <w:p>
      <w:pPr>
        <w:pStyle w:val="Style31"/>
        <w:keepNext w:val="0"/>
        <w:keepLines w:val="0"/>
        <w:widowControl w:val="0"/>
        <w:numPr>
          <w:ilvl w:val="0"/>
          <w:numId w:val="119"/>
        </w:numPr>
        <w:shd w:val="clear" w:color="auto" w:fill="auto"/>
        <w:tabs>
          <w:tab w:pos="784" w:val="left"/>
        </w:tabs>
        <w:bidi w:val="0"/>
        <w:spacing w:before="0" w:after="60" w:line="326" w:lineRule="auto"/>
        <w:ind w:left="0" w:right="0" w:firstLine="440"/>
        <w:jc w:val="both"/>
      </w:pPr>
      <w:bookmarkStart w:id="724" w:name="bookmark724"/>
      <w:bookmarkEnd w:id="724"/>
      <w:r>
        <w:rPr>
          <w:b/>
          <w:bCs/>
          <w:color w:val="000000"/>
          <w:spacing w:val="0"/>
          <w:w w:val="100"/>
          <w:position w:val="0"/>
        </w:rPr>
        <w:t>历史沿革</w:t>
      </w:r>
    </w:p>
    <w:p>
      <w:pPr>
        <w:pStyle w:val="Style31"/>
        <w:keepNext w:val="0"/>
        <w:keepLines w:val="0"/>
        <w:widowControl w:val="0"/>
        <w:shd w:val="clear" w:color="auto" w:fill="auto"/>
        <w:bidi w:val="0"/>
        <w:spacing w:before="0" w:line="305" w:lineRule="exact"/>
        <w:ind w:left="0" w:right="0" w:firstLine="440"/>
        <w:jc w:val="both"/>
      </w:pPr>
      <w:r>
        <w:rPr>
          <w:color w:val="000000"/>
          <w:spacing w:val="0"/>
          <w:w w:val="100"/>
          <w:position w:val="0"/>
        </w:rPr>
        <w:t>广东天亿马信息产业股份有限公司（以下简称“公司”或“本公司”），系在广东天亿马信息产业有 限公司的基础上整体变更设立，于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日在汕头市市场监督管理局登记注册，取得统一社会信用 代码</w:t>
      </w:r>
      <w:r>
        <w:rPr>
          <w:rFonts w:ascii="Times New Roman" w:eastAsia="Times New Roman" w:hAnsi="Times New Roman" w:cs="Times New Roman"/>
          <w:color w:val="000000"/>
          <w:spacing w:val="0"/>
          <w:w w:val="100"/>
          <w:position w:val="0"/>
        </w:rPr>
        <w:t>914405007080295548</w:t>
      </w:r>
      <w:r>
        <w:rPr>
          <w:color w:val="000000"/>
          <w:spacing w:val="0"/>
          <w:w w:val="100"/>
          <w:position w:val="0"/>
        </w:rPr>
        <w:t>的营业执照，登记的注册资本为人民币</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,231.1111</w:t>
      </w:r>
      <w:r>
        <w:rPr>
          <w:color w:val="000000"/>
          <w:spacing w:val="0"/>
          <w:w w:val="100"/>
          <w:position w:val="0"/>
        </w:rPr>
        <w:t>万元。</w:t>
      </w:r>
    </w:p>
    <w:p>
      <w:pPr>
        <w:pStyle w:val="Style31"/>
        <w:keepNext w:val="0"/>
        <w:keepLines w:val="0"/>
        <w:widowControl w:val="0"/>
        <w:shd w:val="clear" w:color="auto" w:fill="auto"/>
        <w:bidi w:val="0"/>
        <w:spacing w:before="0" w:line="322"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日召开的股东大会决议、修改后章程的规定，公司申请增加注册资本</w:t>
      </w:r>
      <w:r>
        <w:rPr>
          <w:rFonts w:ascii="Times New Roman" w:eastAsia="Times New Roman" w:hAnsi="Times New Roman" w:cs="Times New Roman"/>
          <w:color w:val="000000"/>
          <w:spacing w:val="0"/>
          <w:w w:val="100"/>
          <w:position w:val="0"/>
        </w:rPr>
        <w:t xml:space="preserve">247.9012 </w:t>
      </w:r>
      <w:r>
        <w:rPr>
          <w:color w:val="000000"/>
          <w:spacing w:val="0"/>
          <w:w w:val="100"/>
          <w:position w:val="0"/>
        </w:rPr>
        <w:t>万元，由深圳市乐成投资咨询企业（有限合伙）认缴出资</w:t>
      </w:r>
      <w:r>
        <w:rPr>
          <w:rFonts w:ascii="Times New Roman" w:eastAsia="Times New Roman" w:hAnsi="Times New Roman" w:cs="Times New Roman"/>
          <w:color w:val="000000"/>
          <w:spacing w:val="0"/>
          <w:w w:val="100"/>
          <w:position w:val="0"/>
        </w:rPr>
        <w:t>247.9012</w:t>
      </w:r>
      <w:r>
        <w:rPr>
          <w:color w:val="000000"/>
          <w:spacing w:val="0"/>
          <w:w w:val="100"/>
          <w:position w:val="0"/>
        </w:rPr>
        <w:t>万元，变更后公司注册资本为</w:t>
      </w:r>
      <w:r>
        <w:rPr>
          <w:rFonts w:ascii="Times New Roman" w:eastAsia="Times New Roman" w:hAnsi="Times New Roman" w:cs="Times New Roman"/>
          <w:color w:val="000000"/>
          <w:spacing w:val="0"/>
          <w:w w:val="100"/>
          <w:position w:val="0"/>
        </w:rPr>
        <w:t xml:space="preserve">2,479.0123 </w:t>
      </w:r>
      <w:r>
        <w:rPr>
          <w:color w:val="000000"/>
          <w:spacing w:val="0"/>
          <w:w w:val="100"/>
          <w:position w:val="0"/>
        </w:rPr>
        <w:t>万元。</w:t>
      </w:r>
    </w:p>
    <w:p>
      <w:pPr>
        <w:pStyle w:val="Style31"/>
        <w:keepNext w:val="0"/>
        <w:keepLines w:val="0"/>
        <w:widowControl w:val="0"/>
        <w:shd w:val="clear" w:color="auto" w:fill="auto"/>
        <w:bidi w:val="0"/>
        <w:spacing w:before="0" w:line="310"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日召开的股东大会决议、修改后章程的规定，公司申请增加注册资本</w:t>
      </w:r>
      <w:r>
        <w:rPr>
          <w:rFonts w:ascii="Times New Roman" w:eastAsia="Times New Roman" w:hAnsi="Times New Roman" w:cs="Times New Roman"/>
          <w:color w:val="000000"/>
          <w:spacing w:val="0"/>
          <w:w w:val="100"/>
          <w:position w:val="0"/>
        </w:rPr>
        <w:t>700.9875</w:t>
      </w:r>
      <w:r>
        <w:rPr>
          <w:color w:val="000000"/>
          <w:spacing w:val="0"/>
          <w:w w:val="100"/>
          <w:position w:val="0"/>
        </w:rPr>
        <w:t>万 元，公司以</w:t>
      </w:r>
      <w:r>
        <w:rPr>
          <w:rFonts w:ascii="Times New Roman" w:eastAsia="Times New Roman" w:hAnsi="Times New Roman" w:cs="Times New Roman"/>
          <w:color w:val="000000"/>
          <w:spacing w:val="0"/>
          <w:w w:val="100"/>
          <w:position w:val="0"/>
        </w:rPr>
        <w:t>2015</w:t>
      </w:r>
      <w:r>
        <w:rPr>
          <w:color w:val="000000"/>
          <w:spacing w:val="0"/>
          <w:w w:val="100"/>
          <w:position w:val="0"/>
        </w:rPr>
        <w:t>年年度股东大会股权登记日的总股本</w:t>
      </w:r>
      <w:r>
        <w:rPr>
          <w:rFonts w:ascii="Times New Roman" w:eastAsia="Times New Roman" w:hAnsi="Times New Roman" w:cs="Times New Roman"/>
          <w:color w:val="000000"/>
          <w:spacing w:val="0"/>
          <w:w w:val="100"/>
          <w:position w:val="0"/>
        </w:rPr>
        <w:t>24,790,123</w:t>
      </w:r>
      <w:r>
        <w:rPr>
          <w:color w:val="000000"/>
          <w:spacing w:val="0"/>
          <w:w w:val="100"/>
          <w:position w:val="0"/>
        </w:rPr>
        <w:t>股为基数，以资本公积向全体股东每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 转增</w:t>
      </w:r>
      <w:r>
        <w:rPr>
          <w:rFonts w:ascii="Times New Roman" w:eastAsia="Times New Roman" w:hAnsi="Times New Roman" w:cs="Times New Roman"/>
          <w:color w:val="000000"/>
          <w:spacing w:val="0"/>
          <w:w w:val="100"/>
          <w:position w:val="0"/>
        </w:rPr>
        <w:t>2.827689</w:t>
      </w:r>
      <w:r>
        <w:rPr>
          <w:color w:val="000000"/>
          <w:spacing w:val="0"/>
          <w:w w:val="100"/>
          <w:position w:val="0"/>
        </w:rPr>
        <w:t>股，共计转增</w:t>
      </w:r>
      <w:r>
        <w:rPr>
          <w:rFonts w:ascii="Times New Roman" w:eastAsia="Times New Roman" w:hAnsi="Times New Roman" w:cs="Times New Roman"/>
          <w:color w:val="000000"/>
          <w:spacing w:val="0"/>
          <w:w w:val="100"/>
          <w:position w:val="0"/>
        </w:rPr>
        <w:t>7,009,875</w:t>
      </w:r>
      <w:r>
        <w:rPr>
          <w:color w:val="000000"/>
          <w:spacing w:val="0"/>
          <w:w w:val="100"/>
          <w:position w:val="0"/>
        </w:rPr>
        <w:t>股，变更后公司注册资本为</w:t>
      </w:r>
      <w:r>
        <w:rPr>
          <w:rFonts w:ascii="Times New Roman" w:eastAsia="Times New Roman" w:hAnsi="Times New Roman" w:cs="Times New Roman"/>
          <w:color w:val="000000"/>
          <w:spacing w:val="0"/>
          <w:w w:val="100"/>
          <w:position w:val="0"/>
        </w:rPr>
        <w:t>3,179.9998</w:t>
      </w:r>
      <w:r>
        <w:rPr>
          <w:color w:val="000000"/>
          <w:spacing w:val="0"/>
          <w:w w:val="100"/>
          <w:position w:val="0"/>
        </w:rPr>
        <w:t>万元。</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日召开的股东大会决议、修改后章程的规定，公司申请增加注册资本</w:t>
      </w:r>
      <w:r>
        <w:rPr>
          <w:rFonts w:ascii="Times New Roman" w:eastAsia="Times New Roman" w:hAnsi="Times New Roman" w:cs="Times New Roman"/>
          <w:color w:val="000000"/>
          <w:spacing w:val="0"/>
          <w:w w:val="100"/>
          <w:position w:val="0"/>
        </w:rPr>
        <w:t>353.4002</w:t>
      </w:r>
      <w:r>
        <w:rPr>
          <w:color w:val="000000"/>
          <w:spacing w:val="0"/>
          <w:w w:val="100"/>
          <w:position w:val="0"/>
        </w:rPr>
        <w:t>万 元，由共青城东兴博元投资中心（有限合伙）认缴出资</w:t>
      </w:r>
      <w:r>
        <w:rPr>
          <w:rFonts w:ascii="Times New Roman" w:eastAsia="Times New Roman" w:hAnsi="Times New Roman" w:cs="Times New Roman"/>
          <w:color w:val="000000"/>
          <w:spacing w:val="0"/>
          <w:w w:val="100"/>
          <w:position w:val="0"/>
        </w:rPr>
        <w:t>176.7001</w:t>
      </w:r>
      <w:r>
        <w:rPr>
          <w:color w:val="000000"/>
          <w:spacing w:val="0"/>
          <w:w w:val="100"/>
          <w:position w:val="0"/>
        </w:rPr>
        <w:t>万元、宁波梅山保税港区信度投资中心（有 限合伙）认缴出资</w:t>
      </w:r>
      <w:r>
        <w:rPr>
          <w:rFonts w:ascii="Times New Roman" w:eastAsia="Times New Roman" w:hAnsi="Times New Roman" w:cs="Times New Roman"/>
          <w:color w:val="000000"/>
          <w:spacing w:val="0"/>
          <w:w w:val="100"/>
          <w:position w:val="0"/>
        </w:rPr>
        <w:t>176.7001</w:t>
      </w:r>
      <w:r>
        <w:rPr>
          <w:color w:val="000000"/>
          <w:spacing w:val="0"/>
          <w:w w:val="100"/>
          <w:position w:val="0"/>
        </w:rPr>
        <w:t>万元，变更后公司注册资本为</w:t>
      </w:r>
      <w:r>
        <w:rPr>
          <w:rFonts w:ascii="Times New Roman" w:eastAsia="Times New Roman" w:hAnsi="Times New Roman" w:cs="Times New Roman"/>
          <w:color w:val="000000"/>
          <w:spacing w:val="0"/>
          <w:w w:val="100"/>
          <w:position w:val="0"/>
        </w:rPr>
        <w:t>3,533.4</w:t>
      </w:r>
      <w:r>
        <w:rPr>
          <w:rFonts w:ascii="Times New Roman" w:eastAsia="Times New Roman" w:hAnsi="Times New Roman" w:cs="Times New Roman"/>
          <w:color w:val="000000"/>
          <w:spacing w:val="0"/>
          <w:w w:val="100"/>
          <w:position w:val="0"/>
        </w:rPr>
        <w:t>0</w:t>
      </w:r>
      <w:r>
        <w:rPr>
          <w:color w:val="000000"/>
          <w:spacing w:val="0"/>
          <w:w w:val="100"/>
          <w:position w:val="0"/>
        </w:rPr>
        <w:t>万元。</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4</w:t>
      </w:r>
      <w:r>
        <w:rPr>
          <w:color w:val="000000"/>
          <w:spacing w:val="0"/>
          <w:w w:val="100"/>
          <w:position w:val="0"/>
        </w:rPr>
        <w:t>次临时股东大会决议及中国证券监督管理委员会证监许可</w:t>
      </w:r>
      <w:r>
        <w:rPr>
          <w:rFonts w:ascii="Times New Roman" w:eastAsia="Times New Roman" w:hAnsi="Times New Roman" w:cs="Times New Roman"/>
          <w:color w:val="000000"/>
          <w:spacing w:val="0"/>
          <w:w w:val="100"/>
          <w:position w:val="0"/>
        </w:rPr>
        <w:t>[2021]2937</w:t>
      </w:r>
      <w:r>
        <w:rPr>
          <w:color w:val="000000"/>
          <w:spacing w:val="0"/>
          <w:w w:val="100"/>
          <w:position w:val="0"/>
        </w:rPr>
        <w:t>号文《关于同 意广东天亿马信息产业股份有限公司首次公开发行股票注册的批复》，公司于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日采用网上定 价方式公开发行人民币普通股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1,177.80</w:t>
      </w:r>
      <w:r>
        <w:rPr>
          <w:color w:val="000000"/>
          <w:spacing w:val="0"/>
          <w:w w:val="100"/>
          <w:position w:val="0"/>
        </w:rPr>
        <w:t>万股，变更后公司注册资本为</w:t>
      </w:r>
      <w:r>
        <w:rPr>
          <w:rFonts w:ascii="Times New Roman" w:eastAsia="Times New Roman" w:hAnsi="Times New Roman" w:cs="Times New Roman"/>
          <w:color w:val="000000"/>
          <w:spacing w:val="0"/>
          <w:w w:val="100"/>
          <w:position w:val="0"/>
        </w:rPr>
        <w:t>4,711.20</w:t>
      </w:r>
      <w:r>
        <w:rPr>
          <w:color w:val="000000"/>
          <w:spacing w:val="0"/>
          <w:w w:val="100"/>
          <w:position w:val="0"/>
        </w:rPr>
        <w:t>万元。</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日，公司注册资本为人民币</w:t>
      </w:r>
      <w:r>
        <w:rPr>
          <w:rFonts w:ascii="Times New Roman" w:eastAsia="Times New Roman" w:hAnsi="Times New Roman" w:cs="Times New Roman"/>
          <w:color w:val="000000"/>
          <w:spacing w:val="0"/>
          <w:w w:val="100"/>
          <w:position w:val="0"/>
        </w:rPr>
        <w:t>4,711.20</w:t>
      </w:r>
      <w:r>
        <w:rPr>
          <w:color w:val="000000"/>
          <w:spacing w:val="0"/>
          <w:w w:val="100"/>
          <w:position w:val="0"/>
        </w:rPr>
        <w:t>万元。</w:t>
      </w:r>
    </w:p>
    <w:p>
      <w:pPr>
        <w:pStyle w:val="Style31"/>
        <w:keepNext w:val="0"/>
        <w:keepLines w:val="0"/>
        <w:widowControl w:val="0"/>
        <w:numPr>
          <w:ilvl w:val="0"/>
          <w:numId w:val="119"/>
        </w:numPr>
        <w:shd w:val="clear" w:color="auto" w:fill="auto"/>
        <w:tabs>
          <w:tab w:pos="784" w:val="left"/>
        </w:tabs>
        <w:bidi w:val="0"/>
        <w:spacing w:before="0" w:line="312" w:lineRule="exact"/>
        <w:ind w:left="0" w:right="0" w:firstLine="440"/>
        <w:jc w:val="both"/>
      </w:pPr>
      <w:bookmarkStart w:id="725" w:name="bookmark725"/>
      <w:bookmarkEnd w:id="725"/>
      <w:r>
        <w:rPr>
          <w:b/>
          <w:bCs/>
          <w:color w:val="000000"/>
          <w:spacing w:val="0"/>
          <w:w w:val="100"/>
          <w:position w:val="0"/>
        </w:rPr>
        <w:t>业务性质和主要经营活动</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本公司及各子公司（统称“本集团”）主要从事软件和信息技术服务。</w:t>
      </w:r>
    </w:p>
    <w:p>
      <w:pPr>
        <w:pStyle w:val="Style31"/>
        <w:keepNext w:val="0"/>
        <w:keepLines w:val="0"/>
        <w:widowControl w:val="0"/>
        <w:numPr>
          <w:ilvl w:val="0"/>
          <w:numId w:val="119"/>
        </w:numPr>
        <w:shd w:val="clear" w:color="auto" w:fill="auto"/>
        <w:tabs>
          <w:tab w:pos="784" w:val="left"/>
        </w:tabs>
        <w:bidi w:val="0"/>
        <w:spacing w:before="0" w:line="312" w:lineRule="exact"/>
        <w:ind w:left="0" w:right="0" w:firstLine="440"/>
        <w:jc w:val="both"/>
      </w:pPr>
      <w:bookmarkStart w:id="726" w:name="bookmark726"/>
      <w:bookmarkEnd w:id="726"/>
      <w:r>
        <w:rPr>
          <w:b/>
          <w:bCs/>
          <w:color w:val="000000"/>
          <w:spacing w:val="0"/>
          <w:w w:val="100"/>
          <w:position w:val="0"/>
        </w:rPr>
        <w:t>控股股东和实际控制人</w:t>
      </w:r>
    </w:p>
    <w:p>
      <w:pPr>
        <w:pStyle w:val="Style31"/>
        <w:keepNext w:val="0"/>
        <w:keepLines w:val="0"/>
        <w:widowControl w:val="0"/>
        <w:shd w:val="clear" w:color="auto" w:fill="auto"/>
        <w:bidi w:val="0"/>
        <w:spacing w:before="0" w:line="322" w:lineRule="exact"/>
        <w:ind w:left="0" w:right="0" w:firstLine="440"/>
        <w:jc w:val="both"/>
      </w:pPr>
      <w:r>
        <w:rPr>
          <w:color w:val="000000"/>
          <w:spacing w:val="0"/>
          <w:w w:val="100"/>
          <w:position w:val="0"/>
        </w:rPr>
        <w:t>林明玲、马学沛夫妇直接和间接合计持有本公司</w:t>
      </w:r>
      <w:r>
        <w:rPr>
          <w:rFonts w:ascii="Times New Roman" w:eastAsia="Times New Roman" w:hAnsi="Times New Roman" w:cs="Times New Roman"/>
          <w:color w:val="000000"/>
          <w:spacing w:val="0"/>
          <w:w w:val="100"/>
          <w:position w:val="0"/>
        </w:rPr>
        <w:t>34.44%</w:t>
      </w:r>
      <w:r>
        <w:rPr>
          <w:color w:val="000000"/>
          <w:spacing w:val="0"/>
          <w:w w:val="100"/>
          <w:position w:val="0"/>
        </w:rPr>
        <w:t>的股份，为公司控股股东，为公司控股股东和 实际控制人。</w:t>
      </w:r>
    </w:p>
    <w:p>
      <w:pPr>
        <w:pStyle w:val="Style31"/>
        <w:keepNext w:val="0"/>
        <w:keepLines w:val="0"/>
        <w:widowControl w:val="0"/>
        <w:numPr>
          <w:ilvl w:val="0"/>
          <w:numId w:val="119"/>
        </w:numPr>
        <w:shd w:val="clear" w:color="auto" w:fill="auto"/>
        <w:tabs>
          <w:tab w:pos="784" w:val="left"/>
        </w:tabs>
        <w:bidi w:val="0"/>
        <w:spacing w:before="0" w:line="312" w:lineRule="exact"/>
        <w:ind w:left="0" w:right="0" w:firstLine="440"/>
        <w:jc w:val="both"/>
      </w:pPr>
      <w:bookmarkStart w:id="727" w:name="bookmark727"/>
      <w:bookmarkEnd w:id="727"/>
      <w:r>
        <w:rPr>
          <w:b/>
          <w:bCs/>
          <w:color w:val="000000"/>
          <w:spacing w:val="0"/>
          <w:w w:val="100"/>
          <w:position w:val="0"/>
        </w:rPr>
        <w:t>财务报告的批准报出者和批准报出日</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本财务报告业经本公司董事会于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日决议批准报出。</w:t>
      </w:r>
    </w:p>
    <w:p>
      <w:pPr>
        <w:pStyle w:val="Style31"/>
        <w:keepNext w:val="0"/>
        <w:keepLines w:val="0"/>
        <w:widowControl w:val="0"/>
        <w:numPr>
          <w:ilvl w:val="0"/>
          <w:numId w:val="119"/>
        </w:numPr>
        <w:shd w:val="clear" w:color="auto" w:fill="auto"/>
        <w:tabs>
          <w:tab w:pos="784" w:val="left"/>
        </w:tabs>
        <w:bidi w:val="0"/>
        <w:spacing w:before="0" w:line="312" w:lineRule="exact"/>
        <w:ind w:left="0" w:right="0" w:firstLine="440"/>
        <w:jc w:val="both"/>
      </w:pPr>
      <w:bookmarkStart w:id="728" w:name="bookmark728"/>
      <w:bookmarkEnd w:id="728"/>
      <w:r>
        <w:rPr>
          <w:b/>
          <w:bCs/>
          <w:color w:val="000000"/>
          <w:spacing w:val="0"/>
          <w:w w:val="100"/>
          <w:position w:val="0"/>
        </w:rPr>
        <w:t>合并财务报表范围及其变化情况</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日，本集团纳入合并范围的子公司共</w:t>
      </w:r>
      <w:r>
        <w:rPr>
          <w:rFonts w:ascii="Times New Roman" w:eastAsia="Times New Roman" w:hAnsi="Times New Roman" w:cs="Times New Roman"/>
          <w:color w:val="000000"/>
          <w:spacing w:val="0"/>
          <w:w w:val="100"/>
          <w:position w:val="0"/>
        </w:rPr>
        <w:t>5</w:t>
      </w:r>
      <w:r>
        <w:rPr>
          <w:color w:val="000000"/>
          <w:spacing w:val="0"/>
          <w:w w:val="100"/>
          <w:position w:val="0"/>
        </w:rPr>
        <w:t>户，详见本节九、“在其他主体中的权益”。</w:t>
      </w:r>
    </w:p>
    <w:p>
      <w:pPr>
        <w:pStyle w:val="Style31"/>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本集团本年合并范围与上年相比未发生变化。</w:t>
      </w:r>
    </w:p>
    <w:p>
      <w:pPr>
        <w:pStyle w:val="Style25"/>
        <w:keepNext/>
        <w:keepLines/>
        <w:widowControl w:val="0"/>
        <w:shd w:val="clear" w:color="auto" w:fill="auto"/>
        <w:tabs>
          <w:tab w:pos="498" w:val="left"/>
        </w:tabs>
        <w:bidi w:val="0"/>
        <w:spacing w:before="0" w:after="380" w:line="240" w:lineRule="auto"/>
        <w:ind w:left="0" w:right="0" w:firstLine="0"/>
        <w:jc w:val="both"/>
      </w:pPr>
      <w:bookmarkStart w:id="729" w:name="bookmark729"/>
      <w:bookmarkStart w:id="730" w:name="bookmark730"/>
      <w:bookmarkStart w:id="731" w:name="bookmark731"/>
      <w:bookmarkStart w:id="732" w:name="bookmark732"/>
      <w:r>
        <w:rPr>
          <w:color w:val="000000"/>
          <w:spacing w:val="0"/>
          <w:w w:val="100"/>
          <w:position w:val="0"/>
        </w:rPr>
        <w:t>四</w:t>
      </w:r>
      <w:bookmarkEnd w:id="731"/>
      <w:r>
        <w:rPr>
          <w:color w:val="000000"/>
          <w:spacing w:val="0"/>
          <w:w w:val="100"/>
          <w:position w:val="0"/>
        </w:rPr>
        <w:t>、</w:t>
        <w:tab/>
        <w:t>财务报表的编制基础</w:t>
      </w:r>
      <w:bookmarkEnd w:id="729"/>
      <w:bookmarkEnd w:id="730"/>
      <w:bookmarkEnd w:id="732"/>
    </w:p>
    <w:p>
      <w:pPr>
        <w:pStyle w:val="Style28"/>
        <w:keepNext/>
        <w:keepLines/>
        <w:widowControl w:val="0"/>
        <w:shd w:val="clear" w:color="auto" w:fill="auto"/>
        <w:bidi w:val="0"/>
        <w:spacing w:before="0" w:after="200" w:line="324" w:lineRule="auto"/>
        <w:ind w:left="0" w:right="0" w:firstLine="0"/>
        <w:jc w:val="both"/>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1</w:t>
      </w:r>
      <w:bookmarkEnd w:id="735"/>
      <w:r>
        <w:rPr>
          <w:color w:val="000000"/>
          <w:spacing w:val="0"/>
          <w:w w:val="100"/>
          <w:position w:val="0"/>
        </w:rPr>
        <w:t>、编制基础</w:t>
      </w:r>
      <w:bookmarkEnd w:id="733"/>
      <w:bookmarkEnd w:id="734"/>
      <w:bookmarkEnd w:id="736"/>
    </w:p>
    <w:p>
      <w:pPr>
        <w:pStyle w:val="Style3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本集团财务报表以持续经营假设为基础，根据实际发生的交易和事项，按照财政部发布的《企业会计 准则一基本准则》（财政部令第</w:t>
      </w:r>
      <w:r>
        <w:rPr>
          <w:rFonts w:ascii="Times New Roman" w:eastAsia="Times New Roman" w:hAnsi="Times New Roman" w:cs="Times New Roman"/>
          <w:color w:val="000000"/>
          <w:spacing w:val="0"/>
          <w:w w:val="100"/>
          <w:position w:val="0"/>
        </w:rPr>
        <w:t>33</w:t>
      </w:r>
      <w:r>
        <w:rPr>
          <w:color w:val="000000"/>
          <w:spacing w:val="0"/>
          <w:w w:val="100"/>
          <w:position w:val="0"/>
        </w:rPr>
        <w:t>号发布、财政部令第</w:t>
      </w:r>
      <w:r>
        <w:rPr>
          <w:rFonts w:ascii="Times New Roman" w:eastAsia="Times New Roman" w:hAnsi="Times New Roman" w:cs="Times New Roman"/>
          <w:color w:val="000000"/>
          <w:spacing w:val="0"/>
          <w:w w:val="100"/>
          <w:position w:val="0"/>
        </w:rPr>
        <w:t>76</w:t>
      </w:r>
      <w:r>
        <w:rPr>
          <w:color w:val="000000"/>
          <w:spacing w:val="0"/>
          <w:w w:val="100"/>
          <w:position w:val="0"/>
        </w:rPr>
        <w:t>号修订）、于</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日及其后颁布和修 订的</w:t>
      </w:r>
      <w:r>
        <w:rPr>
          <w:rFonts w:ascii="Times New Roman" w:eastAsia="Times New Roman" w:hAnsi="Times New Roman" w:cs="Times New Roman"/>
          <w:color w:val="000000"/>
          <w:spacing w:val="0"/>
          <w:w w:val="100"/>
          <w:position w:val="0"/>
        </w:rPr>
        <w:t>41</w:t>
      </w:r>
      <w:r>
        <w:rPr>
          <w:color w:val="000000"/>
          <w:spacing w:val="0"/>
          <w:w w:val="100"/>
          <w:position w:val="0"/>
        </w:rPr>
        <w:t>项具体会计准则、企业会计准则应用指南、企业会计准则解释及其他相关规定（以下合称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 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 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年修订）》的披露规定编制。</w:t>
      </w:r>
    </w:p>
    <w:p>
      <w:pPr>
        <w:pStyle w:val="Style31"/>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根据企业会计准则的相关规定，本集团会计核算以权责发生制为基础。除某些金融工具外，本财务报 表均以历史成本为计量基础。资产如果发生减值，则按照相关规定计提相应的减值准备。</w:t>
      </w:r>
    </w:p>
    <w:p>
      <w:pPr>
        <w:pStyle w:val="Style25"/>
        <w:keepNext/>
        <w:keepLines/>
        <w:widowControl w:val="0"/>
        <w:shd w:val="clear" w:color="auto" w:fill="auto"/>
        <w:tabs>
          <w:tab w:pos="517" w:val="left"/>
        </w:tabs>
        <w:bidi w:val="0"/>
        <w:spacing w:before="0" w:after="380" w:line="240" w:lineRule="auto"/>
        <w:ind w:left="0" w:right="0" w:firstLine="0"/>
        <w:jc w:val="left"/>
      </w:pPr>
      <w:bookmarkStart w:id="737" w:name="bookmark737"/>
      <w:bookmarkStart w:id="738" w:name="bookmark738"/>
      <w:bookmarkStart w:id="739" w:name="bookmark739"/>
      <w:bookmarkStart w:id="740" w:name="bookmark740"/>
      <w:r>
        <w:rPr>
          <w:color w:val="000000"/>
          <w:spacing w:val="0"/>
          <w:w w:val="100"/>
          <w:position w:val="0"/>
        </w:rPr>
        <w:t>五</w:t>
      </w:r>
      <w:bookmarkEnd w:id="739"/>
      <w:r>
        <w:rPr>
          <w:color w:val="000000"/>
          <w:spacing w:val="0"/>
          <w:w w:val="100"/>
          <w:position w:val="0"/>
        </w:rPr>
        <w:t>、</w:t>
        <w:tab/>
        <w:t>重要会计政策及会计估计</w:t>
      </w:r>
      <w:bookmarkEnd w:id="737"/>
      <w:bookmarkEnd w:id="738"/>
      <w:bookmarkEnd w:id="740"/>
    </w:p>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具体会计政策和会计估计提示：</w:t>
      </w:r>
    </w:p>
    <w:p>
      <w:pPr>
        <w:pStyle w:val="Style31"/>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本集团根据实际生产经营特点，依据相关企业会计准则的规定，对收入确认等交易和事项制定了若干 项具体会计政策和会计估计，详见本节五、</w:t>
      </w:r>
      <w:r>
        <w:rPr>
          <w:rFonts w:ascii="Times New Roman" w:eastAsia="Times New Roman" w:hAnsi="Times New Roman" w:cs="Times New Roman"/>
          <w:color w:val="000000"/>
          <w:spacing w:val="0"/>
          <w:w w:val="100"/>
          <w:position w:val="0"/>
        </w:rPr>
        <w:t>30</w:t>
      </w:r>
      <w:r>
        <w:rPr>
          <w:color w:val="000000"/>
          <w:spacing w:val="0"/>
          <w:w w:val="100"/>
          <w:position w:val="0"/>
        </w:rPr>
        <w:t>、“收入”各项描述。关于管理层所作出的重大会计判断 和估计的说明，请参阅本节五、</w:t>
      </w:r>
      <w:r>
        <w:rPr>
          <w:rFonts w:ascii="Times New Roman" w:eastAsia="Times New Roman" w:hAnsi="Times New Roman" w:cs="Times New Roman"/>
          <w:color w:val="000000"/>
          <w:spacing w:val="0"/>
          <w:w w:val="100"/>
          <w:position w:val="0"/>
        </w:rPr>
        <w:t>36</w:t>
      </w:r>
      <w:r>
        <w:rPr>
          <w:color w:val="000000"/>
          <w:spacing w:val="0"/>
          <w:w w:val="100"/>
          <w:position w:val="0"/>
        </w:rPr>
        <w:t>、“重大会计判断和估计”。</w:t>
      </w:r>
    </w:p>
    <w:p>
      <w:pPr>
        <w:pStyle w:val="Style28"/>
        <w:keepNext/>
        <w:keepLines/>
        <w:widowControl w:val="0"/>
        <w:shd w:val="clear" w:color="auto" w:fill="auto"/>
        <w:tabs>
          <w:tab w:pos="368" w:val="left"/>
        </w:tabs>
        <w:bidi w:val="0"/>
        <w:spacing w:before="0" w:after="200" w:line="324" w:lineRule="auto"/>
        <w:ind w:left="0" w:right="0" w:firstLine="0"/>
        <w:jc w:val="both"/>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1</w:t>
      </w:r>
      <w:bookmarkEnd w:id="743"/>
      <w:r>
        <w:rPr>
          <w:color w:val="000000"/>
          <w:spacing w:val="0"/>
          <w:w w:val="100"/>
          <w:position w:val="0"/>
        </w:rPr>
        <w:t>、</w:t>
        <w:tab/>
        <w:t>遵循企业会计准则的声明</w:t>
      </w:r>
      <w:bookmarkEnd w:id="741"/>
      <w:bookmarkEnd w:id="742"/>
      <w:bookmarkEnd w:id="744"/>
    </w:p>
    <w:p>
      <w:pPr>
        <w:pStyle w:val="Style31"/>
        <w:keepNext w:val="0"/>
        <w:keepLines w:val="0"/>
        <w:widowControl w:val="0"/>
        <w:shd w:val="clear" w:color="auto" w:fill="auto"/>
        <w:bidi w:val="0"/>
        <w:spacing w:before="0" w:after="380" w:line="315" w:lineRule="exact"/>
        <w:ind w:left="0" w:right="0" w:firstLine="440"/>
        <w:jc w:val="both"/>
      </w:pPr>
      <w:r>
        <w:rPr>
          <w:color w:val="000000"/>
          <w:spacing w:val="0"/>
          <w:w w:val="100"/>
          <w:position w:val="0"/>
        </w:rPr>
        <w:t>本公司编制的财务报表符合企业会计准则的要求，真实、完整地反映了本公司及本集团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日的财务状况及</w:t>
      </w:r>
      <w:r>
        <w:rPr>
          <w:rFonts w:ascii="Times New Roman" w:eastAsia="Times New Roman" w:hAnsi="Times New Roman" w:cs="Times New Roman"/>
          <w:color w:val="000000"/>
          <w:spacing w:val="0"/>
          <w:w w:val="100"/>
          <w:position w:val="0"/>
        </w:rPr>
        <w:t>2021</w:t>
      </w:r>
      <w:r>
        <w:rPr>
          <w:color w:val="000000"/>
          <w:spacing w:val="0"/>
          <w:w w:val="100"/>
          <w:position w:val="0"/>
        </w:rPr>
        <w:t>年度的经营成果和现金流量等有关信息。此外，本公司及本集团的财务报表在所有重 大方面符合中国证券监督管理委员会</w:t>
      </w:r>
      <w:r>
        <w:rPr>
          <w:rFonts w:ascii="Times New Roman" w:eastAsia="Times New Roman" w:hAnsi="Times New Roman" w:cs="Times New Roman"/>
          <w:color w:val="000000"/>
          <w:spacing w:val="0"/>
          <w:w w:val="100"/>
          <w:position w:val="0"/>
        </w:rPr>
        <w:t>2014</w:t>
      </w:r>
      <w:r>
        <w:rPr>
          <w:color w:val="000000"/>
          <w:spacing w:val="0"/>
          <w:w w:val="100"/>
          <w:position w:val="0"/>
        </w:rPr>
        <w:t>年修订的《公开发行证券的公司信息披露编报规则第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号——财 务报告的一般规定》有关财务报表及其附注的披露要求。</w:t>
      </w:r>
    </w:p>
    <w:p>
      <w:pPr>
        <w:pStyle w:val="Style28"/>
        <w:keepNext/>
        <w:keepLines/>
        <w:widowControl w:val="0"/>
        <w:shd w:val="clear" w:color="auto" w:fill="auto"/>
        <w:tabs>
          <w:tab w:pos="378" w:val="left"/>
        </w:tabs>
        <w:bidi w:val="0"/>
        <w:spacing w:before="0" w:after="200" w:line="324" w:lineRule="auto"/>
        <w:ind w:left="0" w:right="0" w:firstLine="0"/>
        <w:jc w:val="both"/>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2</w:t>
      </w:r>
      <w:bookmarkEnd w:id="747"/>
      <w:r>
        <w:rPr>
          <w:color w:val="000000"/>
          <w:spacing w:val="0"/>
          <w:w w:val="100"/>
          <w:position w:val="0"/>
        </w:rPr>
        <w:t>、</w:t>
        <w:tab/>
        <w:t>会计期间</w:t>
      </w:r>
      <w:bookmarkEnd w:id="745"/>
      <w:bookmarkEnd w:id="746"/>
      <w:bookmarkEnd w:id="748"/>
    </w:p>
    <w:p>
      <w:pPr>
        <w:pStyle w:val="Style31"/>
        <w:keepNext w:val="0"/>
        <w:keepLines w:val="0"/>
        <w:widowControl w:val="0"/>
        <w:shd w:val="clear" w:color="auto" w:fill="auto"/>
        <w:bidi w:val="0"/>
        <w:spacing w:before="0" w:after="380" w:line="293" w:lineRule="exact"/>
        <w:ind w:left="0" w:right="0" w:firstLine="440"/>
        <w:jc w:val="both"/>
      </w:pPr>
      <w:r>
        <w:rPr>
          <w:color w:val="000000"/>
          <w:spacing w:val="0"/>
          <w:w w:val="100"/>
          <w:position w:val="0"/>
        </w:rPr>
        <w:t>本集团的会计期间分为年度和中期，会计中期指短于一个完整的会计年度的报告期间。本集团会计年 度采用公历年度，即每年自</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w:t>
      </w:r>
    </w:p>
    <w:p>
      <w:pPr>
        <w:pStyle w:val="Style28"/>
        <w:keepNext/>
        <w:keepLines/>
        <w:widowControl w:val="0"/>
        <w:shd w:val="clear" w:color="auto" w:fill="auto"/>
        <w:tabs>
          <w:tab w:pos="378" w:val="left"/>
        </w:tabs>
        <w:bidi w:val="0"/>
        <w:spacing w:before="0" w:after="200" w:line="324" w:lineRule="auto"/>
        <w:ind w:left="0" w:right="0" w:firstLine="0"/>
        <w:jc w:val="both"/>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3</w:t>
      </w:r>
      <w:bookmarkEnd w:id="751"/>
      <w:r>
        <w:rPr>
          <w:color w:val="000000"/>
          <w:spacing w:val="0"/>
          <w:w w:val="100"/>
          <w:position w:val="0"/>
        </w:rPr>
        <w:t>、</w:t>
        <w:tab/>
        <w:t>营业周期</w:t>
      </w:r>
      <w:bookmarkEnd w:id="749"/>
      <w:bookmarkEnd w:id="750"/>
      <w:bookmarkEnd w:id="752"/>
    </w:p>
    <w:p>
      <w:pPr>
        <w:pStyle w:val="Style31"/>
        <w:keepNext w:val="0"/>
        <w:keepLines w:val="0"/>
        <w:widowControl w:val="0"/>
        <w:shd w:val="clear" w:color="auto" w:fill="auto"/>
        <w:bidi w:val="0"/>
        <w:spacing w:before="0" w:after="380" w:line="288" w:lineRule="exact"/>
        <w:ind w:left="0" w:right="0" w:firstLine="440"/>
        <w:jc w:val="both"/>
      </w:pPr>
      <w:r>
        <w:rPr>
          <w:color w:val="000000"/>
          <w:spacing w:val="0"/>
          <w:w w:val="100"/>
          <w:position w:val="0"/>
        </w:rPr>
        <w:t>正常营业周期是指本集团从购买用于加工的资产起至实现现金或现金等价物的期间。本集团以</w:t>
      </w:r>
      <w:r>
        <w:rPr>
          <w:rFonts w:ascii="Times New Roman" w:eastAsia="Times New Roman" w:hAnsi="Times New Roman" w:cs="Times New Roman"/>
          <w:color w:val="000000"/>
          <w:spacing w:val="0"/>
          <w:w w:val="100"/>
          <w:position w:val="0"/>
        </w:rPr>
        <w:t>12</w:t>
      </w:r>
      <w:r>
        <w:rPr>
          <w:color w:val="000000"/>
          <w:spacing w:val="0"/>
          <w:w w:val="100"/>
          <w:position w:val="0"/>
        </w:rPr>
        <w:t>个月 作为一个营业周期，并以其作为资产和负债的流动性划分标准。</w:t>
      </w:r>
    </w:p>
    <w:p>
      <w:pPr>
        <w:pStyle w:val="Style28"/>
        <w:keepNext/>
        <w:keepLines/>
        <w:widowControl w:val="0"/>
        <w:shd w:val="clear" w:color="auto" w:fill="auto"/>
        <w:tabs>
          <w:tab w:pos="378" w:val="left"/>
        </w:tabs>
        <w:bidi w:val="0"/>
        <w:spacing w:before="0" w:after="200" w:line="324" w:lineRule="auto"/>
        <w:ind w:left="0" w:right="0" w:firstLine="0"/>
        <w:jc w:val="both"/>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4</w:t>
      </w:r>
      <w:bookmarkEnd w:id="755"/>
      <w:r>
        <w:rPr>
          <w:color w:val="000000"/>
          <w:spacing w:val="0"/>
          <w:w w:val="100"/>
          <w:position w:val="0"/>
        </w:rPr>
        <w:t>、</w:t>
        <w:tab/>
        <w:t>记账本位币</w:t>
      </w:r>
      <w:bookmarkEnd w:id="753"/>
      <w:bookmarkEnd w:id="754"/>
      <w:bookmarkEnd w:id="756"/>
    </w:p>
    <w:p>
      <w:pPr>
        <w:pStyle w:val="Style31"/>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人民币为本公司及境内子公司经营所处的主要经济环境中的货币，本公司及境内子公司以人民币为记 账本位币。本公司之境外子公司根据其经营所处的主要经济环境中的货币确定港币为其记账本位币。本集 团编制本财务报表时所采用的货币为人民币。</w:t>
      </w:r>
    </w:p>
    <w:p>
      <w:pPr>
        <w:pStyle w:val="Style28"/>
        <w:keepNext/>
        <w:keepLines/>
        <w:widowControl w:val="0"/>
        <w:shd w:val="clear" w:color="auto" w:fill="auto"/>
        <w:bidi w:val="0"/>
        <w:spacing w:before="0" w:after="300" w:line="311" w:lineRule="exact"/>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5</w:t>
      </w:r>
      <w:bookmarkEnd w:id="759"/>
      <w:r>
        <w:rPr>
          <w:color w:val="000000"/>
          <w:spacing w:val="0"/>
          <w:w w:val="100"/>
          <w:position w:val="0"/>
        </w:rPr>
        <w:t>、同一控制下和非同一控制下企业合并的会计处理方法</w:t>
      </w:r>
      <w:bookmarkEnd w:id="757"/>
      <w:bookmarkEnd w:id="758"/>
      <w:bookmarkEnd w:id="760"/>
    </w:p>
    <w:p>
      <w:pPr>
        <w:pStyle w:val="Style31"/>
        <w:keepNext w:val="0"/>
        <w:keepLines w:val="0"/>
        <w:widowControl w:val="0"/>
        <w:shd w:val="clear" w:color="auto" w:fill="auto"/>
        <w:bidi w:val="0"/>
        <w:spacing w:before="0" w:line="302" w:lineRule="exact"/>
        <w:ind w:left="0" w:right="0" w:firstLine="440"/>
        <w:jc w:val="both"/>
      </w:pPr>
      <w:r>
        <w:rPr>
          <w:color w:val="000000"/>
          <w:spacing w:val="0"/>
          <w:w w:val="100"/>
          <w:position w:val="0"/>
        </w:rPr>
        <w:t>企业合并，是指将两个或两个以上单独的企业合并形成一个报告主体的交易或事项。企业合并分为同 一控制下企业合并和非同一控制下企业合并。</w:t>
      </w:r>
    </w:p>
    <w:p>
      <w:pPr>
        <w:pStyle w:val="Style31"/>
        <w:keepNext w:val="0"/>
        <w:keepLines w:val="0"/>
        <w:widowControl w:val="0"/>
        <w:shd w:val="clear" w:color="auto" w:fill="auto"/>
        <w:tabs>
          <w:tab w:pos="870" w:val="left"/>
        </w:tabs>
        <w:bidi w:val="0"/>
        <w:spacing w:before="0" w:line="311" w:lineRule="exact"/>
        <w:ind w:left="0" w:right="0" w:firstLine="440"/>
        <w:jc w:val="both"/>
      </w:pPr>
      <w:bookmarkStart w:id="761" w:name="bookmark761"/>
      <w:r>
        <w:rPr>
          <w:color w:val="000000"/>
          <w:spacing w:val="0"/>
          <w:w w:val="100"/>
          <w:position w:val="0"/>
        </w:rPr>
        <w:t>（</w:t>
      </w:r>
      <w:bookmarkEnd w:id="761"/>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同一控制下企业合并</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参与合并的企业在合并前后均受同一方或相同的多方最终控制，且该控制并非暂时性的，为同一控制 下的企业合并。同一控制下的企业合并，在合并日取得对其他参与合并企业控制权的一方为合并方，参与 合并的其他企业为被合并方。合并日，是指合并方实际取得对被合并方控制权的日期。</w:t>
      </w:r>
    </w:p>
    <w:p>
      <w:pPr>
        <w:pStyle w:val="Style31"/>
        <w:keepNext w:val="0"/>
        <w:keepLines w:val="0"/>
        <w:widowControl w:val="0"/>
        <w:shd w:val="clear" w:color="auto" w:fill="auto"/>
        <w:bidi w:val="0"/>
        <w:spacing w:before="0" w:line="307" w:lineRule="exact"/>
        <w:ind w:left="0" w:right="0" w:firstLine="440"/>
        <w:jc w:val="both"/>
      </w:pPr>
      <w:r>
        <w:rPr>
          <w:color w:val="000000"/>
          <w:spacing w:val="0"/>
          <w:w w:val="100"/>
          <w:position w:val="0"/>
        </w:rPr>
        <w:t>合并方取得的资产和负债均按合并日在被合并方的账面价值计量。合并方取得的净资产账面价值与支 付的合并对价账面价值（或发行股份面值总额）的差额，调整资本公积（股本溢价）；资本公积（股本溢 价）不足以冲减的，调整留存收益。</w:t>
      </w:r>
    </w:p>
    <w:p>
      <w:pPr>
        <w:pStyle w:val="Style31"/>
        <w:keepNext w:val="0"/>
        <w:keepLines w:val="0"/>
        <w:widowControl w:val="0"/>
        <w:shd w:val="clear" w:color="auto" w:fill="auto"/>
        <w:bidi w:val="0"/>
        <w:spacing w:before="0" w:line="311" w:lineRule="exact"/>
        <w:ind w:left="0" w:right="0" w:firstLine="440"/>
        <w:jc w:val="both"/>
      </w:pPr>
      <w:r>
        <w:rPr>
          <w:color w:val="000000"/>
          <w:spacing w:val="0"/>
          <w:w w:val="100"/>
          <w:position w:val="0"/>
        </w:rPr>
        <w:t>合并方为进行企业合并发生的各项直接费用，于发生时计入当期损益。</w:t>
      </w:r>
    </w:p>
    <w:p>
      <w:pPr>
        <w:pStyle w:val="Style31"/>
        <w:keepNext w:val="0"/>
        <w:keepLines w:val="0"/>
        <w:widowControl w:val="0"/>
        <w:shd w:val="clear" w:color="auto" w:fill="auto"/>
        <w:tabs>
          <w:tab w:pos="870" w:val="left"/>
        </w:tabs>
        <w:bidi w:val="0"/>
        <w:spacing w:before="0" w:line="311" w:lineRule="exact"/>
        <w:ind w:left="0" w:right="0" w:firstLine="440"/>
        <w:jc w:val="both"/>
      </w:pPr>
      <w:bookmarkStart w:id="762" w:name="bookmark762"/>
      <w:r>
        <w:rPr>
          <w:color w:val="000000"/>
          <w:spacing w:val="0"/>
          <w:w w:val="100"/>
          <w:position w:val="0"/>
        </w:rPr>
        <w:t>（</w:t>
      </w:r>
      <w:bookmarkEnd w:id="762"/>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非同一控制下企业合并</w:t>
      </w:r>
    </w:p>
    <w:p>
      <w:pPr>
        <w:pStyle w:val="Style31"/>
        <w:keepNext w:val="0"/>
        <w:keepLines w:val="0"/>
        <w:widowControl w:val="0"/>
        <w:shd w:val="clear" w:color="auto" w:fill="auto"/>
        <w:bidi w:val="0"/>
        <w:spacing w:before="0" w:line="310" w:lineRule="exact"/>
        <w:ind w:left="0" w:right="0" w:firstLine="440"/>
        <w:jc w:val="both"/>
      </w:pPr>
      <w:r>
        <w:rPr>
          <w:color w:val="000000"/>
          <w:spacing w:val="0"/>
          <w:w w:val="100"/>
          <w:position w:val="0"/>
        </w:rPr>
        <w:t>参与合并的企业在合并前后不受同一方或相同的多方最终控制的，为非同一控制下的企业合并。非同 一控制下的企业合并，在购买日取得对其他参与合并企业控制权的一方为购买方，参与合并的其他企业为 被购买方。购买日，是指为购买方实际取得对被购买方控制权的日期。</w:t>
      </w:r>
    </w:p>
    <w:p>
      <w:pPr>
        <w:pStyle w:val="Style31"/>
        <w:keepNext w:val="0"/>
        <w:keepLines w:val="0"/>
        <w:widowControl w:val="0"/>
        <w:shd w:val="clear" w:color="auto" w:fill="auto"/>
        <w:bidi w:val="0"/>
        <w:spacing w:before="0" w:line="311" w:lineRule="exact"/>
        <w:ind w:left="0" w:right="0" w:firstLine="440"/>
        <w:jc w:val="both"/>
      </w:pPr>
      <w:r>
        <w:rPr>
          <w:color w:val="000000"/>
          <w:spacing w:val="0"/>
          <w:w w:val="100"/>
          <w:position w:val="0"/>
        </w:rPr>
        <w:t>对于非同一控制下的企业合并，合并成本包含购买日购买方为取得对被购买方的控制权而付出的资 产、发生或承担的负债以及发行的权益性证券的公允价值，为企业合并发生的审计、法律服务、评估咨询 等中介费用以及其他管理费用于发生时计入当期损益。购买方作为合并对价发行的权益性证券或债务性证 券的交易费用，计入权益性证券或债务性证券的初始确认金额。所涉及的或有对价按其在购买日的公允价 值计入合并成本，购买日后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个月内出现对购买日已存在情况的新的或进一步证据而需要调整或有对价 的，相应调整合并商誉。购买方发生的合并成本及在合并中取得的可辨认净资产按购买日的公允价值计量。 合并成本大于合并中取得的被购买方于购买日可辨认净资产公允价值份额的差额，确认为商誉。合并成本 小于合并中取得的被购买方可辨认净资产公允价值份额的，首先对取得的被购买方各项可辨认资产、负债 及或有负债的公允价值以及合并成本的计量进行复核，复核后合并成本仍小于合并中取得的被购买方可辨 认净资产公允价值份额的，其差额计入当期损益。</w:t>
      </w:r>
    </w:p>
    <w:p>
      <w:pPr>
        <w:pStyle w:val="Style31"/>
        <w:keepNext w:val="0"/>
        <w:keepLines w:val="0"/>
        <w:widowControl w:val="0"/>
        <w:shd w:val="clear" w:color="auto" w:fill="auto"/>
        <w:bidi w:val="0"/>
        <w:spacing w:before="0" w:line="313" w:lineRule="exact"/>
        <w:ind w:left="0" w:right="0" w:firstLine="440"/>
        <w:jc w:val="both"/>
      </w:pPr>
      <w:r>
        <w:rPr>
          <w:color w:val="000000"/>
          <w:spacing w:val="0"/>
          <w:w w:val="100"/>
          <w:position w:val="0"/>
        </w:rPr>
        <w:t>购买方取得被购买方的可抵扣暂时性差异，在购买日因不符合递延所得税资产确认条件而未予确认 的，在购买日后</w:t>
      </w:r>
      <w:r>
        <w:rPr>
          <w:rFonts w:ascii="Times New Roman" w:eastAsia="Times New Roman" w:hAnsi="Times New Roman" w:cs="Times New Roman"/>
          <w:color w:val="000000"/>
          <w:spacing w:val="0"/>
          <w:w w:val="100"/>
          <w:position w:val="0"/>
        </w:rPr>
        <w:t>12</w:t>
      </w:r>
      <w:r>
        <w:rPr>
          <w:color w:val="000000"/>
          <w:spacing w:val="0"/>
          <w:w w:val="100"/>
          <w:position w:val="0"/>
        </w:rPr>
        <w:t>个月内，如取得新的或进一步的信息表明购买日的相关情况已经存在，预期被购买方在 购买日可抵扣暂时性差异带来的经济利益能够实现的，则确认相关的递延所得税资产，同时减少商誉，商 誉不足冲减的，差额部分确认为当期损益；除上述情况以外，确认与企业合并相关的递延所得税资产的， 计入当期损益。</w:t>
      </w:r>
    </w:p>
    <w:p>
      <w:pPr>
        <w:pStyle w:val="Style31"/>
        <w:keepNext w:val="0"/>
        <w:keepLines w:val="0"/>
        <w:widowControl w:val="0"/>
        <w:shd w:val="clear" w:color="auto" w:fill="auto"/>
        <w:bidi w:val="0"/>
        <w:spacing w:before="0" w:line="316" w:lineRule="exact"/>
        <w:ind w:left="0" w:right="0" w:firstLine="44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rPr>
        <w:t>5</w:t>
      </w:r>
      <w:r>
        <w:rPr>
          <w:color w:val="000000"/>
          <w:spacing w:val="0"/>
          <w:w w:val="100"/>
          <w:position w:val="0"/>
        </w:rPr>
        <w:t>号的 通知》（财会</w:t>
      </w:r>
      <w:r>
        <w:rPr>
          <w:rFonts w:ascii="Times New Roman" w:eastAsia="Times New Roman" w:hAnsi="Times New Roman" w:cs="Times New Roman"/>
          <w:color w:val="000000"/>
          <w:spacing w:val="0"/>
          <w:w w:val="100"/>
          <w:position w:val="0"/>
        </w:rPr>
        <w:t>[2012]19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rPr>
        <w:t>33</w:t>
      </w:r>
      <w:r>
        <w:rPr>
          <w:color w:val="000000"/>
          <w:spacing w:val="0"/>
          <w:w w:val="100"/>
          <w:position w:val="0"/>
        </w:rPr>
        <w:t>号</w:t>
      </w:r>
      <w:r>
        <w:rPr>
          <w:color w:val="000000"/>
          <w:spacing w:val="0"/>
          <w:w w:val="100"/>
          <w:position w:val="0"/>
        </w:rPr>
        <w:t>一一</w:t>
      </w:r>
      <w:r>
        <w:rPr>
          <w:color w:val="000000"/>
          <w:spacing w:val="0"/>
          <w:w w:val="100"/>
          <w:position w:val="0"/>
        </w:rPr>
        <w:t>合并财务报表》第五十一条关于“一揽子交易” 的判断标准（参见本节五、</w:t>
      </w:r>
      <w:r>
        <w:rPr>
          <w:rFonts w:ascii="Times New Roman" w:eastAsia="Times New Roman" w:hAnsi="Times New Roman" w:cs="Times New Roman"/>
          <w:color w:val="000000"/>
          <w:spacing w:val="0"/>
          <w:w w:val="100"/>
          <w:position w:val="0"/>
        </w:rPr>
        <w:t>6</w:t>
      </w:r>
      <w:r>
        <w:rPr>
          <w:color w:val="000000"/>
          <w:spacing w:val="0"/>
          <w:w w:val="100"/>
          <w:position w:val="0"/>
        </w:rPr>
        <w:t>、“合并财务报表的编制方法”</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，判断该多次交易是否属于“一揽 子交易”。属于“一揽子交易”的，参考本部分前面各段描述及本节五、</w:t>
      </w:r>
      <w:r>
        <w:rPr>
          <w:rFonts w:ascii="Times New Roman" w:eastAsia="Times New Roman" w:hAnsi="Times New Roman" w:cs="Times New Roman"/>
          <w:color w:val="000000"/>
          <w:spacing w:val="0"/>
          <w:w w:val="100"/>
          <w:position w:val="0"/>
        </w:rPr>
        <w:t>16</w:t>
      </w:r>
      <w:r>
        <w:rPr>
          <w:color w:val="000000"/>
          <w:spacing w:val="0"/>
          <w:w w:val="100"/>
          <w:position w:val="0"/>
        </w:rPr>
        <w:t>、“长期股权投资”进行会 计处理；不属于“一揽子交易”的，区分个别财务报表和合并财务报表进行相关会计处理：</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在个别财务报表中，以购买日之前所持被购买方的股权投资的账面价值与购买日新增投资成本之和， 作为该项投资的初始投资成本；购买日之前持有的被购买方的股权涉及其他综合收益的，在处置该项投资 时将与其相关的其他综合收益采用与被购买方直接处置相关资产或负债相同的基础进行会计处理。</w:t>
      </w:r>
    </w:p>
    <w:p>
      <w:pPr>
        <w:pStyle w:val="Style31"/>
        <w:keepNext w:val="0"/>
        <w:keepLines w:val="0"/>
        <w:widowControl w:val="0"/>
        <w:shd w:val="clear" w:color="auto" w:fill="auto"/>
        <w:bidi w:val="0"/>
        <w:spacing w:before="0" w:after="380" w:line="309" w:lineRule="exact"/>
        <w:ind w:left="0" w:right="0" w:firstLine="440"/>
        <w:jc w:val="both"/>
      </w:pPr>
      <w:r>
        <w:rPr>
          <w:color w:val="000000"/>
          <w:spacing w:val="0"/>
          <w:w w:val="100"/>
          <w:position w:val="0"/>
        </w:rPr>
        <w:t>在合并财务报表中，对于购买日之前持有的被购买方的股权，按照该股权在购买日的公允价值进行重 新计量，公允价值与其账面价值的差额计入当期投资收益；购买日之前持有的被购买方的股权涉及其他综 合收益的，与其相关的其他综合收益应当采用与被购买方直接处置相关资产或负债相同的基础进行会计处 理。</w:t>
      </w:r>
    </w:p>
    <w:p>
      <w:pPr>
        <w:pStyle w:val="Style28"/>
        <w:keepNext/>
        <w:keepLines/>
        <w:widowControl w:val="0"/>
        <w:shd w:val="clear" w:color="auto" w:fill="auto"/>
        <w:bidi w:val="0"/>
        <w:spacing w:before="0" w:after="200" w:line="326" w:lineRule="auto"/>
        <w:ind w:left="0" w:right="0" w:firstLine="0"/>
        <w:jc w:val="both"/>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6</w:t>
      </w:r>
      <w:bookmarkEnd w:id="765"/>
      <w:r>
        <w:rPr>
          <w:color w:val="000000"/>
          <w:spacing w:val="0"/>
          <w:w w:val="100"/>
          <w:position w:val="0"/>
        </w:rPr>
        <w:t>、合并财务报表的编制方法</w:t>
      </w:r>
      <w:bookmarkEnd w:id="763"/>
      <w:bookmarkEnd w:id="764"/>
      <w:bookmarkEnd w:id="766"/>
    </w:p>
    <w:p>
      <w:pPr>
        <w:pStyle w:val="Style31"/>
        <w:keepNext w:val="0"/>
        <w:keepLines w:val="0"/>
        <w:widowControl w:val="0"/>
        <w:shd w:val="clear" w:color="auto" w:fill="auto"/>
        <w:tabs>
          <w:tab w:pos="868" w:val="left"/>
        </w:tabs>
        <w:bidi w:val="0"/>
        <w:spacing w:before="0" w:line="312" w:lineRule="exact"/>
        <w:ind w:left="0" w:right="0" w:firstLine="440"/>
        <w:jc w:val="both"/>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rPr>
        <w:t>1</w:t>
      </w:r>
      <w:r>
        <w:rPr>
          <w:color w:val="000000"/>
          <w:spacing w:val="0"/>
          <w:w w:val="100"/>
          <w:position w:val="0"/>
        </w:rPr>
        <w:t>）</w:t>
        <w:tab/>
        <w:t>合并财务报表范围的确定原则</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合并财务报表的合并范围以控制为基础予以确定。控制是指本集团拥有对被投资方的权力，通过参与 被投资方的相关活动而享有可变回报，并且有能力运用对被投资方的权力影响该回报金额。合并范围包括 本公司及全部子公司。子公司，是指被本集团控制的主体。</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一旦相关事实和情况的变化导致上述控制定义涉及的相关要素发生了变化，本集团将进行重新评估。</w:t>
      </w:r>
    </w:p>
    <w:p>
      <w:pPr>
        <w:pStyle w:val="Style31"/>
        <w:keepNext w:val="0"/>
        <w:keepLines w:val="0"/>
        <w:widowControl w:val="0"/>
        <w:shd w:val="clear" w:color="auto" w:fill="auto"/>
        <w:tabs>
          <w:tab w:pos="868" w:val="left"/>
        </w:tabs>
        <w:bidi w:val="0"/>
        <w:spacing w:before="0" w:line="312" w:lineRule="exact"/>
        <w:ind w:left="0" w:right="0" w:firstLine="440"/>
        <w:jc w:val="both"/>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rPr>
        <w:t>2</w:t>
      </w:r>
      <w:r>
        <w:rPr>
          <w:color w:val="000000"/>
          <w:spacing w:val="0"/>
          <w:w w:val="100"/>
          <w:position w:val="0"/>
        </w:rPr>
        <w:t>）</w:t>
        <w:tab/>
        <w:t>合并财务报表编制的方法</w:t>
      </w:r>
    </w:p>
    <w:p>
      <w:pPr>
        <w:pStyle w:val="Style31"/>
        <w:keepNext w:val="0"/>
        <w:keepLines w:val="0"/>
        <w:widowControl w:val="0"/>
        <w:shd w:val="clear" w:color="auto" w:fill="auto"/>
        <w:bidi w:val="0"/>
        <w:spacing w:before="0" w:line="313" w:lineRule="exact"/>
        <w:ind w:left="0" w:right="0" w:firstLine="440"/>
        <w:jc w:val="both"/>
      </w:pPr>
      <w:r>
        <w:rPr>
          <w:color w:val="000000"/>
          <w:spacing w:val="0"/>
          <w:w w:val="100"/>
          <w:position w:val="0"/>
        </w:rPr>
        <w:t>从取得子公司的净资产和生产经营决策的实际控制权之日起，本集团开始将其纳入合并范围；从丧失 实际控制权之日起停止纳入合并范围。对于处置的子公司，处置日前的经营成果和现金流量已经适当地包 括在合并利润表和合并现金流量表中；当期处置的子公司，不调整合并资产负债表的期初数。非同一控制 下企业合并增加的子公司，其购买日后的经营成果及现金流量已经适当地包括在合并利润表和合并现金流 量表中，且不调整合并财务报表的期初数和对比数。同一控制下企业合并增加的子公司及吸收合并下的被 合并方，其自合并当期期初至合并日的经营成果和现金流量已经适当地包括在合并利润表和合并现金流量 表中，并且同时调整合并财务报表的对比数。</w:t>
      </w:r>
    </w:p>
    <w:p>
      <w:pPr>
        <w:pStyle w:val="Style31"/>
        <w:keepNext w:val="0"/>
        <w:keepLines w:val="0"/>
        <w:widowControl w:val="0"/>
        <w:shd w:val="clear" w:color="auto" w:fill="auto"/>
        <w:bidi w:val="0"/>
        <w:spacing w:before="0" w:line="314" w:lineRule="exact"/>
        <w:ind w:left="0" w:right="0" w:firstLine="440"/>
        <w:jc w:val="both"/>
      </w:pPr>
      <w:r>
        <w:rPr>
          <w:color w:val="000000"/>
          <w:spacing w:val="0"/>
          <w:w w:val="100"/>
          <w:position w:val="0"/>
        </w:rPr>
        <w:t>在编制合并财务报表时，子公司与本公司采用的会计政策或会计期间不一致的，按照本公司的会计政 策和会计期间对子公司财务报表进行必要的调整。对于非同一控制下企业合并取得的子公司，以购买日可 辨认净资产公允价值为基础对其财务报表进行调整。</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集团内所有重大往来余额、交易及未实现利润在合并财务报表编制时予以抵销。</w:t>
      </w:r>
    </w:p>
    <w:p>
      <w:pPr>
        <w:pStyle w:val="Style31"/>
        <w:keepNext w:val="0"/>
        <w:keepLines w:val="0"/>
        <w:widowControl w:val="0"/>
        <w:shd w:val="clear" w:color="auto" w:fill="auto"/>
        <w:bidi w:val="0"/>
        <w:spacing w:before="0" w:line="314" w:lineRule="exact"/>
        <w:ind w:left="0" w:right="0" w:firstLine="440"/>
        <w:jc w:val="both"/>
      </w:pPr>
      <w:r>
        <w:rPr>
          <w:color w:val="000000"/>
          <w:spacing w:val="0"/>
          <w:w w:val="100"/>
          <w:position w:val="0"/>
        </w:rPr>
        <w:t>子公司的股东权益及当期净损益中不属于本公司所拥有的部分分别作为少数股东权益及少数股东损 益在合并财务报表中股东权益及净利润项下单独列示。子公司当期净损益中属于少数股东权益的份额，在 合并利润表中净利润项目下以“少数股东损益”项目列示。少数股东分担的子公司的亏损超过了少数股东 在该子公司期初股东权益中所享有的份额，仍冲减少数股东权益。</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与原有子公司股权投资相关的其他综合收益，在丧失控制权时采用与该子公司直接处置相关资产或负债相 同的基础进行会计处理。其后，对该部分剩余股权按照《企业会计准则第</w:t>
      </w:r>
      <w:r>
        <w:rPr>
          <w:rFonts w:ascii="Times New Roman" w:eastAsia="Times New Roman" w:hAnsi="Times New Roman" w:cs="Times New Roman"/>
          <w:color w:val="000000"/>
          <w:spacing w:val="0"/>
          <w:w w:val="100"/>
          <w:position w:val="0"/>
        </w:rPr>
        <w:t>2</w:t>
      </w:r>
      <w:r>
        <w:rPr>
          <w:color w:val="000000"/>
          <w:spacing w:val="0"/>
          <w:w w:val="100"/>
          <w:position w:val="0"/>
        </w:rPr>
        <w:t>号——长期股权投资》或《企 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号——金融工具确认和计量》等相关规定进行后续计量，详见本节五、</w:t>
      </w:r>
      <w:r>
        <w:rPr>
          <w:rFonts w:ascii="Times New Roman" w:eastAsia="Times New Roman" w:hAnsi="Times New Roman" w:cs="Times New Roman"/>
          <w:color w:val="000000"/>
          <w:spacing w:val="0"/>
          <w:w w:val="100"/>
          <w:position w:val="0"/>
        </w:rPr>
        <w:t>16</w:t>
      </w:r>
      <w:r>
        <w:rPr>
          <w:color w:val="000000"/>
          <w:spacing w:val="0"/>
          <w:w w:val="100"/>
          <w:position w:val="0"/>
        </w:rPr>
        <w:t>、“长期股权 投资”或本节五、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1"/>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 xml:space="preserve">本集团通过多次交易分步处置对子公司股权投资直至丧失控制权的，需区分处置对子公司股权投资直 至丧失控制权的各项交易是否属于一揽子交易。处置对子公司股权投资的各项交易的条款、条件以及经济 影响符合以下一种或多种情况，通常表明应将多次交易事项作为一揽子交易进行会计处理：①这些交易是 同时或者在考虑了彼此影响的情况下订立的；②这些交易整体才能达成一项完整的商业结果；③一项交易 的发生取决于其他至少一项交易的发生；④一项交易单独看是不经济的，但是和其他交易一并考虑时是经 </w:t>
      </w:r>
      <w:r>
        <w:rPr>
          <w:color w:val="000000"/>
          <w:spacing w:val="0"/>
          <w:w w:val="100"/>
          <w:position w:val="0"/>
        </w:rPr>
        <w:t>济的。不属于一揽子交易的，对其中的每一项交易视情况分别按照</w:t>
      </w:r>
      <w:r>
        <w:rPr>
          <w:rFonts w:ascii="Times New Roman" w:eastAsia="Times New Roman" w:hAnsi="Times New Roman" w:cs="Times New Roman"/>
          <w:color w:val="000000"/>
          <w:spacing w:val="0"/>
          <w:w w:val="100"/>
          <w:position w:val="0"/>
        </w:rPr>
        <w:t>“</w:t>
      </w:r>
      <w:r>
        <w:rPr>
          <w:color w:val="000000"/>
          <w:spacing w:val="0"/>
          <w:w w:val="100"/>
          <w:position w:val="0"/>
        </w:rPr>
        <w:t>不丧失控制权的情况下部分处置对子 公司的长期股权投资</w:t>
      </w:r>
      <w:r>
        <w:rPr>
          <w:rFonts w:ascii="Times New Roman" w:eastAsia="Times New Roman" w:hAnsi="Times New Roman" w:cs="Times New Roman"/>
          <w:color w:val="000000"/>
          <w:spacing w:val="0"/>
          <w:w w:val="100"/>
          <w:position w:val="0"/>
        </w:rPr>
        <w:t>”</w:t>
      </w:r>
      <w:r>
        <w:rPr>
          <w:color w:val="000000"/>
          <w:spacing w:val="0"/>
          <w:w w:val="100"/>
          <w:position w:val="0"/>
        </w:rPr>
        <w:t>（详见本节五、</w:t>
      </w:r>
      <w:r>
        <w:rPr>
          <w:rFonts w:ascii="Times New Roman" w:eastAsia="Times New Roman" w:hAnsi="Times New Roman" w:cs="Times New Roman"/>
          <w:color w:val="000000"/>
          <w:spacing w:val="0"/>
          <w:w w:val="100"/>
          <w:position w:val="0"/>
        </w:rPr>
        <w:t>16</w:t>
      </w:r>
      <w:r>
        <w:rPr>
          <w:color w:val="000000"/>
          <w:spacing w:val="0"/>
          <w:w w:val="100"/>
          <w:position w:val="0"/>
        </w:rPr>
        <w:t>、“长期股权投资”（</w:t>
      </w:r>
      <w:r>
        <w:rPr>
          <w:rFonts w:ascii="Times New Roman" w:eastAsia="Times New Roman" w:hAnsi="Times New Roman" w:cs="Times New Roman"/>
          <w:color w:val="000000"/>
          <w:spacing w:val="0"/>
          <w:w w:val="100"/>
          <w:position w:val="0"/>
        </w:rPr>
        <w:t>2</w:t>
      </w:r>
      <w:r>
        <w:rPr>
          <w:color w:val="000000"/>
          <w:spacing w:val="0"/>
          <w:w w:val="100"/>
          <w:position w:val="0"/>
        </w:rPr>
        <w:t>）④）和“因处置部分股权投资或其他原 因丧失了对原有子公司的控制权”（详见前段）适用的原则进行会计处理。处置对子公司股权投资直至丧 失控制权的各项交易属于一揽子交易的，将各项交易作为一项处置子公司并丧失控制权的交易进行会计处 理；但是，在丧失控制权之前每一次处置价款与处置投资对应的享有该子公司净资产份额的差额，在合并 财务报表中确认为其他综合收益，在丧失控制权时一并转入丧失控制权当期的损益。</w:t>
      </w:r>
    </w:p>
    <w:p>
      <w:pPr>
        <w:pStyle w:val="Style28"/>
        <w:keepNext/>
        <w:keepLines/>
        <w:widowControl w:val="0"/>
        <w:shd w:val="clear" w:color="auto" w:fill="auto"/>
        <w:tabs>
          <w:tab w:pos="327" w:val="left"/>
        </w:tabs>
        <w:bidi w:val="0"/>
        <w:spacing w:before="0" w:after="200" w:line="326" w:lineRule="auto"/>
        <w:ind w:left="0" w:right="0" w:firstLine="0"/>
        <w:jc w:val="both"/>
      </w:pPr>
      <w:bookmarkStart w:id="769" w:name="bookmark769"/>
      <w:bookmarkStart w:id="770" w:name="bookmark770"/>
      <w:bookmarkStart w:id="771" w:name="bookmark771"/>
      <w:bookmarkStart w:id="772" w:name="bookmark772"/>
      <w:r>
        <w:rPr>
          <w:rFonts w:ascii="Times New Roman" w:eastAsia="Times New Roman" w:hAnsi="Times New Roman" w:cs="Times New Roman"/>
          <w:color w:val="000000"/>
          <w:spacing w:val="0"/>
          <w:w w:val="100"/>
          <w:position w:val="0"/>
        </w:rPr>
        <w:t>7</w:t>
      </w:r>
      <w:bookmarkEnd w:id="771"/>
      <w:r>
        <w:rPr>
          <w:color w:val="000000"/>
          <w:spacing w:val="0"/>
          <w:w w:val="100"/>
          <w:position w:val="0"/>
        </w:rPr>
        <w:t>、</w:t>
        <w:tab/>
        <w:t>合营安排分类及共同经营会计处理方法</w:t>
      </w:r>
      <w:bookmarkEnd w:id="769"/>
      <w:bookmarkEnd w:id="770"/>
      <w:bookmarkEnd w:id="772"/>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合营安排，是指一项由两个或两个以上的参与方共同控制的安排。本集团根据在合营安排中享有的权 利和承担的义务，将合营安排分为共同经营和合营企业。共同经营，是指本集团享有该安排相关资产且承 担该安排相关负债的合营安排。合营企业，是指本集团仅对该安排的净资产享有权利的合营安排。</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本集团对合营企业的投资采用权益法核算，按照本节五、</w:t>
      </w:r>
      <w:r>
        <w:rPr>
          <w:rFonts w:ascii="Times New Roman" w:eastAsia="Times New Roman" w:hAnsi="Times New Roman" w:cs="Times New Roman"/>
          <w:color w:val="000000"/>
          <w:spacing w:val="0"/>
          <w:w w:val="100"/>
          <w:position w:val="0"/>
        </w:rPr>
        <w:t>16</w:t>
      </w:r>
      <w:r>
        <w:rPr>
          <w:color w:val="000000"/>
          <w:spacing w:val="0"/>
          <w:w w:val="100"/>
          <w:position w:val="0"/>
        </w:rPr>
        <w:t>、“长期股权投资”</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②“权益法核 算的长期股权投资”中所述的会计政策处理。</w:t>
      </w:r>
    </w:p>
    <w:p>
      <w:pPr>
        <w:pStyle w:val="Style31"/>
        <w:keepNext w:val="0"/>
        <w:keepLines w:val="0"/>
        <w:widowControl w:val="0"/>
        <w:shd w:val="clear" w:color="auto" w:fill="auto"/>
        <w:bidi w:val="0"/>
        <w:spacing w:before="0" w:line="310" w:lineRule="exact"/>
        <w:ind w:left="0" w:right="0" w:firstLine="440"/>
        <w:jc w:val="both"/>
      </w:pPr>
      <w:r>
        <w:rPr>
          <w:color w:val="000000"/>
          <w:spacing w:val="0"/>
          <w:w w:val="100"/>
          <w:position w:val="0"/>
        </w:rPr>
        <w:t>本集团作为合营方对共同经营，确认本集团单独持有的资产、单独所承担的负债，以及按本集团份额 确认共同持有的资产和共同承担的负债；确认出售本集团享有的共同经营产出份额所产生的收入；按本集 团份额确认共同经营因出售产出所产生的收入；确认本集团单独所发生的费用，以及按本集团份额确认共 同经营发生的费用。</w:t>
      </w:r>
    </w:p>
    <w:p>
      <w:pPr>
        <w:pStyle w:val="Style31"/>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当本集团作为合营方向共同经营投出或出售资产（该资产不构成业务，下同）、或者自共同经营购买 资产时，在该等资产出售给第三方之前，本集团仅确认因该交易产生的损益中归属于共同经营其他参与方 的部分。该等资产发生符合《企业会计准则第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资产减值》等规定的资产减值损失的，对于由本集 团向共同经营投出或出售资产的情况，本集团全额确认该损失；对于本集团自共同经营购买资产的情况， 本集团按承担的份额确认该损失。</w:t>
      </w:r>
    </w:p>
    <w:p>
      <w:pPr>
        <w:pStyle w:val="Style28"/>
        <w:keepNext/>
        <w:keepLines/>
        <w:widowControl w:val="0"/>
        <w:shd w:val="clear" w:color="auto" w:fill="auto"/>
        <w:tabs>
          <w:tab w:pos="332" w:val="left"/>
        </w:tabs>
        <w:bidi w:val="0"/>
        <w:spacing w:before="0" w:after="200" w:line="326" w:lineRule="auto"/>
        <w:ind w:left="0" w:right="0" w:firstLine="0"/>
        <w:jc w:val="both"/>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8</w:t>
      </w:r>
      <w:bookmarkEnd w:id="775"/>
      <w:r>
        <w:rPr>
          <w:color w:val="000000"/>
          <w:spacing w:val="0"/>
          <w:w w:val="100"/>
          <w:position w:val="0"/>
        </w:rPr>
        <w:t>、</w:t>
        <w:tab/>
        <w:t>现金及现金等价物的确定标准</w:t>
      </w:r>
      <w:bookmarkEnd w:id="773"/>
      <w:bookmarkEnd w:id="774"/>
      <w:bookmarkEnd w:id="776"/>
    </w:p>
    <w:p>
      <w:pPr>
        <w:pStyle w:val="Style31"/>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本集团现金及现金等价物包括库存现金、可以随时用于支付的存款以及本集团持有的期限短（一般为 从购买日起三个月内到期）、流动性强、易于转换为已知金额现金、价值变动风险很小的投资。</w:t>
      </w:r>
    </w:p>
    <w:p>
      <w:pPr>
        <w:pStyle w:val="Style28"/>
        <w:keepNext/>
        <w:keepLines/>
        <w:widowControl w:val="0"/>
        <w:shd w:val="clear" w:color="auto" w:fill="auto"/>
        <w:tabs>
          <w:tab w:pos="332" w:val="left"/>
        </w:tabs>
        <w:bidi w:val="0"/>
        <w:spacing w:before="0" w:after="200" w:line="326" w:lineRule="auto"/>
        <w:ind w:left="0" w:right="0" w:firstLine="0"/>
        <w:jc w:val="both"/>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9</w:t>
      </w:r>
      <w:bookmarkEnd w:id="779"/>
      <w:r>
        <w:rPr>
          <w:color w:val="000000"/>
          <w:spacing w:val="0"/>
          <w:w w:val="100"/>
          <w:position w:val="0"/>
        </w:rPr>
        <w:t>、</w:t>
        <w:tab/>
        <w:t>外币业务和外币报表折算</w:t>
      </w:r>
      <w:bookmarkEnd w:id="777"/>
      <w:bookmarkEnd w:id="778"/>
      <w:bookmarkEnd w:id="780"/>
    </w:p>
    <w:p>
      <w:pPr>
        <w:pStyle w:val="Style31"/>
        <w:keepNext w:val="0"/>
        <w:keepLines w:val="0"/>
        <w:widowControl w:val="0"/>
        <w:shd w:val="clear" w:color="auto" w:fill="auto"/>
        <w:tabs>
          <w:tab w:pos="882" w:val="left"/>
        </w:tabs>
        <w:bidi w:val="0"/>
        <w:spacing w:before="0" w:line="313" w:lineRule="exact"/>
        <w:ind w:left="0" w:right="0" w:firstLine="440"/>
        <w:jc w:val="both"/>
      </w:pPr>
      <w:bookmarkStart w:id="781" w:name="bookmark781"/>
      <w:r>
        <w:rPr>
          <w:color w:val="000000"/>
          <w:spacing w:val="0"/>
          <w:w w:val="100"/>
          <w:position w:val="0"/>
        </w:rPr>
        <w:t>（</w:t>
      </w:r>
      <w:bookmarkEnd w:id="781"/>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外币交易的折算方法</w:t>
      </w:r>
    </w:p>
    <w:p>
      <w:pPr>
        <w:pStyle w:val="Style31"/>
        <w:keepNext w:val="0"/>
        <w:keepLines w:val="0"/>
        <w:widowControl w:val="0"/>
        <w:shd w:val="clear" w:color="auto" w:fill="auto"/>
        <w:bidi w:val="0"/>
        <w:spacing w:before="0" w:line="317" w:lineRule="exact"/>
        <w:ind w:left="0" w:right="0" w:firstLine="440"/>
        <w:jc w:val="both"/>
      </w:pPr>
      <w:r>
        <w:rPr>
          <w:color w:val="000000"/>
          <w:spacing w:val="0"/>
          <w:w w:val="100"/>
          <w:position w:val="0"/>
        </w:rPr>
        <w:t>本集团发生的外币交易在初始确认时，按交易日的即期汇率（通常指中国人民银行公布的当日外汇牌 价的中间价，下同）折算为记账本位币金额。</w:t>
      </w:r>
    </w:p>
    <w:p>
      <w:pPr>
        <w:pStyle w:val="Style31"/>
        <w:keepNext w:val="0"/>
        <w:keepLines w:val="0"/>
        <w:widowControl w:val="0"/>
        <w:shd w:val="clear" w:color="auto" w:fill="auto"/>
        <w:tabs>
          <w:tab w:pos="882" w:val="left"/>
        </w:tabs>
        <w:bidi w:val="0"/>
        <w:spacing w:before="0" w:line="313" w:lineRule="exact"/>
        <w:ind w:left="0" w:right="0" w:firstLine="440"/>
        <w:jc w:val="both"/>
      </w:pPr>
      <w:bookmarkStart w:id="782" w:name="bookmark782"/>
      <w:r>
        <w:rPr>
          <w:color w:val="000000"/>
          <w:spacing w:val="0"/>
          <w:w w:val="100"/>
          <w:position w:val="0"/>
        </w:rPr>
        <w:t>（</w:t>
      </w:r>
      <w:bookmarkEnd w:id="782"/>
      <w:r>
        <w:rPr>
          <w:rFonts w:ascii="Times New Roman" w:eastAsia="Times New Roman" w:hAnsi="Times New Roman" w:cs="Times New Roman"/>
          <w:color w:val="000000"/>
          <w:spacing w:val="0"/>
          <w:w w:val="100"/>
          <w:position w:val="0"/>
        </w:rPr>
        <w:t>2</w:t>
      </w:r>
      <w:r>
        <w:rPr>
          <w:color w:val="000000"/>
          <w:spacing w:val="0"/>
          <w:w w:val="100"/>
          <w:position w:val="0"/>
        </w:rPr>
        <w:t>）</w:t>
        <w:tab/>
        <w:t>对于外币货币性项目和外币非货币性项目的折算方法</w:t>
      </w:r>
    </w:p>
    <w:p>
      <w:pPr>
        <w:pStyle w:val="Style31"/>
        <w:keepNext w:val="0"/>
        <w:keepLines w:val="0"/>
        <w:widowControl w:val="0"/>
        <w:shd w:val="clear" w:color="auto" w:fill="auto"/>
        <w:bidi w:val="0"/>
        <w:spacing w:before="0" w:line="313" w:lineRule="exact"/>
        <w:ind w:left="0" w:right="0" w:firstLine="440"/>
        <w:jc w:val="both"/>
      </w:pPr>
      <w:r>
        <w:rPr>
          <w:color w:val="000000"/>
          <w:spacing w:val="0"/>
          <w:w w:val="100"/>
          <w:position w:val="0"/>
        </w:rPr>
        <w:t>资产负债表日，对于外币货币性项目采用资产负债表日即期汇率折算，由此产生的汇兑差额，除：① 属于与购建符合资本化条件的资产相关的外币专门借款产生的汇兑差额按照借款费用资本化的原则处理； ②用于境外经营净投资有效套期的套期工具的汇兑差额（该差额计入其他综合收益，直至净投资被处置才 被确认为当期损益）；以及③分类为以公允价值计量且其变动计入其他综合收益的外币货币性项目，除摊 余成本（含减值）之外的其他账面余额变动产生的汇兑差额计入其他综合收益之外，均计入当期损益。</w:t>
      </w:r>
    </w:p>
    <w:p>
      <w:pPr>
        <w:pStyle w:val="Style31"/>
        <w:keepNext w:val="0"/>
        <w:keepLines w:val="0"/>
        <w:widowControl w:val="0"/>
        <w:shd w:val="clear" w:color="auto" w:fill="auto"/>
        <w:bidi w:val="0"/>
        <w:spacing w:before="0" w:line="313" w:lineRule="exact"/>
        <w:ind w:left="0" w:right="0" w:firstLine="440"/>
        <w:jc w:val="both"/>
      </w:pPr>
      <w:r>
        <w:rPr>
          <w:color w:val="000000"/>
          <w:spacing w:val="0"/>
          <w:w w:val="100"/>
          <w:position w:val="0"/>
        </w:rPr>
        <w:t xml:space="preserve">以历史成本计量的外币非货币性项目，仍采用交易发生日的即期汇率折算的记账本位币金额计量。以 </w:t>
      </w:r>
      <w:r>
        <w:rPr>
          <w:color w:val="000000"/>
          <w:spacing w:val="0"/>
          <w:w w:val="100"/>
          <w:position w:val="0"/>
        </w:rPr>
        <w:t>公允价值计量的外币非货币性项目，采用公允价值确定日的即期汇率折算，折算后的记账本位币金额与原 记账本位币金额的差额，作为公允价值变动（含汇率变动）处理，计入当期损益或确认为其他综合收益。</w:t>
      </w:r>
    </w:p>
    <w:p>
      <w:pPr>
        <w:pStyle w:val="Style31"/>
        <w:keepNext w:val="0"/>
        <w:keepLines w:val="0"/>
        <w:widowControl w:val="0"/>
        <w:shd w:val="clear" w:color="auto" w:fill="auto"/>
        <w:bidi w:val="0"/>
        <w:spacing w:before="0" w:line="312" w:lineRule="exact"/>
        <w:ind w:left="0" w:right="0" w:firstLine="440"/>
        <w:jc w:val="both"/>
      </w:pPr>
      <w:bookmarkStart w:id="783" w:name="bookmark783"/>
      <w:r>
        <w:rPr>
          <w:color w:val="000000"/>
          <w:spacing w:val="0"/>
          <w:w w:val="100"/>
          <w:position w:val="0"/>
        </w:rPr>
        <w:t>（</w:t>
      </w:r>
      <w:bookmarkEnd w:id="783"/>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外币财务报表的折算方法</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境外经营的外币财务报表按以下方法折算为人民币报表：资产负债表中的资产和负债项目，采用资产 负债表日的即期汇率折算；股东权益类项目除“未分配利润”项目外，其他项目采用发生时的即期汇率折 算。利润表中的收入和费用项目，采用交易发生日的当期平均汇率折算。年初未分配利润为上一年折算后 的年末未分配利润；期末未分配利润按折算后的利润分配各项目计算列示；折算后资产类项目与负债类项 目和股东权益类项目合计数的差额，作为外币报表折算差额，确认为其他综合收益。处置境外经营并丧失 控制权时，将资产负债表中股东权益项目下列示的、与该境外经营相关的外币报表折算差额，全部或按处 置该境外经营的比例转入处置当期损益。</w:t>
      </w:r>
    </w:p>
    <w:p>
      <w:pPr>
        <w:pStyle w:val="Style31"/>
        <w:keepNext w:val="0"/>
        <w:keepLines w:val="0"/>
        <w:widowControl w:val="0"/>
        <w:shd w:val="clear" w:color="auto" w:fill="auto"/>
        <w:bidi w:val="0"/>
        <w:spacing w:before="0" w:line="307" w:lineRule="exact"/>
        <w:ind w:left="0" w:right="0" w:firstLine="440"/>
        <w:jc w:val="both"/>
      </w:pPr>
      <w:r>
        <w:rPr>
          <w:color w:val="000000"/>
          <w:spacing w:val="0"/>
          <w:w w:val="100"/>
          <w:position w:val="0"/>
        </w:rPr>
        <w:t>外币现金流量以及境外子公司的现金流量，采用现金流量发生日的当期平均汇率折算。汇率变动对现 金的影响额作为调节项目，在现金流量表中单独列报。</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年初数和上年实际数按照上年财务报表折算后的数额列示。</w:t>
      </w:r>
    </w:p>
    <w:p>
      <w:pPr>
        <w:pStyle w:val="Style31"/>
        <w:keepNext w:val="0"/>
        <w:keepLines w:val="0"/>
        <w:widowControl w:val="0"/>
        <w:shd w:val="clear" w:color="auto" w:fill="auto"/>
        <w:bidi w:val="0"/>
        <w:spacing w:before="0" w:line="310" w:lineRule="exact"/>
        <w:ind w:left="0" w:right="0" w:firstLine="440"/>
        <w:jc w:val="both"/>
      </w:pPr>
      <w:r>
        <w:rPr>
          <w:color w:val="000000"/>
          <w:spacing w:val="0"/>
          <w:w w:val="100"/>
          <w:position w:val="0"/>
        </w:rPr>
        <w:t>在处置本集团在境外经营的全部所有者权益或因处置部分股权投资或其他原因丧失了对境外经营控 制权时，将资产负债表中股东权益项目下列示的、与该境外经营相关的归属于母公司所有者权益的外币报 表折算差额，全部转入处置当期损益。</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在处置部分股权投资或其他原因导致持有境外经营权益比例降低但不丧失对境外经营控制权时，与该 境外经营处置部分相关的外币报表折算差额将归属于少数股东权益，不转入当期损益。在处置境外经营为 联营企业或合营企业的部分股权时，与该境外经营相关的外币报表折算差额，按处置该境外经营的比例转 入处置当期损益。</w:t>
      </w:r>
    </w:p>
    <w:p>
      <w:pPr>
        <w:pStyle w:val="Style31"/>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如有实质上构成对境外经营净投资的外币货币性项目，在合并财务报表中，其因汇率变动而产生的汇 兑差额，作为“外币报表折算差额”确认为其他综合收益；处置境外经营时，计入处置当期损益。</w:t>
      </w:r>
    </w:p>
    <w:p>
      <w:pPr>
        <w:pStyle w:val="Style28"/>
        <w:keepNext/>
        <w:keepLines/>
        <w:widowControl w:val="0"/>
        <w:shd w:val="clear" w:color="auto" w:fill="auto"/>
        <w:bidi w:val="0"/>
        <w:spacing w:before="0" w:after="220" w:line="326" w:lineRule="auto"/>
        <w:ind w:left="0" w:right="0" w:firstLine="0"/>
        <w:jc w:val="both"/>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1</w:t>
      </w:r>
      <w:bookmarkEnd w:id="786"/>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84"/>
      <w:bookmarkEnd w:id="785"/>
      <w:bookmarkEnd w:id="787"/>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在本集团成为金融工具合同的一方时确认一项金融资产或金融负债。</w:t>
      </w:r>
    </w:p>
    <w:p>
      <w:pPr>
        <w:pStyle w:val="Style31"/>
        <w:keepNext w:val="0"/>
        <w:keepLines w:val="0"/>
        <w:widowControl w:val="0"/>
        <w:shd w:val="clear" w:color="auto" w:fill="auto"/>
        <w:bidi w:val="0"/>
        <w:spacing w:before="0" w:line="312" w:lineRule="exact"/>
        <w:ind w:left="0" w:right="0" w:firstLine="440"/>
        <w:jc w:val="both"/>
      </w:pPr>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金融资产的分类、确认和计量</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本集团根据管理金融资产的业务模式和金融资产的合同现金流量特征，将金融资产划分为：以摊余成 本计量的金融资产；以公允价值计量且其变动计入其他综合收益的金融资产；以公允价值计量且其变动计 入当期损益的金融资产。</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金融资产在初始确认时以公允价值计量。对于以公允价值计量且其变动计入当期损益的金融资产，相 关交易费用直接计入当期损益；对于其他类别的金融资产，相关交易费用计入初始确认金额。因销售产品 或提供劳务而产生的、未包含或不考虑重大融资成分的应收账款或应收票据，本集团按照预期有权收取的 对价金额作为初始确认金额。</w:t>
      </w:r>
    </w:p>
    <w:p>
      <w:pPr>
        <w:pStyle w:val="Style31"/>
        <w:keepNext w:val="0"/>
        <w:keepLines w:val="0"/>
        <w:widowControl w:val="0"/>
        <w:numPr>
          <w:ilvl w:val="0"/>
          <w:numId w:val="121"/>
        </w:numPr>
        <w:shd w:val="clear" w:color="auto" w:fill="auto"/>
        <w:bidi w:val="0"/>
        <w:spacing w:before="0" w:line="312" w:lineRule="exact"/>
        <w:ind w:left="0" w:right="0" w:firstLine="440"/>
        <w:jc w:val="both"/>
      </w:pPr>
      <w:bookmarkStart w:id="789" w:name="bookmark789"/>
      <w:bookmarkEnd w:id="789"/>
      <w:r>
        <w:rPr>
          <w:color w:val="000000"/>
          <w:spacing w:val="0"/>
          <w:w w:val="100"/>
          <w:position w:val="0"/>
        </w:rPr>
        <w:t>以摊余成本计量的金融资产</w:t>
      </w:r>
    </w:p>
    <w:p>
      <w:pPr>
        <w:pStyle w:val="Style31"/>
        <w:keepNext w:val="0"/>
        <w:keepLines w:val="0"/>
        <w:widowControl w:val="0"/>
        <w:shd w:val="clear" w:color="auto" w:fill="auto"/>
        <w:bidi w:val="0"/>
        <w:spacing w:before="0" w:line="307" w:lineRule="exact"/>
        <w:ind w:left="0" w:right="0" w:firstLine="440"/>
        <w:jc w:val="both"/>
      </w:pPr>
      <w:r>
        <w:rPr>
          <w:color w:val="000000"/>
          <w:spacing w:val="0"/>
          <w:w w:val="100"/>
          <w:position w:val="0"/>
        </w:rPr>
        <w:t xml:space="preserve">本集团管理以摊余成本计量的金融资产的业务模式为以收取合同现金流量为目标，且此类金融资产的 合同现金流量特征与基本借贷安排相一致，即在特定日期产生的现金流量，仅为对本金和以未偿付本金金 额为基础的利息的支付。本集团对于此类金融资产，采用实际利率法，按照摊余成本进行后续计量，其摊 </w:t>
      </w:r>
      <w:r>
        <w:rPr>
          <w:color w:val="000000"/>
          <w:spacing w:val="0"/>
          <w:w w:val="100"/>
          <w:position w:val="0"/>
        </w:rPr>
        <w:t>销或减值产生的利得或损失，计入当期损益。</w:t>
      </w:r>
    </w:p>
    <w:p>
      <w:pPr>
        <w:pStyle w:val="Style31"/>
        <w:keepNext w:val="0"/>
        <w:keepLines w:val="0"/>
        <w:widowControl w:val="0"/>
        <w:numPr>
          <w:ilvl w:val="0"/>
          <w:numId w:val="121"/>
        </w:numPr>
        <w:shd w:val="clear" w:color="auto" w:fill="auto"/>
        <w:tabs>
          <w:tab w:pos="810" w:val="left"/>
        </w:tabs>
        <w:bidi w:val="0"/>
        <w:spacing w:before="0" w:line="311" w:lineRule="exact"/>
        <w:ind w:left="0" w:right="0" w:firstLine="440"/>
        <w:jc w:val="both"/>
      </w:pPr>
      <w:bookmarkStart w:id="790" w:name="bookmark790"/>
      <w:bookmarkEnd w:id="790"/>
      <w:r>
        <w:rPr>
          <w:color w:val="000000"/>
          <w:spacing w:val="0"/>
          <w:w w:val="100"/>
          <w:position w:val="0"/>
        </w:rPr>
        <w:t>以公允价值计量且其变动计入其他综合收益的金融资产</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本集团管理此类金融资产的业务模式为既以收取合同现金流量为目标又以出售为目标，且此类金融资 产的合同现金流量特征与基本借贷安排相一致。本集团对此类金融资产按照公允价值计量且其变动计入其 他综合收益，但减值损失或利得、汇兑损益和按照实际利率法计算的利息收入计入当期损益。</w:t>
      </w:r>
    </w:p>
    <w:p>
      <w:pPr>
        <w:pStyle w:val="Style31"/>
        <w:keepNext w:val="0"/>
        <w:keepLines w:val="0"/>
        <w:widowControl w:val="0"/>
        <w:shd w:val="clear" w:color="auto" w:fill="auto"/>
        <w:bidi w:val="0"/>
        <w:spacing w:before="0" w:line="309" w:lineRule="exact"/>
        <w:ind w:left="0" w:right="0" w:firstLine="440"/>
        <w:jc w:val="both"/>
      </w:pPr>
      <w:r>
        <w:rPr>
          <w:color w:val="000000"/>
          <w:spacing w:val="0"/>
          <w:w w:val="100"/>
          <w:position w:val="0"/>
        </w:rPr>
        <w:t>此外，本集团将部分非交易性权益工具投资指定为以公允价值计量且其变动计入其他综合收益的金融 资产。本集团将该类金融资产的相关股利收入计入当期损益，公允价值变动计入其他综合收益。当该金融 资产终止确认时，之前计入其他综合收益的累计利得或损失将从其他综合收益转入留存收益，不计入当期 损益。</w:t>
      </w:r>
    </w:p>
    <w:p>
      <w:pPr>
        <w:pStyle w:val="Style31"/>
        <w:keepNext w:val="0"/>
        <w:keepLines w:val="0"/>
        <w:widowControl w:val="0"/>
        <w:numPr>
          <w:ilvl w:val="0"/>
          <w:numId w:val="121"/>
        </w:numPr>
        <w:shd w:val="clear" w:color="auto" w:fill="auto"/>
        <w:tabs>
          <w:tab w:pos="810" w:val="left"/>
        </w:tabs>
        <w:bidi w:val="0"/>
        <w:spacing w:before="0" w:line="311" w:lineRule="exact"/>
        <w:ind w:left="0" w:right="0" w:firstLine="440"/>
        <w:jc w:val="both"/>
      </w:pPr>
      <w:bookmarkStart w:id="791" w:name="bookmark791"/>
      <w:bookmarkEnd w:id="791"/>
      <w:r>
        <w:rPr>
          <w:color w:val="000000"/>
          <w:spacing w:val="0"/>
          <w:w w:val="100"/>
          <w:position w:val="0"/>
        </w:rPr>
        <w:t>以公允价值计量且其变动计入当期损益的金融资产</w:t>
      </w:r>
    </w:p>
    <w:p>
      <w:pPr>
        <w:pStyle w:val="Style31"/>
        <w:keepNext w:val="0"/>
        <w:keepLines w:val="0"/>
        <w:widowControl w:val="0"/>
        <w:shd w:val="clear" w:color="auto" w:fill="auto"/>
        <w:bidi w:val="0"/>
        <w:spacing w:before="0" w:line="307" w:lineRule="exact"/>
        <w:ind w:left="0" w:right="0" w:firstLine="440"/>
        <w:jc w:val="both"/>
      </w:pPr>
      <w:r>
        <w:rPr>
          <w:color w:val="000000"/>
          <w:spacing w:val="0"/>
          <w:w w:val="100"/>
          <w:position w:val="0"/>
        </w:rPr>
        <w:t>本集团将上述以摊余成本计量的金融资产和以公允价值计量且其变动计入其他综合收益的金融资产 之外的金融资产，分类为以公允价值计量且其变动计入当期损益的金融资产。此外，在初始确认时，本集 团为了消除或显著减少会计错配，将部分金融资产指定为以公允价值计量且其变动计入当期损益的金融资 产。对于此类金融资产，本集团采用公允价值进行后续计量，公允价值变动计入当期损益。</w:t>
      </w:r>
    </w:p>
    <w:p>
      <w:pPr>
        <w:pStyle w:val="Style31"/>
        <w:keepNext w:val="0"/>
        <w:keepLines w:val="0"/>
        <w:widowControl w:val="0"/>
        <w:shd w:val="clear" w:color="auto" w:fill="auto"/>
        <w:tabs>
          <w:tab w:pos="901" w:val="left"/>
        </w:tabs>
        <w:bidi w:val="0"/>
        <w:spacing w:before="0" w:line="311" w:lineRule="exact"/>
        <w:ind w:left="0" w:right="0" w:firstLine="440"/>
        <w:jc w:val="both"/>
      </w:pPr>
      <w:bookmarkStart w:id="792" w:name="bookmark792"/>
      <w:r>
        <w:rPr>
          <w:color w:val="000000"/>
          <w:spacing w:val="0"/>
          <w:w w:val="100"/>
          <w:position w:val="0"/>
        </w:rPr>
        <w:t>（</w:t>
      </w:r>
      <w:bookmarkEnd w:id="792"/>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金融负债的分类、确认和计量</w:t>
      </w:r>
    </w:p>
    <w:p>
      <w:pPr>
        <w:pStyle w:val="Style31"/>
        <w:keepNext w:val="0"/>
        <w:keepLines w:val="0"/>
        <w:widowControl w:val="0"/>
        <w:shd w:val="clear" w:color="auto" w:fill="auto"/>
        <w:bidi w:val="0"/>
        <w:spacing w:before="0" w:line="314" w:lineRule="exact"/>
        <w:ind w:left="0" w:right="0" w:firstLine="440"/>
        <w:jc w:val="both"/>
      </w:pPr>
      <w:r>
        <w:rPr>
          <w:color w:val="000000"/>
          <w:spacing w:val="0"/>
          <w:w w:val="100"/>
          <w:position w:val="0"/>
        </w:rPr>
        <w:t>金融负债于初始确认时分类为以公允价值计量且其变动计入当期损益的金融负债和其他金融负债。对 于以公允价值计量且其变动计入当期损益的金融负债，相关交易费用直接计入当期损益，其他金融负债的 相关交易费用计入其初始确认金额。</w:t>
      </w:r>
    </w:p>
    <w:p>
      <w:pPr>
        <w:pStyle w:val="Style31"/>
        <w:keepNext w:val="0"/>
        <w:keepLines w:val="0"/>
        <w:widowControl w:val="0"/>
        <w:numPr>
          <w:ilvl w:val="0"/>
          <w:numId w:val="123"/>
        </w:numPr>
        <w:shd w:val="clear" w:color="auto" w:fill="auto"/>
        <w:tabs>
          <w:tab w:pos="805" w:val="left"/>
        </w:tabs>
        <w:bidi w:val="0"/>
        <w:spacing w:before="0" w:line="311" w:lineRule="exact"/>
        <w:ind w:left="0" w:right="0" w:firstLine="440"/>
        <w:jc w:val="both"/>
      </w:pPr>
      <w:bookmarkStart w:id="793" w:name="bookmark793"/>
      <w:bookmarkEnd w:id="793"/>
      <w:r>
        <w:rPr>
          <w:color w:val="000000"/>
          <w:spacing w:val="0"/>
          <w:w w:val="100"/>
          <w:position w:val="0"/>
        </w:rPr>
        <w:t>以公允价值计量且其变动计入当期损益的金融负债</w:t>
      </w:r>
    </w:p>
    <w:p>
      <w:pPr>
        <w:pStyle w:val="Style31"/>
        <w:keepNext w:val="0"/>
        <w:keepLines w:val="0"/>
        <w:widowControl w:val="0"/>
        <w:shd w:val="clear" w:color="auto" w:fill="auto"/>
        <w:bidi w:val="0"/>
        <w:spacing w:before="0" w:line="307" w:lineRule="exact"/>
        <w:ind w:left="0" w:right="0" w:firstLine="440"/>
        <w:jc w:val="both"/>
      </w:pPr>
      <w:r>
        <w:rPr>
          <w:color w:val="000000"/>
          <w:spacing w:val="0"/>
          <w:w w:val="100"/>
          <w:position w:val="0"/>
        </w:rPr>
        <w:t>以公允价值计量且其变动计入当期损益的金融负债，包括交易性金融负债（含属于金融负债的衍生工 具）和初始确认时指定为以公允价值计量且其变动计入当期损益的金融负债。</w:t>
      </w:r>
    </w:p>
    <w:p>
      <w:pPr>
        <w:pStyle w:val="Style31"/>
        <w:keepNext w:val="0"/>
        <w:keepLines w:val="0"/>
        <w:widowControl w:val="0"/>
        <w:shd w:val="clear" w:color="auto" w:fill="auto"/>
        <w:bidi w:val="0"/>
        <w:spacing w:before="0" w:line="317" w:lineRule="exact"/>
        <w:ind w:left="0" w:right="0" w:firstLine="440"/>
        <w:jc w:val="both"/>
      </w:pPr>
      <w:r>
        <w:rPr>
          <w:color w:val="000000"/>
          <w:spacing w:val="0"/>
          <w:w w:val="100"/>
          <w:position w:val="0"/>
        </w:rPr>
        <w:t>交易性金融负债（含属于金融负债的衍生工具），按照公允价值进行后续计量，除与套期会计有关外， 公允价值变动计入当期损益。</w:t>
      </w:r>
    </w:p>
    <w:p>
      <w:pPr>
        <w:pStyle w:val="Style31"/>
        <w:keepNext w:val="0"/>
        <w:keepLines w:val="0"/>
        <w:widowControl w:val="0"/>
        <w:shd w:val="clear" w:color="auto" w:fill="auto"/>
        <w:bidi w:val="0"/>
        <w:spacing w:before="0" w:line="311" w:lineRule="exact"/>
        <w:ind w:left="0" w:right="0" w:firstLine="440"/>
        <w:jc w:val="both"/>
      </w:pPr>
      <w:r>
        <w:rPr>
          <w:color w:val="000000"/>
          <w:spacing w:val="0"/>
          <w:w w:val="100"/>
          <w:position w:val="0"/>
        </w:rPr>
        <w:t>被指定为以公允价值计量且其变动计入当期损益的金融负债，该负债由本集团自身信用风险变动引起 的公允价值变动计入其他综合收益，且终止确认该负债时，计入其他综合收益的自身信用风险变动引起的 其公允价值累计变动额转入留存收益。其余公允价值变动计入当期损益。若按上述方式对该等金融负债的 自身信用风险变动的影响进行处理会造成或扩大损益中的会计错配的，本集团将该金融负债的全部利得或 损失（包括企业自身信用风险变动的影响金额）计入当期损益。</w:t>
      </w:r>
    </w:p>
    <w:p>
      <w:pPr>
        <w:pStyle w:val="Style31"/>
        <w:keepNext w:val="0"/>
        <w:keepLines w:val="0"/>
        <w:widowControl w:val="0"/>
        <w:numPr>
          <w:ilvl w:val="0"/>
          <w:numId w:val="123"/>
        </w:numPr>
        <w:shd w:val="clear" w:color="auto" w:fill="auto"/>
        <w:tabs>
          <w:tab w:pos="810" w:val="left"/>
        </w:tabs>
        <w:bidi w:val="0"/>
        <w:spacing w:before="0" w:line="311" w:lineRule="exact"/>
        <w:ind w:left="0" w:right="0" w:firstLine="440"/>
        <w:jc w:val="both"/>
      </w:pPr>
      <w:bookmarkStart w:id="794" w:name="bookmark794"/>
      <w:bookmarkEnd w:id="794"/>
      <w:r>
        <w:rPr>
          <w:color w:val="000000"/>
          <w:spacing w:val="0"/>
          <w:w w:val="100"/>
          <w:position w:val="0"/>
        </w:rPr>
        <w:t>其他金融负债</w:t>
      </w:r>
    </w:p>
    <w:p>
      <w:pPr>
        <w:pStyle w:val="Style31"/>
        <w:keepNext w:val="0"/>
        <w:keepLines w:val="0"/>
        <w:widowControl w:val="0"/>
        <w:shd w:val="clear" w:color="auto" w:fill="auto"/>
        <w:bidi w:val="0"/>
        <w:spacing w:before="0" w:line="310" w:lineRule="exact"/>
        <w:ind w:left="0" w:right="0" w:firstLine="440"/>
        <w:jc w:val="both"/>
      </w:pPr>
      <w:r>
        <w:rPr>
          <w:color w:val="000000"/>
          <w:spacing w:val="0"/>
          <w:w w:val="100"/>
          <w:position w:val="0"/>
        </w:rPr>
        <w:t>除金融资产转移不符合终止确认条件或继续涉入被转移金融资产所形成的金融负债、财务担保合同外 的其他金融负债分类为以摊余成本计量的金融负债，按摊余成本进行后续计量，终止确认或摊销产生的利 得或损失计入当期损益。</w:t>
      </w:r>
    </w:p>
    <w:p>
      <w:pPr>
        <w:pStyle w:val="Style31"/>
        <w:keepNext w:val="0"/>
        <w:keepLines w:val="0"/>
        <w:widowControl w:val="0"/>
        <w:shd w:val="clear" w:color="auto" w:fill="auto"/>
        <w:tabs>
          <w:tab w:pos="901" w:val="left"/>
        </w:tabs>
        <w:bidi w:val="0"/>
        <w:spacing w:before="0" w:line="311" w:lineRule="exact"/>
        <w:ind w:left="0" w:right="0" w:firstLine="440"/>
        <w:jc w:val="both"/>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金融资产转移的确认依据和计量方法</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满足下列条件之一的金融资产，予以终止确认：①收取该金融资产现金流量的合同权利终止；②该金 融资产已转移，且将金融资产所有权上几乎所有的风险和报酬转移给转入方；③该金融资产已转移，虽然 企业既没有转移也没有保留金融资产所有权上几乎所有的风险和报酬，但是放弃了对该金融资产的控制。</w:t>
      </w:r>
    </w:p>
    <w:p>
      <w:pPr>
        <w:pStyle w:val="Style31"/>
        <w:keepNext w:val="0"/>
        <w:keepLines w:val="0"/>
        <w:widowControl w:val="0"/>
        <w:shd w:val="clear" w:color="auto" w:fill="auto"/>
        <w:bidi w:val="0"/>
        <w:spacing w:before="0" w:line="314" w:lineRule="exact"/>
        <w:ind w:left="0" w:right="0" w:firstLine="440"/>
        <w:jc w:val="both"/>
      </w:pPr>
      <w:r>
        <w:rPr>
          <w:color w:val="000000"/>
          <w:spacing w:val="0"/>
          <w:w w:val="100"/>
          <w:position w:val="0"/>
        </w:rPr>
        <w:t>若企业既没有转移也没有保留金融资产所有权上几乎所有的风险和报酬，且未放弃对该金融资产的控 制的，则按照继续涉入所转移金融资产的程度确认有关金融资产，并相应确认有关负债。继续涉入所转移 金融资产的程度，是指该金融资产价值变动使企业面临的风险水平。</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金融资产整体转移满足终止确认条件的，将所转移金融资产的账面价值及因转移而收到的对价与原计 入其他综合收益的公允价值变动累计额之和的差额计入当期损益。</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金融资产部分转移满足终止确认条件的，将所转移金融资产的账面价值在终止确认及未终止确认部分 之间按其相对的公允价值进行分摊，并将因转移而收到的对价与应分摊至终止确认部分的原计入其他综合 收益的公允价值变动累计额之和与分摊的前述账面金额之差额计入当期损益。</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本集团对采用附追索权方式出售的金融资产，或将持有的金融资产背书转让，需确定该金融资产所有 权上几乎所有的风险和报酬是否已经转移。已将该金融资产所有权上几乎所有的风险和报酬转移给转入方 的，终止确认该金融资产；保留了金融资产所有权上几乎所有的风险和报酬的，不终止确认该金融资产； 既没有转移也没有保留金融资产所有权上几乎所有的风险和报酬的，则继续判断企业是否对该资产保留了 控制，并根据前面各段所述的原则进行会计处理。</w:t>
      </w:r>
    </w:p>
    <w:p>
      <w:pPr>
        <w:pStyle w:val="Style31"/>
        <w:keepNext w:val="0"/>
        <w:keepLines w:val="0"/>
        <w:widowControl w:val="0"/>
        <w:shd w:val="clear" w:color="auto" w:fill="auto"/>
        <w:bidi w:val="0"/>
        <w:spacing w:before="0" w:line="313" w:lineRule="exact"/>
        <w:ind w:left="0" w:right="0" w:firstLine="440"/>
        <w:jc w:val="both"/>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金融负债的终止确认</w:t>
      </w:r>
    </w:p>
    <w:p>
      <w:pPr>
        <w:pStyle w:val="Style31"/>
        <w:keepNext w:val="0"/>
        <w:keepLines w:val="0"/>
        <w:widowControl w:val="0"/>
        <w:shd w:val="clear" w:color="auto" w:fill="auto"/>
        <w:bidi w:val="0"/>
        <w:spacing w:before="0" w:line="313" w:lineRule="exact"/>
        <w:ind w:left="0" w:right="0" w:firstLine="440"/>
        <w:jc w:val="both"/>
      </w:pPr>
      <w:r>
        <w:rPr>
          <w:color w:val="000000"/>
          <w:spacing w:val="0"/>
          <w:w w:val="100"/>
          <w:position w:val="0"/>
        </w:rPr>
        <w:t>金融负债（或其一部分）的现时义务已经解除的，本集团终止确认该金融负债（或该部分金融负债）。 本集团（借入方）与借出方签订协议，以承担新金融负债的方式替换原金融负债，且新金融负债与原金融 负债的合同条款实质上不同的，终止确认原金融负债，同时确认一项新金融负债。本集团对原金融负债（或 其一部分）的合同条款作出实质性修改的，终止确认原金融负债，同时按照修改后的条款确认一项新金融 负债。</w:t>
      </w:r>
    </w:p>
    <w:p>
      <w:pPr>
        <w:pStyle w:val="Style31"/>
        <w:keepNext w:val="0"/>
        <w:keepLines w:val="0"/>
        <w:widowControl w:val="0"/>
        <w:shd w:val="clear" w:color="auto" w:fill="auto"/>
        <w:bidi w:val="0"/>
        <w:spacing w:before="0" w:after="0" w:line="326" w:lineRule="exact"/>
        <w:ind w:left="0" w:right="0" w:firstLine="440"/>
        <w:jc w:val="both"/>
      </w:pPr>
      <w:r>
        <w:rPr>
          <w:color w:val="000000"/>
          <w:spacing w:val="0"/>
          <w:w w:val="100"/>
          <w:position w:val="0"/>
        </w:rPr>
        <w:t>金融负债（或其一部分）终止确认的，本集团将其账面价值与支付的对价（包括转出的非现金资产或 承担的负债）之间的差额，计入当期损益。</w:t>
      </w:r>
    </w:p>
    <w:p>
      <w:pPr>
        <w:pStyle w:val="Style31"/>
        <w:keepNext w:val="0"/>
        <w:keepLines w:val="0"/>
        <w:widowControl w:val="0"/>
        <w:shd w:val="clear" w:color="auto" w:fill="auto"/>
        <w:tabs>
          <w:tab w:pos="648" w:val="left"/>
        </w:tabs>
        <w:bidi w:val="0"/>
        <w:spacing w:before="0" w:after="0" w:line="326" w:lineRule="exact"/>
        <w:ind w:left="0" w:right="0" w:firstLine="220"/>
        <w:jc w:val="both"/>
      </w:pPr>
      <w:bookmarkStart w:id="797" w:name="bookmark797"/>
      <w:r>
        <w:rPr>
          <w:color w:val="000000"/>
          <w:spacing w:val="0"/>
          <w:w w:val="100"/>
          <w:position w:val="0"/>
        </w:rPr>
        <w:t>（</w:t>
      </w:r>
      <w:bookmarkEnd w:id="797"/>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金融资产和金融负债的抵销</w:t>
      </w:r>
    </w:p>
    <w:p>
      <w:pPr>
        <w:pStyle w:val="Style31"/>
        <w:keepNext w:val="0"/>
        <w:keepLines w:val="0"/>
        <w:widowControl w:val="0"/>
        <w:shd w:val="clear" w:color="auto" w:fill="auto"/>
        <w:bidi w:val="0"/>
        <w:spacing w:before="0" w:after="0" w:line="326" w:lineRule="exact"/>
        <w:ind w:left="0" w:right="0" w:firstLine="440"/>
        <w:jc w:val="both"/>
      </w:pPr>
      <w:r>
        <w:rPr>
          <w:color w:val="000000"/>
          <w:spacing w:val="0"/>
          <w:w w:val="100"/>
          <w:position w:val="0"/>
        </w:rPr>
        <w:t>当本集团具有抵销已确认金额的金融资产和金融负债的法定权利，且该种法定权利是当前可执行的， 同时本集团计划以净额结算或同时变现该金融资产和清偿该金融负债时，金融资产和金融负债以相互抵销 后的净额在资产负债表内列示。除此以外，金融资产和金融负债在资产负债表内分别列示，不予相互抵销。</w:t>
      </w:r>
    </w:p>
    <w:p>
      <w:pPr>
        <w:pStyle w:val="Style31"/>
        <w:keepNext w:val="0"/>
        <w:keepLines w:val="0"/>
        <w:widowControl w:val="0"/>
        <w:shd w:val="clear" w:color="auto" w:fill="auto"/>
        <w:tabs>
          <w:tab w:pos="648" w:val="left"/>
        </w:tabs>
        <w:bidi w:val="0"/>
        <w:spacing w:before="0" w:after="0" w:line="313" w:lineRule="exact"/>
        <w:ind w:left="0" w:right="0" w:firstLine="220"/>
        <w:jc w:val="left"/>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rPr>
        <w:t>6</w:t>
      </w:r>
      <w:r>
        <w:rPr>
          <w:color w:val="000000"/>
          <w:spacing w:val="0"/>
          <w:w w:val="100"/>
          <w:position w:val="0"/>
        </w:rPr>
        <w:t>）</w:t>
        <w:tab/>
        <w:t>金融资产和金融负债的公允价值确定方法</w:t>
      </w:r>
    </w:p>
    <w:p>
      <w:pPr>
        <w:pStyle w:val="Style3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公允价值，是指市场参与者在计量日发生的有序交易中，出售一项资产所能收到或者转移一项负债所 需支付的价格。金融工具存在活跃市场的，本集团采用活跃市场中的报价确定其公允价值。活跃市场中的 报价是指易于定期从交易所、经纪商、行业协会、定价服务机构等获得的价格，且代表了在公平交易中实 际发生的市场交易的价格。金融工具不存在活跃市场的，本集团采用估值技术确定其公允价值。估值技术 包括参考熟悉情况并自愿交易的各方最近进行的市场交易中使用的价格、参照实质上相同的其他金融工具 当前的公允价值、现金流量折现法和期权定价模型等。在估值时，本集团采用在当前情况下适用并且有足 够可利用数据和其他信息支持的估值技术，选择与市场参与者在相关资产或负债的交易中所考虑的资产或 负债特征相一致的输入值，并尽可能优先使用相关可观察输入值。在相关可观察输入值无法取得或取得不 切实可行的情况下，使用不可输入值。</w:t>
      </w:r>
    </w:p>
    <w:p>
      <w:pPr>
        <w:pStyle w:val="Style31"/>
        <w:keepNext w:val="0"/>
        <w:keepLines w:val="0"/>
        <w:widowControl w:val="0"/>
        <w:shd w:val="clear" w:color="auto" w:fill="auto"/>
        <w:tabs>
          <w:tab w:pos="648" w:val="left"/>
        </w:tabs>
        <w:bidi w:val="0"/>
        <w:spacing w:before="0" w:after="0" w:line="313" w:lineRule="exact"/>
        <w:ind w:left="0" w:right="0" w:firstLine="220"/>
        <w:jc w:val="both"/>
      </w:pPr>
      <w:bookmarkStart w:id="799" w:name="bookmark799"/>
      <w:r>
        <w:rPr>
          <w:color w:val="000000"/>
          <w:spacing w:val="0"/>
          <w:w w:val="100"/>
          <w:position w:val="0"/>
        </w:rPr>
        <w:t>（</w:t>
      </w:r>
      <w:bookmarkEnd w:id="799"/>
      <w:r>
        <w:rPr>
          <w:rFonts w:ascii="Times New Roman" w:eastAsia="Times New Roman" w:hAnsi="Times New Roman" w:cs="Times New Roman"/>
          <w:color w:val="000000"/>
          <w:spacing w:val="0"/>
          <w:w w:val="100"/>
          <w:position w:val="0"/>
        </w:rPr>
        <w:t>7</w:t>
      </w:r>
      <w:r>
        <w:rPr>
          <w:color w:val="000000"/>
          <w:spacing w:val="0"/>
          <w:w w:val="100"/>
          <w:position w:val="0"/>
        </w:rPr>
        <w:t>）</w:t>
        <w:tab/>
        <w:t>权益工具</w:t>
      </w:r>
    </w:p>
    <w:p>
      <w:pPr>
        <w:pStyle w:val="Style3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权益工具是指能证明拥有本集团在扣除所有负债后的资产中的剩余权益的合同。本集团发行（含再融 资）、回购、出售或注销权益工具作为权益的变动处理，与权益性交易相关的交易费用从权益中扣减。本 集团不确认权益工具的公允价值变动。</w:t>
      </w:r>
    </w:p>
    <w:p>
      <w:pPr>
        <w:pStyle w:val="Style31"/>
        <w:keepNext w:val="0"/>
        <w:keepLines w:val="0"/>
        <w:widowControl w:val="0"/>
        <w:shd w:val="clear" w:color="auto" w:fill="auto"/>
        <w:bidi w:val="0"/>
        <w:spacing w:before="0" w:after="320" w:line="313" w:lineRule="exact"/>
        <w:ind w:left="0" w:right="0" w:firstLine="440"/>
        <w:jc w:val="both"/>
      </w:pPr>
      <w:r>
        <w:rPr>
          <w:color w:val="000000"/>
          <w:spacing w:val="0"/>
          <w:w w:val="100"/>
          <w:position w:val="0"/>
        </w:rPr>
        <w:t>本集团权益工具在存续期间分派股利（含分类为权益工具的工具所产生的</w:t>
      </w:r>
      <w:r>
        <w:rPr>
          <w:rFonts w:ascii="Times New Roman" w:eastAsia="Times New Roman" w:hAnsi="Times New Roman" w:cs="Times New Roman"/>
          <w:color w:val="000000"/>
          <w:spacing w:val="0"/>
          <w:w w:val="100"/>
          <w:position w:val="0"/>
        </w:rPr>
        <w:t>“</w:t>
      </w:r>
      <w:r>
        <w:rPr>
          <w:color w:val="000000"/>
          <w:spacing w:val="0"/>
          <w:w w:val="100"/>
          <w:position w:val="0"/>
        </w:rPr>
        <w:t>利息</w:t>
      </w:r>
      <w:r>
        <w:rPr>
          <w:rFonts w:ascii="Times New Roman" w:eastAsia="Times New Roman" w:hAnsi="Times New Roman" w:cs="Times New Roman"/>
          <w:color w:val="000000"/>
          <w:spacing w:val="0"/>
          <w:w w:val="100"/>
          <w:position w:val="0"/>
        </w:rPr>
        <w:t>”</w:t>
      </w:r>
      <w:r>
        <w:rPr>
          <w:color w:val="000000"/>
          <w:spacing w:val="0"/>
          <w:w w:val="100"/>
          <w:position w:val="0"/>
        </w:rPr>
        <w:t xml:space="preserve">）的，作为利润分配 </w:t>
      </w:r>
      <w:r>
        <w:rPr>
          <w:color w:val="000000"/>
          <w:spacing w:val="0"/>
          <w:w w:val="100"/>
          <w:position w:val="0"/>
        </w:rPr>
        <w:t>处理。</w:t>
      </w:r>
    </w:p>
    <w:p>
      <w:pPr>
        <w:pStyle w:val="Style28"/>
        <w:keepNext/>
        <w:keepLines/>
        <w:widowControl w:val="0"/>
        <w:shd w:val="clear" w:color="auto" w:fill="auto"/>
        <w:bidi w:val="0"/>
        <w:spacing w:before="0" w:after="260" w:line="312" w:lineRule="exact"/>
        <w:ind w:left="0" w:right="0" w:firstLine="0"/>
        <w:jc w:val="both"/>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rFonts w:ascii="Times New Roman" w:eastAsia="Times New Roman" w:hAnsi="Times New Roman" w:cs="Times New Roman"/>
          <w:color w:val="000000"/>
          <w:spacing w:val="0"/>
          <w:w w:val="100"/>
          <w:position w:val="0"/>
        </w:rPr>
        <w:t>1</w:t>
      </w:r>
      <w:r>
        <w:rPr>
          <w:color w:val="000000"/>
          <w:spacing w:val="0"/>
          <w:w w:val="100"/>
          <w:position w:val="0"/>
        </w:rPr>
        <w:t>、金融资产减值</w:t>
      </w:r>
      <w:bookmarkEnd w:id="800"/>
      <w:bookmarkEnd w:id="801"/>
      <w:bookmarkEnd w:id="803"/>
    </w:p>
    <w:p>
      <w:pPr>
        <w:pStyle w:val="Style31"/>
        <w:keepNext w:val="0"/>
        <w:keepLines w:val="0"/>
        <w:widowControl w:val="0"/>
        <w:shd w:val="clear" w:color="auto" w:fill="auto"/>
        <w:bidi w:val="0"/>
        <w:spacing w:before="0" w:line="314" w:lineRule="exact"/>
        <w:ind w:left="0" w:right="0" w:firstLine="440"/>
        <w:jc w:val="both"/>
      </w:pPr>
      <w:r>
        <w:rPr>
          <w:color w:val="000000"/>
          <w:spacing w:val="0"/>
          <w:w w:val="100"/>
          <w:position w:val="0"/>
        </w:rPr>
        <w:t>本集团需确认减值损失的金融资产系以摊余成本计量的金融资产、以公允价值计量且其变动计入其他 综合收益的债务工具、租赁应收款，主要包括应收票据、应收账款、应收款项融资、其他应收款、债权投 资、其他债权投资、长期应收款等。此外，对合同资产及部分财务担保合同，也按照本部分所述会计政策 计提减值准备和确认信用减值损失。</w:t>
      </w:r>
    </w:p>
    <w:p>
      <w:pPr>
        <w:pStyle w:val="Style31"/>
        <w:keepNext w:val="0"/>
        <w:keepLines w:val="0"/>
        <w:widowControl w:val="0"/>
        <w:shd w:val="clear" w:color="auto" w:fill="auto"/>
        <w:tabs>
          <w:tab w:pos="927" w:val="left"/>
        </w:tabs>
        <w:bidi w:val="0"/>
        <w:spacing w:before="0" w:line="312" w:lineRule="exact"/>
        <w:ind w:left="0" w:right="0" w:firstLine="440"/>
        <w:jc w:val="both"/>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rPr>
        <w:t>1</w:t>
      </w:r>
      <w:r>
        <w:rPr>
          <w:color w:val="000000"/>
          <w:spacing w:val="0"/>
          <w:w w:val="100"/>
          <w:position w:val="0"/>
        </w:rPr>
        <w:t>）</w:t>
        <w:tab/>
        <w:t>减值准备的确认方法</w:t>
      </w:r>
    </w:p>
    <w:p>
      <w:pPr>
        <w:pStyle w:val="Style31"/>
        <w:keepNext w:val="0"/>
        <w:keepLines w:val="0"/>
        <w:widowControl w:val="0"/>
        <w:shd w:val="clear" w:color="auto" w:fill="auto"/>
        <w:bidi w:val="0"/>
        <w:spacing w:before="0" w:line="307" w:lineRule="exact"/>
        <w:ind w:left="0" w:right="0" w:firstLine="440"/>
        <w:jc w:val="both"/>
      </w:pPr>
      <w:r>
        <w:rPr>
          <w:color w:val="000000"/>
          <w:spacing w:val="0"/>
          <w:w w:val="100"/>
          <w:position w:val="0"/>
        </w:rPr>
        <w:t>本集团以预期信用损失为基础，对上述各项目按照其适用的预期信用损失计量方法（一般方法或简化 方法）计提减值准备并确认信用减值损失。</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信用损失，是指本集团按照原实际利率折现的、根据合同应收的所有合同现金流量与预期收取的所有 现金流量之间的差额，即全部现金短缺的现值。其中，对于购买或源生的已发生信用减值的金融资产，本 集团按照该金融资产经信用调整的实际利率折现。</w:t>
      </w:r>
    </w:p>
    <w:p>
      <w:pPr>
        <w:pStyle w:val="Style31"/>
        <w:keepNext w:val="0"/>
        <w:keepLines w:val="0"/>
        <w:widowControl w:val="0"/>
        <w:shd w:val="clear" w:color="auto" w:fill="auto"/>
        <w:bidi w:val="0"/>
        <w:spacing w:before="0" w:line="313" w:lineRule="exact"/>
        <w:ind w:left="0" w:right="0" w:firstLine="440"/>
        <w:jc w:val="both"/>
      </w:pPr>
      <w:r>
        <w:rPr>
          <w:color w:val="000000"/>
          <w:spacing w:val="0"/>
          <w:w w:val="100"/>
          <w:position w:val="0"/>
        </w:rPr>
        <w:t>预期信用损失计量的一般方法是指，本集团在每个资产负债表日评估金融资产（含合同资产等其他适 用项目，下同）的信用风险自初始确认后是否已经显著增加，如果信用风险自初始确认后已显著增加，本 集团按照相当于整个存续期内预期信用损失的金额计量损失准备；如果信用风险自初始确认后未显著增 加，本集团按照相当于未来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个月内预期信用损失的金额计量损失准备。本集团在评估预期信用损失时， 考虑所有合理且有依据的信息，包括前瞻性信息。</w:t>
      </w:r>
    </w:p>
    <w:p>
      <w:pPr>
        <w:pStyle w:val="Style31"/>
        <w:keepNext w:val="0"/>
        <w:keepLines w:val="0"/>
        <w:widowControl w:val="0"/>
        <w:shd w:val="clear" w:color="auto" w:fill="auto"/>
        <w:bidi w:val="0"/>
        <w:spacing w:before="0" w:line="307" w:lineRule="exact"/>
        <w:ind w:left="0" w:right="0" w:firstLine="440"/>
        <w:jc w:val="both"/>
      </w:pPr>
      <w:r>
        <w:rPr>
          <w:color w:val="000000"/>
          <w:spacing w:val="0"/>
          <w:w w:val="100"/>
          <w:position w:val="0"/>
        </w:rPr>
        <w:t>对于在资产负债表日具有较低信用风险的金融工具，本集团假设其信用风险自初始确认后并未显著增 加，选择按照未来</w:t>
      </w:r>
      <w:r>
        <w:rPr>
          <w:rFonts w:ascii="Times New Roman" w:eastAsia="Times New Roman" w:hAnsi="Times New Roman" w:cs="Times New Roman"/>
          <w:color w:val="000000"/>
          <w:spacing w:val="0"/>
          <w:w w:val="100"/>
          <w:position w:val="0"/>
        </w:rPr>
        <w:t>12</w:t>
      </w:r>
      <w:r>
        <w:rPr>
          <w:color w:val="000000"/>
          <w:spacing w:val="0"/>
          <w:w w:val="100"/>
          <w:position w:val="0"/>
        </w:rPr>
        <w:t>个月内的预期信用损失计量损失准备。</w:t>
      </w:r>
    </w:p>
    <w:p>
      <w:pPr>
        <w:pStyle w:val="Style31"/>
        <w:keepNext w:val="0"/>
        <w:keepLines w:val="0"/>
        <w:widowControl w:val="0"/>
        <w:shd w:val="clear" w:color="auto" w:fill="auto"/>
        <w:tabs>
          <w:tab w:pos="927" w:val="left"/>
        </w:tabs>
        <w:bidi w:val="0"/>
        <w:spacing w:before="0" w:line="312" w:lineRule="exact"/>
        <w:ind w:left="0" w:right="0" w:firstLine="44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rPr>
        <w:t>2</w:t>
      </w:r>
      <w:r>
        <w:rPr>
          <w:color w:val="000000"/>
          <w:spacing w:val="0"/>
          <w:w w:val="100"/>
          <w:position w:val="0"/>
        </w:rPr>
        <w:t>）</w:t>
        <w:tab/>
        <w:t>信用风险自初始确认后是否显著增加的判断标准</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如果某项金融资产在资产负债表日确定的预计存续期内的违约概率显著高于在初始确认时确定的预 计存续期内的违约概率，则表明该项金融资产的信用风险显著增加。除特殊情况外，本集团采用未来</w:t>
      </w:r>
      <w:r>
        <w:rPr>
          <w:rFonts w:ascii="Times New Roman" w:eastAsia="Times New Roman" w:hAnsi="Times New Roman" w:cs="Times New Roman"/>
          <w:color w:val="000000"/>
          <w:spacing w:val="0"/>
          <w:w w:val="100"/>
          <w:position w:val="0"/>
        </w:rPr>
        <w:t>12</w:t>
      </w:r>
      <w:r>
        <w:rPr>
          <w:color w:val="000000"/>
          <w:spacing w:val="0"/>
          <w:w w:val="100"/>
          <w:position w:val="0"/>
        </w:rPr>
        <w:t>个 月内发生的违约风险的变化作为整个存续期内发生违约风险变化的合理估计，来确定自初始确认后信用风 险是否显著增加。</w:t>
      </w:r>
    </w:p>
    <w:p>
      <w:pPr>
        <w:pStyle w:val="Style31"/>
        <w:keepNext w:val="0"/>
        <w:keepLines w:val="0"/>
        <w:widowControl w:val="0"/>
        <w:shd w:val="clear" w:color="auto" w:fill="auto"/>
        <w:tabs>
          <w:tab w:pos="927" w:val="left"/>
        </w:tabs>
        <w:bidi w:val="0"/>
        <w:spacing w:before="0" w:line="312" w:lineRule="exact"/>
        <w:ind w:left="0" w:right="0" w:firstLine="440"/>
        <w:jc w:val="both"/>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rPr>
        <w:t>3</w:t>
      </w:r>
      <w:r>
        <w:rPr>
          <w:color w:val="000000"/>
          <w:spacing w:val="0"/>
          <w:w w:val="100"/>
          <w:position w:val="0"/>
        </w:rPr>
        <w:t>）</w:t>
        <w:tab/>
        <w:t>以组合为基础评估预期信用风险的组合方法</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本集团对信用风险显著不同的金融资产单项评价信用风险，如：应收关联方款项；与对方存在争议或 涉及诉讼、仲裁的应收款项；已有明显迹象表明债务人很可能无法履行还款义务的应收款项等。</w:t>
      </w:r>
    </w:p>
    <w:p>
      <w:pPr>
        <w:pStyle w:val="Style31"/>
        <w:keepNext w:val="0"/>
        <w:keepLines w:val="0"/>
        <w:widowControl w:val="0"/>
        <w:shd w:val="clear" w:color="auto" w:fill="auto"/>
        <w:bidi w:val="0"/>
        <w:spacing w:before="0" w:line="302" w:lineRule="exact"/>
        <w:ind w:left="0" w:right="0" w:firstLine="440"/>
        <w:jc w:val="both"/>
      </w:pPr>
      <w:r>
        <w:rPr>
          <w:color w:val="000000"/>
          <w:spacing w:val="0"/>
          <w:w w:val="100"/>
          <w:position w:val="0"/>
        </w:rPr>
        <w:t>除了单项评估信用风险的金融资产外，本集团基于共同风险特征将金融资产划分为不同的组别，在组 合的基础上评估信用风险。</w:t>
      </w:r>
    </w:p>
    <w:p>
      <w:pPr>
        <w:pStyle w:val="Style31"/>
        <w:keepNext w:val="0"/>
        <w:keepLines w:val="0"/>
        <w:widowControl w:val="0"/>
        <w:shd w:val="clear" w:color="auto" w:fill="auto"/>
        <w:tabs>
          <w:tab w:pos="927" w:val="left"/>
        </w:tabs>
        <w:bidi w:val="0"/>
        <w:spacing w:before="0" w:line="312" w:lineRule="exact"/>
        <w:ind w:left="0" w:right="0" w:firstLine="440"/>
        <w:jc w:val="both"/>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rPr>
        <w:t>4</w:t>
      </w:r>
      <w:r>
        <w:rPr>
          <w:color w:val="000000"/>
          <w:spacing w:val="0"/>
          <w:w w:val="100"/>
          <w:position w:val="0"/>
        </w:rPr>
        <w:t>）</w:t>
        <w:tab/>
        <w:t>金融资产减值的会计处理方法</w:t>
      </w:r>
    </w:p>
    <w:p>
      <w:pPr>
        <w:pStyle w:val="Style31"/>
        <w:keepNext w:val="0"/>
        <w:keepLines w:val="0"/>
        <w:widowControl w:val="0"/>
        <w:shd w:val="clear" w:color="auto" w:fill="auto"/>
        <w:bidi w:val="0"/>
        <w:spacing w:before="0" w:line="307" w:lineRule="exact"/>
        <w:ind w:left="0" w:right="0" w:firstLine="440"/>
        <w:jc w:val="both"/>
      </w:pPr>
      <w:r>
        <w:rPr>
          <w:color w:val="000000"/>
          <w:spacing w:val="0"/>
          <w:w w:val="100"/>
          <w:position w:val="0"/>
        </w:rPr>
        <w:t>期末，本集团计算各类金融资产的预计信用损失，如果该预计信用损失大于其当前减值准备的账面金 额，将其差额确认为减值损失；如果小于当前减值准备的账面金额，则将差额确认为减值利得。</w:t>
      </w:r>
    </w:p>
    <w:p>
      <w:pPr>
        <w:pStyle w:val="Style31"/>
        <w:keepNext w:val="0"/>
        <w:keepLines w:val="0"/>
        <w:widowControl w:val="0"/>
        <w:shd w:val="clear" w:color="auto" w:fill="auto"/>
        <w:tabs>
          <w:tab w:pos="927" w:val="left"/>
        </w:tabs>
        <w:bidi w:val="0"/>
        <w:spacing w:before="0" w:line="312" w:lineRule="exact"/>
        <w:ind w:left="0" w:right="0" w:firstLine="440"/>
        <w:jc w:val="both"/>
      </w:pPr>
      <w:bookmarkStart w:id="808" w:name="bookmark808"/>
      <w:r>
        <w:rPr>
          <w:color w:val="000000"/>
          <w:spacing w:val="0"/>
          <w:w w:val="100"/>
          <w:position w:val="0"/>
        </w:rPr>
        <w:t>（</w:t>
      </w:r>
      <w:bookmarkEnd w:id="808"/>
      <w:r>
        <w:rPr>
          <w:rFonts w:ascii="Times New Roman" w:eastAsia="Times New Roman" w:hAnsi="Times New Roman" w:cs="Times New Roman"/>
          <w:color w:val="000000"/>
          <w:spacing w:val="0"/>
          <w:w w:val="100"/>
          <w:position w:val="0"/>
        </w:rPr>
        <w:t>5</w:t>
      </w:r>
      <w:r>
        <w:rPr>
          <w:color w:val="000000"/>
          <w:spacing w:val="0"/>
          <w:w w:val="100"/>
          <w:position w:val="0"/>
        </w:rPr>
        <w:t>）</w:t>
        <w:tab/>
        <w:t>各类金融资产信用损失的确定方法</w:t>
      </w:r>
    </w:p>
    <w:p>
      <w:pPr>
        <w:pStyle w:val="Style31"/>
        <w:keepNext w:val="0"/>
        <w:keepLines w:val="0"/>
        <w:widowControl w:val="0"/>
        <w:numPr>
          <w:ilvl w:val="0"/>
          <w:numId w:val="125"/>
        </w:numPr>
        <w:shd w:val="clear" w:color="auto" w:fill="auto"/>
        <w:bidi w:val="0"/>
        <w:spacing w:before="0" w:line="312" w:lineRule="exact"/>
        <w:ind w:left="0" w:right="0" w:firstLine="440"/>
        <w:jc w:val="both"/>
      </w:pPr>
      <w:bookmarkStart w:id="809" w:name="bookmark809"/>
      <w:bookmarkEnd w:id="809"/>
      <w:r>
        <w:rPr>
          <w:color w:val="000000"/>
          <w:spacing w:val="0"/>
          <w:w w:val="100"/>
          <w:position w:val="0"/>
        </w:rPr>
        <w:t>应收票据</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本集团对于应收票据按照相当于整个存续期内的预期信用损失金额计量损失准备。基于应收票据的信</w:t>
      </w:r>
      <w:r>
        <w:br w:type="page"/>
      </w:r>
    </w:p>
    <w:p>
      <w:pPr>
        <w:pStyle w:val="Style14"/>
        <w:keepNext w:val="0"/>
        <w:keepLines w:val="0"/>
        <w:widowControl w:val="0"/>
        <w:shd w:val="clear" w:color="auto" w:fill="auto"/>
        <w:bidi w:val="0"/>
        <w:spacing w:before="0" w:after="0" w:line="240" w:lineRule="auto"/>
        <w:ind w:left="101" w:right="0" w:firstLine="0"/>
        <w:jc w:val="left"/>
        <w:rPr>
          <w:sz w:val="20"/>
          <w:szCs w:val="20"/>
        </w:rPr>
      </w:pPr>
      <w:r>
        <w:rPr>
          <w:color w:val="000000"/>
          <w:spacing w:val="0"/>
          <w:w w:val="100"/>
          <w:position w:val="0"/>
          <w:sz w:val="20"/>
          <w:szCs w:val="20"/>
        </w:rPr>
        <w:t>用风险特征，将其划分为不同组合:</w:t>
      </w:r>
    </w:p>
    <w:tbl>
      <w:tblPr>
        <w:tblOverlap w:val="never"/>
        <w:jc w:val="center"/>
        <w:tblLayout w:type="fixed"/>
      </w:tblPr>
      <w:tblGrid>
        <w:gridCol w:w="1834"/>
        <w:gridCol w:w="8045"/>
      </w:tblGrid>
      <w:tr>
        <w:trPr>
          <w:trHeight w:val="499"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r>
      <w:tr>
        <w:trPr>
          <w:trHeight w:val="48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应收票据组合</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本组合为信用等级较高银行承兑的银行承兑汇票</w:t>
            </w:r>
          </w:p>
        </w:tc>
      </w:tr>
      <w:tr>
        <w:trPr>
          <w:trHeight w:val="504"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应收票据组合</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本组合为信用等级一般银行承兑的银行承兑汇票以及商业承兑汇票</w:t>
            </w:r>
          </w:p>
        </w:tc>
      </w:tr>
    </w:tbl>
    <w:p>
      <w:pPr>
        <w:widowControl w:val="0"/>
        <w:spacing w:after="119" w:line="1" w:lineRule="exact"/>
      </w:pPr>
    </w:p>
    <w:p>
      <w:pPr>
        <w:pStyle w:val="Style31"/>
        <w:keepNext w:val="0"/>
        <w:keepLines w:val="0"/>
        <w:widowControl w:val="0"/>
        <w:shd w:val="clear" w:color="auto" w:fill="auto"/>
        <w:bidi w:val="0"/>
        <w:spacing w:before="0" w:after="120" w:line="314" w:lineRule="exact"/>
        <w:ind w:left="0" w:right="0" w:firstLine="540"/>
        <w:jc w:val="left"/>
      </w:pPr>
      <w:r>
        <w:rPr>
          <w:color w:val="000000"/>
          <w:spacing w:val="0"/>
          <w:w w:val="100"/>
          <w:position w:val="0"/>
        </w:rPr>
        <w:t>注：信用等级较高银行是指信用等级较高的</w:t>
      </w:r>
      <w:r>
        <w:rPr>
          <w:rFonts w:ascii="Times New Roman" w:eastAsia="Times New Roman" w:hAnsi="Times New Roman" w:cs="Times New Roman"/>
          <w:color w:val="000000"/>
          <w:spacing w:val="0"/>
          <w:w w:val="100"/>
          <w:position w:val="0"/>
        </w:rPr>
        <w:t>6</w:t>
      </w:r>
      <w:r>
        <w:rPr>
          <w:color w:val="000000"/>
          <w:spacing w:val="0"/>
          <w:w w:val="100"/>
          <w:position w:val="0"/>
        </w:rPr>
        <w:t>家大型商业银行和</w:t>
      </w:r>
      <w:r>
        <w:rPr>
          <w:rFonts w:ascii="Times New Roman" w:eastAsia="Times New Roman" w:hAnsi="Times New Roman" w:cs="Times New Roman"/>
          <w:color w:val="000000"/>
          <w:spacing w:val="0"/>
          <w:w w:val="100"/>
          <w:position w:val="0"/>
        </w:rPr>
        <w:t>9</w:t>
      </w:r>
      <w:r>
        <w:rPr>
          <w:color w:val="000000"/>
          <w:spacing w:val="0"/>
          <w:w w:val="100"/>
          <w:position w:val="0"/>
        </w:rPr>
        <w:t>家上市股份制商业银行。</w:t>
      </w:r>
      <w:r>
        <w:rPr>
          <w:rFonts w:ascii="Times New Roman" w:eastAsia="Times New Roman" w:hAnsi="Times New Roman" w:cs="Times New Roman"/>
          <w:color w:val="000000"/>
          <w:spacing w:val="0"/>
          <w:w w:val="100"/>
          <w:position w:val="0"/>
        </w:rPr>
        <w:t>6</w:t>
      </w:r>
      <w:r>
        <w:rPr>
          <w:color w:val="000000"/>
          <w:spacing w:val="0"/>
          <w:w w:val="100"/>
          <w:position w:val="0"/>
        </w:rPr>
        <w:t xml:space="preserve">家大型商 业银行分别为中国银行、中国农业银行、中国建设银行、中国工商银行、中国邮政储蓄银行、交通银行， </w:t>
      </w:r>
      <w:r>
        <w:rPr>
          <w:rFonts w:ascii="Times New Roman" w:eastAsia="Times New Roman" w:hAnsi="Times New Roman" w:cs="Times New Roman"/>
          <w:color w:val="000000"/>
          <w:spacing w:val="0"/>
          <w:w w:val="100"/>
          <w:position w:val="0"/>
        </w:rPr>
        <w:t>9</w:t>
      </w:r>
      <w:r>
        <w:rPr>
          <w:color w:val="000000"/>
          <w:spacing w:val="0"/>
          <w:w w:val="100"/>
          <w:position w:val="0"/>
        </w:rPr>
        <w:t>家上市股份制商业银行分别为招商银行、浦发银行、中信银行、中国光大银行、华夏银行、中国民生银 行、平安银行、兴业银行、浙商银行。上述银行信用良好，拥有国资背景或为上市银行，资金实力雄厚， 经营情况良好，根据银行主体评级情况，上述银行主体评级均达到</w:t>
      </w:r>
      <w:r>
        <w:rPr>
          <w:rFonts w:ascii="Times New Roman" w:eastAsia="Times New Roman" w:hAnsi="Times New Roman" w:cs="Times New Roman"/>
          <w:color w:val="000000"/>
          <w:spacing w:val="0"/>
          <w:w w:val="100"/>
          <w:position w:val="0"/>
        </w:rPr>
        <w:t>AAA</w:t>
      </w:r>
      <w:r>
        <w:rPr>
          <w:color w:val="000000"/>
          <w:spacing w:val="0"/>
          <w:w w:val="100"/>
          <w:position w:val="0"/>
        </w:rPr>
        <w:t>级且未来展望稳定，公开信息未发 现曾出现票据违约到期无法兑付的负面新闻，因此本集团将其划分为信用等级较高银行，且不计坏账准备。 除上述信用等级较高银行以外的其他银行划分为信用等级一般银行。</w:t>
      </w:r>
    </w:p>
    <w:p>
      <w:pPr>
        <w:pStyle w:val="Style31"/>
        <w:keepNext w:val="0"/>
        <w:keepLines w:val="0"/>
        <w:widowControl w:val="0"/>
        <w:numPr>
          <w:ilvl w:val="0"/>
          <w:numId w:val="125"/>
        </w:numPr>
        <w:shd w:val="clear" w:color="auto" w:fill="auto"/>
        <w:bidi w:val="0"/>
        <w:spacing w:before="0" w:after="120" w:line="314" w:lineRule="exact"/>
        <w:ind w:left="0" w:right="0" w:firstLine="540"/>
        <w:jc w:val="left"/>
      </w:pPr>
      <w:bookmarkStart w:id="810" w:name="bookmark810"/>
      <w:bookmarkEnd w:id="810"/>
      <w:r>
        <w:rPr>
          <w:color w:val="000000"/>
          <w:spacing w:val="0"/>
          <w:w w:val="100"/>
          <w:position w:val="0"/>
        </w:rPr>
        <w:t>应收账款及合同资产</w:t>
      </w:r>
    </w:p>
    <w:p>
      <w:pPr>
        <w:pStyle w:val="Style31"/>
        <w:keepNext w:val="0"/>
        <w:keepLines w:val="0"/>
        <w:widowControl w:val="0"/>
        <w:shd w:val="clear" w:color="auto" w:fill="auto"/>
        <w:bidi w:val="0"/>
        <w:spacing w:before="0" w:after="120" w:line="317" w:lineRule="exact"/>
        <w:ind w:left="0" w:right="0" w:firstLine="540"/>
        <w:jc w:val="left"/>
      </w:pPr>
      <w:r>
        <w:rPr>
          <w:color w:val="000000"/>
          <w:spacing w:val="0"/>
          <w:w w:val="100"/>
          <w:position w:val="0"/>
        </w:rPr>
        <w:t>对于不含重大融资成分的应收账款和合同资产，本集团按照相当于整个存续期内的预期信用损失金额 计量损失准备。</w:t>
      </w:r>
    </w:p>
    <w:p>
      <w:pPr>
        <w:pStyle w:val="Style31"/>
        <w:keepNext w:val="0"/>
        <w:keepLines w:val="0"/>
        <w:widowControl w:val="0"/>
        <w:shd w:val="clear" w:color="auto" w:fill="auto"/>
        <w:bidi w:val="0"/>
        <w:spacing w:before="0" w:after="220" w:line="312" w:lineRule="exact"/>
        <w:ind w:left="0" w:right="0" w:firstLine="540"/>
        <w:jc w:val="left"/>
      </w:pPr>
      <w:r>
        <w:rPr>
          <w:color w:val="000000"/>
          <w:spacing w:val="0"/>
          <w:w w:val="100"/>
          <w:position w:val="0"/>
        </w:rPr>
        <w:t>对于包含重大融资成分的应收账款、合同资产和租赁应收款，本集团选择始终按照相当于存续期内预 期信用损失的金额计量损失准备。</w:t>
      </w:r>
    </w:p>
    <w:p>
      <w:pPr>
        <w:pStyle w:val="Style14"/>
        <w:keepNext w:val="0"/>
        <w:keepLines w:val="0"/>
        <w:widowControl w:val="0"/>
        <w:shd w:val="clear" w:color="auto" w:fill="auto"/>
        <w:bidi w:val="0"/>
        <w:spacing w:before="0" w:after="0" w:line="240" w:lineRule="auto"/>
        <w:ind w:left="533" w:right="0" w:firstLine="0"/>
        <w:jc w:val="left"/>
        <w:rPr>
          <w:sz w:val="20"/>
          <w:szCs w:val="20"/>
        </w:rPr>
      </w:pPr>
      <w:r>
        <w:rPr>
          <w:color w:val="000000"/>
          <w:spacing w:val="0"/>
          <w:w w:val="100"/>
          <w:position w:val="0"/>
          <w:sz w:val="20"/>
          <w:szCs w:val="20"/>
        </w:rPr>
        <w:t>除了单项评估信用风险的应收账款外，基于其信用风险特征，将其划分为不同组合:</w:t>
      </w:r>
    </w:p>
    <w:tbl>
      <w:tblPr>
        <w:tblOverlap w:val="never"/>
        <w:jc w:val="center"/>
        <w:tblLayout w:type="fixed"/>
      </w:tblPr>
      <w:tblGrid>
        <w:gridCol w:w="2611"/>
        <w:gridCol w:w="7267"/>
      </w:tblGrid>
      <w:tr>
        <w:trPr>
          <w:trHeight w:val="494"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r>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应收账款组合</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本组合为政府部门、教育医疗单位的应收款项</w:t>
            </w:r>
          </w:p>
        </w:tc>
      </w:tr>
      <w:tr>
        <w:trPr>
          <w:trHeight w:val="48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应收账款组合</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本组合为企业及其他单位的应收款项</w:t>
            </w:r>
          </w:p>
        </w:tc>
      </w:tr>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合同资产组合</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本组合为业主尚未结算的建造工程款项</w:t>
            </w:r>
          </w:p>
        </w:tc>
      </w:tr>
      <w:tr>
        <w:trPr>
          <w:trHeight w:val="499"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合同资产组合</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本组合为质保金</w:t>
            </w:r>
          </w:p>
        </w:tc>
      </w:tr>
    </w:tbl>
    <w:p>
      <w:pPr>
        <w:widowControl w:val="0"/>
        <w:spacing w:after="119" w:line="1" w:lineRule="exact"/>
      </w:pPr>
    </w:p>
    <w:p>
      <w:pPr>
        <w:widowControl w:val="0"/>
        <w:spacing w:line="1" w:lineRule="exact"/>
      </w:pPr>
    </w:p>
    <w:p>
      <w:pPr>
        <w:pStyle w:val="Style14"/>
        <w:keepNext w:val="0"/>
        <w:keepLines w:val="0"/>
        <w:widowControl w:val="0"/>
        <w:shd w:val="clear" w:color="auto" w:fill="auto"/>
        <w:bidi w:val="0"/>
        <w:spacing w:before="0" w:after="0" w:line="307" w:lineRule="exact"/>
        <w:ind w:left="101" w:right="0" w:firstLine="0"/>
        <w:jc w:val="left"/>
        <w:rPr>
          <w:sz w:val="20"/>
          <w:szCs w:val="20"/>
        </w:rPr>
      </w:pPr>
      <w:r>
        <w:rPr>
          <w:color w:val="000000"/>
          <w:spacing w:val="0"/>
          <w:w w:val="100"/>
          <w:position w:val="0"/>
          <w:sz w:val="20"/>
          <w:szCs w:val="20"/>
        </w:rPr>
        <w:t>对于划分为组合的应收账款，本集团参考历史信用损失经验，结合当前状况以及对未来经济状况的预 测，编制应收账款账龄与整个存续期预期信用损失率对照表，计算预期信用损失：</w:t>
      </w:r>
    </w:p>
    <w:tbl>
      <w:tblPr>
        <w:tblOverlap w:val="never"/>
        <w:jc w:val="center"/>
        <w:tblLayout w:type="fixed"/>
      </w:tblPr>
      <w:tblGrid>
        <w:gridCol w:w="3542"/>
        <w:gridCol w:w="3163"/>
        <w:gridCol w:w="3173"/>
      </w:tblGrid>
      <w:tr>
        <w:trPr>
          <w:trHeight w:val="96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22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220" w:line="240" w:lineRule="auto"/>
              <w:ind w:left="0" w:right="0" w:firstLine="0"/>
              <w:jc w:val="center"/>
              <w:rPr>
                <w:sz w:val="20"/>
                <w:szCs w:val="20"/>
              </w:rPr>
            </w:pPr>
            <w:r>
              <w:rPr>
                <w:color w:val="000000"/>
                <w:spacing w:val="0"/>
                <w:w w:val="100"/>
                <w:position w:val="0"/>
                <w:sz w:val="20"/>
                <w:szCs w:val="20"/>
              </w:rPr>
              <w:t>应收账款组合</w:t>
            </w:r>
            <w:r>
              <w:rPr>
                <w:rFonts w:ascii="Times New Roman" w:eastAsia="Times New Roman" w:hAnsi="Times New Roman" w:cs="Times New Roman"/>
                <w:color w:val="000000"/>
                <w:spacing w:val="0"/>
                <w:w w:val="100"/>
                <w:position w:val="0"/>
                <w:sz w:val="20"/>
                <w:szCs w:val="20"/>
              </w:rPr>
              <w:t>1</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预期信用损失率（</w:t>
            </w:r>
            <w:r>
              <w:rPr>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rPr>
              <w:t>应收账款组合</w:t>
            </w:r>
            <w:r>
              <w:rPr>
                <w:rFonts w:ascii="Times New Roman" w:eastAsia="Times New Roman" w:hAnsi="Times New Roman" w:cs="Times New Roman"/>
                <w:color w:val="000000"/>
                <w:spacing w:val="0"/>
                <w:w w:val="100"/>
                <w:position w:val="0"/>
                <w:sz w:val="20"/>
                <w:szCs w:val="20"/>
              </w:rPr>
              <w:t>2</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预期信用损失率（</w:t>
            </w:r>
            <w:r>
              <w:rPr>
                <w:color w:val="000000"/>
                <w:spacing w:val="0"/>
                <w:w w:val="100"/>
                <w:position w:val="0"/>
                <w:sz w:val="20"/>
                <w:szCs w:val="20"/>
              </w:rPr>
              <w:t>％</w:t>
            </w:r>
            <w:r>
              <w:rPr>
                <w:color w:val="000000"/>
                <w:spacing w:val="0"/>
                <w:w w:val="100"/>
                <w:position w:val="0"/>
                <w:sz w:val="20"/>
                <w:szCs w:val="20"/>
              </w:rPr>
              <w:t>）</w:t>
            </w:r>
          </w:p>
        </w:tc>
      </w:tr>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年以内（含</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年，下同）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r>
      <w:tr>
        <w:trPr>
          <w:trHeight w:val="48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r>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30</w:t>
            </w:r>
          </w:p>
        </w:tc>
      </w:tr>
      <w:tr>
        <w:trPr>
          <w:trHeight w:val="504"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50</w:t>
            </w:r>
          </w:p>
        </w:tc>
      </w:tr>
    </w:tbl>
    <w:p>
      <w:pPr>
        <w:widowControl w:val="0"/>
        <w:spacing w:line="1" w:lineRule="exact"/>
      </w:pPr>
      <w:r>
        <w:br w:type="page"/>
      </w:r>
    </w:p>
    <w:tbl>
      <w:tblPr>
        <w:tblOverlap w:val="never"/>
        <w:jc w:val="center"/>
        <w:tblLayout w:type="fixed"/>
      </w:tblPr>
      <w:tblGrid>
        <w:gridCol w:w="3542"/>
        <w:gridCol w:w="3163"/>
        <w:gridCol w:w="3173"/>
      </w:tblGrid>
      <w:tr>
        <w:trPr>
          <w:trHeight w:val="96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20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220" w:line="240" w:lineRule="auto"/>
              <w:ind w:left="0" w:right="0" w:firstLine="0"/>
              <w:jc w:val="center"/>
              <w:rPr>
                <w:sz w:val="20"/>
                <w:szCs w:val="20"/>
              </w:rPr>
            </w:pPr>
            <w:r>
              <w:rPr>
                <w:color w:val="000000"/>
                <w:spacing w:val="0"/>
                <w:w w:val="100"/>
                <w:position w:val="0"/>
                <w:sz w:val="20"/>
                <w:szCs w:val="20"/>
              </w:rPr>
              <w:t>应收账款组合</w:t>
            </w:r>
            <w:r>
              <w:rPr>
                <w:rFonts w:ascii="Times New Roman" w:eastAsia="Times New Roman" w:hAnsi="Times New Roman" w:cs="Times New Roman"/>
                <w:color w:val="000000"/>
                <w:spacing w:val="0"/>
                <w:w w:val="100"/>
                <w:position w:val="0"/>
                <w:sz w:val="20"/>
                <w:szCs w:val="20"/>
              </w:rPr>
              <w:t>1</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预期信用损失率（</w:t>
            </w:r>
            <w:r>
              <w:rPr>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rPr>
              <w:t>应收账款组合</w:t>
            </w:r>
            <w:r>
              <w:rPr>
                <w:rFonts w:ascii="Times New Roman" w:eastAsia="Times New Roman" w:hAnsi="Times New Roman" w:cs="Times New Roman"/>
                <w:color w:val="000000"/>
                <w:spacing w:val="0"/>
                <w:w w:val="100"/>
                <w:position w:val="0"/>
                <w:sz w:val="20"/>
                <w:szCs w:val="20"/>
              </w:rPr>
              <w:t>2</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预期信用损失率（</w:t>
            </w:r>
            <w:r>
              <w:rPr>
                <w:color w:val="000000"/>
                <w:spacing w:val="0"/>
                <w:w w:val="100"/>
                <w:position w:val="0"/>
                <w:sz w:val="20"/>
                <w:szCs w:val="20"/>
              </w:rPr>
              <w:t>％</w:t>
            </w:r>
            <w:r>
              <w:rPr>
                <w:color w:val="000000"/>
                <w:spacing w:val="0"/>
                <w:w w:val="100"/>
                <w:position w:val="0"/>
                <w:sz w:val="20"/>
                <w:szCs w:val="20"/>
              </w:rPr>
              <w:t>）</w:t>
            </w:r>
          </w:p>
        </w:tc>
      </w:tr>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r>
      <w:tr>
        <w:trPr>
          <w:trHeight w:val="504"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r>
    </w:tbl>
    <w:p>
      <w:pPr>
        <w:widowControl w:val="0"/>
        <w:spacing w:after="119" w:line="1" w:lineRule="exact"/>
      </w:pPr>
    </w:p>
    <w:p>
      <w:pPr>
        <w:widowControl w:val="0"/>
        <w:spacing w:line="1" w:lineRule="exact"/>
      </w:pPr>
    </w:p>
    <w:p>
      <w:pPr>
        <w:pStyle w:val="Style14"/>
        <w:keepNext w:val="0"/>
        <w:keepLines w:val="0"/>
        <w:widowControl w:val="0"/>
        <w:shd w:val="clear" w:color="auto" w:fill="auto"/>
        <w:bidi w:val="0"/>
        <w:spacing w:before="0" w:after="0" w:line="307" w:lineRule="exact"/>
        <w:ind w:left="101" w:right="0" w:firstLine="0"/>
        <w:jc w:val="left"/>
        <w:rPr>
          <w:sz w:val="20"/>
          <w:szCs w:val="20"/>
        </w:rPr>
      </w:pPr>
      <w:r>
        <w:rPr>
          <w:color w:val="000000"/>
          <w:spacing w:val="0"/>
          <w:w w:val="100"/>
          <w:position w:val="0"/>
          <w:sz w:val="20"/>
          <w:szCs w:val="20"/>
        </w:rPr>
        <w:t>对于划分为组合的合同资产，本集团参考历史信用损失经验，结合当前状况以及对未来经济状况的预 测，编制合同资产账龄与整个存续期预期信用损失率对照表，计算预期信用损失：</w:t>
      </w:r>
    </w:p>
    <w:tbl>
      <w:tblPr>
        <w:tblOverlap w:val="never"/>
        <w:jc w:val="center"/>
        <w:tblLayout w:type="fixed"/>
      </w:tblPr>
      <w:tblGrid>
        <w:gridCol w:w="3600"/>
        <w:gridCol w:w="3134"/>
        <w:gridCol w:w="3144"/>
      </w:tblGrid>
      <w:tr>
        <w:trPr>
          <w:trHeight w:val="965"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20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220" w:line="240" w:lineRule="auto"/>
              <w:ind w:left="0" w:right="0" w:firstLine="0"/>
              <w:jc w:val="center"/>
              <w:rPr>
                <w:sz w:val="20"/>
                <w:szCs w:val="20"/>
              </w:rPr>
            </w:pPr>
            <w:r>
              <w:rPr>
                <w:color w:val="000000"/>
                <w:spacing w:val="0"/>
                <w:w w:val="100"/>
                <w:position w:val="0"/>
                <w:sz w:val="20"/>
                <w:szCs w:val="20"/>
              </w:rPr>
              <w:t>合同资产组合</w:t>
            </w:r>
            <w:r>
              <w:rPr>
                <w:rFonts w:ascii="Times New Roman" w:eastAsia="Times New Roman" w:hAnsi="Times New Roman" w:cs="Times New Roman"/>
                <w:color w:val="000000"/>
                <w:spacing w:val="0"/>
                <w:w w:val="100"/>
                <w:position w:val="0"/>
                <w:sz w:val="20"/>
                <w:szCs w:val="20"/>
              </w:rPr>
              <w:t>1</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预期信用损失率（</w:t>
            </w:r>
            <w:r>
              <w:rPr>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rPr>
              <w:t>合同资产组合</w:t>
            </w:r>
            <w:r>
              <w:rPr>
                <w:rFonts w:ascii="Times New Roman" w:eastAsia="Times New Roman" w:hAnsi="Times New Roman" w:cs="Times New Roman"/>
                <w:color w:val="000000"/>
                <w:spacing w:val="0"/>
                <w:w w:val="100"/>
                <w:position w:val="0"/>
                <w:sz w:val="20"/>
                <w:szCs w:val="20"/>
              </w:rPr>
              <w:t>2</w:t>
            </w:r>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预期信用损失率（</w:t>
            </w:r>
            <w:r>
              <w:rPr>
                <w:color w:val="000000"/>
                <w:spacing w:val="0"/>
                <w:w w:val="100"/>
                <w:position w:val="0"/>
                <w:sz w:val="20"/>
                <w:szCs w:val="20"/>
              </w:rPr>
              <w:t>％</w:t>
            </w:r>
            <w:r>
              <w:rPr>
                <w:color w:val="000000"/>
                <w:spacing w:val="0"/>
                <w:w w:val="100"/>
                <w:position w:val="0"/>
                <w:sz w:val="20"/>
                <w:szCs w:val="20"/>
              </w:rPr>
              <w:t>）</w:t>
            </w:r>
          </w:p>
        </w:tc>
      </w:tr>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年以内（含</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年，下同）</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5</w:t>
            </w:r>
          </w:p>
        </w:tc>
      </w:tr>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10</w:t>
            </w:r>
          </w:p>
        </w:tc>
      </w:tr>
      <w:tr>
        <w:trPr>
          <w:trHeight w:val="48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30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30</w:t>
            </w:r>
          </w:p>
        </w:tc>
      </w:tr>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3-4</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50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50</w:t>
            </w:r>
          </w:p>
        </w:tc>
      </w:tr>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80</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680" w:right="0" w:firstLine="0"/>
              <w:jc w:val="left"/>
              <w:rPr>
                <w:sz w:val="20"/>
                <w:szCs w:val="20"/>
              </w:rPr>
            </w:pPr>
            <w:r>
              <w:rPr>
                <w:rFonts w:ascii="Times New Roman" w:eastAsia="Times New Roman" w:hAnsi="Times New Roman" w:cs="Times New Roman"/>
                <w:color w:val="000000"/>
                <w:spacing w:val="0"/>
                <w:w w:val="100"/>
                <w:position w:val="0"/>
                <w:sz w:val="20"/>
                <w:szCs w:val="20"/>
              </w:rPr>
              <w:t>80</w:t>
            </w:r>
          </w:p>
        </w:tc>
      </w:tr>
      <w:tr>
        <w:trPr>
          <w:trHeight w:val="499"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20"/>
                <w:szCs w:val="20"/>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r>
    </w:tbl>
    <w:p>
      <w:pPr>
        <w:widowControl w:val="0"/>
        <w:spacing w:after="179" w:line="1" w:lineRule="exact"/>
      </w:pPr>
    </w:p>
    <w:p>
      <w:pPr>
        <w:pStyle w:val="Style31"/>
        <w:keepNext w:val="0"/>
        <w:keepLines w:val="0"/>
        <w:widowControl w:val="0"/>
        <w:numPr>
          <w:ilvl w:val="0"/>
          <w:numId w:val="125"/>
        </w:numPr>
        <w:shd w:val="clear" w:color="auto" w:fill="auto"/>
        <w:bidi w:val="0"/>
        <w:spacing w:before="0" w:after="240" w:line="240" w:lineRule="auto"/>
        <w:ind w:left="0" w:right="0" w:firstLine="540"/>
        <w:jc w:val="left"/>
      </w:pPr>
      <w:bookmarkStart w:id="811" w:name="bookmark811"/>
      <w:bookmarkEnd w:id="811"/>
      <w:r>
        <w:rPr>
          <w:color w:val="000000"/>
          <w:spacing w:val="0"/>
          <w:w w:val="100"/>
          <w:position w:val="0"/>
        </w:rPr>
        <w:t>应收款项融资</w:t>
      </w:r>
    </w:p>
    <w:p>
      <w:pPr>
        <w:pStyle w:val="Style31"/>
        <w:keepNext w:val="0"/>
        <w:keepLines w:val="0"/>
        <w:widowControl w:val="0"/>
        <w:shd w:val="clear" w:color="auto" w:fill="auto"/>
        <w:bidi w:val="0"/>
        <w:spacing w:before="0" w:after="240" w:line="240" w:lineRule="auto"/>
        <w:ind w:left="0" w:right="0" w:firstLine="540"/>
        <w:jc w:val="left"/>
      </w:pPr>
      <w:r>
        <w:rPr>
          <w:color w:val="000000"/>
          <w:spacing w:val="0"/>
          <w:w w:val="100"/>
          <w:position w:val="0"/>
        </w:rPr>
        <w:t xml:space="preserve">以公允价值计量且其变动计入其他综合收益的应收票据和应收账款，自初始确认日起到期期限在一年 </w:t>
      </w:r>
      <w:r>
        <w:rPr>
          <w:color w:val="000000"/>
          <w:spacing w:val="0"/>
          <w:w w:val="100"/>
          <w:position w:val="0"/>
        </w:rPr>
        <w:t>内（含一年）的，列报为应收款项融资。本集团采用整个存续期的预期信用损失的金额计量减值损失。</w:t>
      </w:r>
    </w:p>
    <w:p>
      <w:pPr>
        <w:pStyle w:val="Style14"/>
        <w:keepNext w:val="0"/>
        <w:keepLines w:val="0"/>
        <w:widowControl w:val="0"/>
        <w:shd w:val="clear" w:color="auto" w:fill="auto"/>
        <w:bidi w:val="0"/>
        <w:spacing w:before="0" w:after="0" w:line="240" w:lineRule="auto"/>
        <w:ind w:left="120" w:right="0" w:firstLine="0"/>
        <w:jc w:val="left"/>
        <w:rPr>
          <w:sz w:val="20"/>
          <w:szCs w:val="20"/>
        </w:rPr>
      </w:pPr>
      <w:r>
        <w:rPr>
          <w:color w:val="000000"/>
          <w:spacing w:val="0"/>
          <w:w w:val="100"/>
          <w:position w:val="0"/>
          <w:sz w:val="20"/>
          <w:szCs w:val="20"/>
        </w:rPr>
        <w:t>除了单项评估信用风险的应收款项融资外，基于其信用风险特征，将其划分为不同组合：</w:t>
      </w:r>
    </w:p>
    <w:tbl>
      <w:tblPr>
        <w:tblOverlap w:val="never"/>
        <w:jc w:val="center"/>
        <w:tblLayout w:type="fixed"/>
      </w:tblPr>
      <w:tblGrid>
        <w:gridCol w:w="2405"/>
        <w:gridCol w:w="7474"/>
      </w:tblGrid>
      <w:tr>
        <w:trPr>
          <w:trHeight w:val="499"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r>
      <w:tr>
        <w:trPr>
          <w:trHeight w:val="485"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应收款项融资组合</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本组合为信用等级较高银行承兑的银行承兑汇票</w:t>
            </w:r>
          </w:p>
        </w:tc>
      </w:tr>
      <w:tr>
        <w:trPr>
          <w:trHeight w:val="504"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应收款项融资组合</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本组合为应收客户账款</w:t>
            </w:r>
          </w:p>
        </w:tc>
      </w:tr>
    </w:tbl>
    <w:p>
      <w:pPr>
        <w:pStyle w:val="Style14"/>
        <w:keepNext w:val="0"/>
        <w:keepLines w:val="0"/>
        <w:widowControl w:val="0"/>
        <w:shd w:val="clear" w:color="auto" w:fill="auto"/>
        <w:bidi w:val="0"/>
        <w:spacing w:before="0" w:after="0" w:line="240" w:lineRule="auto"/>
        <w:ind w:left="518" w:right="0" w:firstLine="0"/>
        <w:jc w:val="left"/>
        <w:rPr>
          <w:sz w:val="20"/>
          <w:szCs w:val="20"/>
        </w:rPr>
      </w:pPr>
      <w:r>
        <w:rPr>
          <w:color w:val="000000"/>
          <w:spacing w:val="0"/>
          <w:w w:val="100"/>
          <w:position w:val="0"/>
          <w:sz w:val="20"/>
          <w:szCs w:val="20"/>
        </w:rPr>
        <w:t>④其他应收款</w:t>
      </w:r>
    </w:p>
    <w:p>
      <w:pPr>
        <w:widowControl w:val="0"/>
        <w:spacing w:after="119" w:line="1" w:lineRule="exact"/>
      </w:pPr>
    </w:p>
    <w:p>
      <w:pPr>
        <w:widowControl w:val="0"/>
        <w:spacing w:line="1" w:lineRule="exact"/>
      </w:pPr>
    </w:p>
    <w:p>
      <w:pPr>
        <w:pStyle w:val="Style14"/>
        <w:keepNext w:val="0"/>
        <w:keepLines w:val="0"/>
        <w:widowControl w:val="0"/>
        <w:shd w:val="clear" w:color="auto" w:fill="auto"/>
        <w:bidi w:val="0"/>
        <w:spacing w:before="0" w:after="0" w:line="307" w:lineRule="exact"/>
        <w:ind w:left="0" w:right="0" w:firstLine="0"/>
        <w:jc w:val="distribute"/>
        <w:rPr>
          <w:sz w:val="20"/>
          <w:szCs w:val="20"/>
        </w:rPr>
      </w:pPr>
      <w:r>
        <w:rPr>
          <w:color w:val="000000"/>
          <w:spacing w:val="0"/>
          <w:w w:val="100"/>
          <w:position w:val="0"/>
          <w:sz w:val="20"/>
          <w:szCs w:val="20"/>
        </w:rPr>
        <w:t>本集团依据其他应收款信用风险自初始确认后是否已经显著增加，采用相当于未来</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个月内、或整个 存续期的预期信用损失的金额计量减值损失。除了单项评估信用风险的其他应收款外，基于其信用风险特 征，将其划分为不同组合：</w:t>
      </w:r>
    </w:p>
    <w:tbl>
      <w:tblPr>
        <w:tblOverlap w:val="never"/>
        <w:jc w:val="center"/>
        <w:tblLayout w:type="fixed"/>
      </w:tblPr>
      <w:tblGrid>
        <w:gridCol w:w="2390"/>
        <w:gridCol w:w="7488"/>
      </w:tblGrid>
      <w:tr>
        <w:trPr>
          <w:trHeight w:val="499"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r>
      <w:tr>
        <w:trPr>
          <w:trHeight w:val="7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其他应收款组合</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本组合为日常经常活动中应收取的各类押金、投标保证金、履约保证金、质量保 证金等应收款项</w:t>
            </w:r>
          </w:p>
        </w:tc>
      </w:tr>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其他应收款组合</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本组合为应向员工收取的备用金、代垫社保公积金、代垫费用等应收款项</w:t>
            </w:r>
          </w:p>
        </w:tc>
      </w:tr>
      <w:tr>
        <w:trPr>
          <w:trHeight w:val="504"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其他应收款组合</w:t>
            </w:r>
            <w:r>
              <w:rPr>
                <w:rFonts w:ascii="Times New Roman" w:eastAsia="Times New Roman" w:hAnsi="Times New Roman" w:cs="Times New Roman"/>
                <w:color w:val="000000"/>
                <w:spacing w:val="0"/>
                <w:w w:val="100"/>
                <w:position w:val="0"/>
                <w:sz w:val="20"/>
                <w:szCs w:val="20"/>
              </w:rPr>
              <w:t>3</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本组合为应收其他款项</w:t>
            </w:r>
          </w:p>
        </w:tc>
      </w:tr>
    </w:tbl>
    <w:p>
      <w:pPr>
        <w:pStyle w:val="Style31"/>
        <w:keepNext w:val="0"/>
        <w:keepLines w:val="0"/>
        <w:widowControl w:val="0"/>
        <w:numPr>
          <w:ilvl w:val="0"/>
          <w:numId w:val="127"/>
        </w:numPr>
        <w:shd w:val="clear" w:color="auto" w:fill="auto"/>
        <w:tabs>
          <w:tab w:pos="937" w:val="left"/>
        </w:tabs>
        <w:bidi w:val="0"/>
        <w:spacing w:before="0" w:line="310" w:lineRule="exact"/>
        <w:ind w:left="0" w:right="0" w:firstLine="540"/>
        <w:jc w:val="both"/>
      </w:pPr>
      <w:bookmarkStart w:id="812" w:name="bookmark812"/>
      <w:bookmarkEnd w:id="812"/>
      <w:r>
        <w:rPr>
          <w:color w:val="000000"/>
          <w:spacing w:val="0"/>
          <w:w w:val="100"/>
          <w:position w:val="0"/>
        </w:rPr>
        <w:t>债权投资</w:t>
      </w:r>
    </w:p>
    <w:p>
      <w:pPr>
        <w:pStyle w:val="Style31"/>
        <w:keepNext w:val="0"/>
        <w:keepLines w:val="0"/>
        <w:widowControl w:val="0"/>
        <w:shd w:val="clear" w:color="auto" w:fill="auto"/>
        <w:bidi w:val="0"/>
        <w:spacing w:before="0" w:line="298" w:lineRule="exact"/>
        <w:ind w:left="0" w:right="0" w:firstLine="540"/>
        <w:jc w:val="both"/>
      </w:pPr>
      <w:r>
        <w:rPr>
          <w:color w:val="000000"/>
          <w:spacing w:val="0"/>
          <w:w w:val="100"/>
          <w:position w:val="0"/>
        </w:rPr>
        <w:t>债权投资主要核算以摊余成本计量的债券投资等。本集团依据其信用风险自初始确认后是否已经显著 增加，采用相当于未来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个月内、或整个存续期的预期信用损失的金额计量减值损失。</w:t>
      </w:r>
    </w:p>
    <w:p>
      <w:pPr>
        <w:pStyle w:val="Style31"/>
        <w:keepNext w:val="0"/>
        <w:keepLines w:val="0"/>
        <w:widowControl w:val="0"/>
        <w:numPr>
          <w:ilvl w:val="0"/>
          <w:numId w:val="127"/>
        </w:numPr>
        <w:shd w:val="clear" w:color="auto" w:fill="auto"/>
        <w:tabs>
          <w:tab w:pos="937" w:val="left"/>
        </w:tabs>
        <w:bidi w:val="0"/>
        <w:spacing w:before="0" w:line="310" w:lineRule="exact"/>
        <w:ind w:left="0" w:right="0" w:firstLine="540"/>
        <w:jc w:val="both"/>
      </w:pPr>
      <w:bookmarkStart w:id="813" w:name="bookmark813"/>
      <w:bookmarkEnd w:id="813"/>
      <w:r>
        <w:rPr>
          <w:color w:val="000000"/>
          <w:spacing w:val="0"/>
          <w:w w:val="100"/>
          <w:position w:val="0"/>
        </w:rPr>
        <w:t>其他债权投资</w:t>
      </w:r>
    </w:p>
    <w:p>
      <w:pPr>
        <w:pStyle w:val="Style31"/>
        <w:keepNext w:val="0"/>
        <w:keepLines w:val="0"/>
        <w:widowControl w:val="0"/>
        <w:shd w:val="clear" w:color="auto" w:fill="auto"/>
        <w:bidi w:val="0"/>
        <w:spacing w:before="0" w:line="310" w:lineRule="exact"/>
        <w:ind w:left="0" w:right="0" w:firstLine="540"/>
        <w:jc w:val="both"/>
      </w:pPr>
      <w:r>
        <w:rPr>
          <w:color w:val="000000"/>
          <w:spacing w:val="0"/>
          <w:w w:val="100"/>
          <w:position w:val="0"/>
        </w:rPr>
        <w:t>其他债权投资主要核算以公允价值计量且其变动计入其他综合收益的债券投资等，自初始确认日起到 期期限在一年以上的应收款项融资，也列报为其他债权投资。对于其他债权投资（包含列报在其他债权投 资中的包含重大融资成分的应收款项融资），本集团依据其信用风险自初始确认后是否已经显著增加，采 用相当于未来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个月内、或整个存续期的预期信用损失的金额计量减值损失。对于不包含重大融资成分的 应收款项融资，本集团按照相当于整个存续期内的预期信用损失金额计量损失准备。</w:t>
      </w:r>
    </w:p>
    <w:p>
      <w:pPr>
        <w:pStyle w:val="Style31"/>
        <w:keepNext w:val="0"/>
        <w:keepLines w:val="0"/>
        <w:widowControl w:val="0"/>
        <w:numPr>
          <w:ilvl w:val="0"/>
          <w:numId w:val="127"/>
        </w:numPr>
        <w:shd w:val="clear" w:color="auto" w:fill="auto"/>
        <w:tabs>
          <w:tab w:pos="937" w:val="left"/>
        </w:tabs>
        <w:bidi w:val="0"/>
        <w:spacing w:before="0" w:line="310" w:lineRule="exact"/>
        <w:ind w:left="0" w:right="0" w:firstLine="540"/>
        <w:jc w:val="both"/>
      </w:pPr>
      <w:bookmarkStart w:id="814" w:name="bookmark814"/>
      <w:bookmarkEnd w:id="814"/>
      <w:r>
        <w:rPr>
          <w:color w:val="000000"/>
          <w:spacing w:val="0"/>
          <w:w w:val="100"/>
          <w:position w:val="0"/>
        </w:rPr>
        <w:t>长期应收款</w:t>
      </w:r>
    </w:p>
    <w:p>
      <w:pPr>
        <w:pStyle w:val="Style31"/>
        <w:keepNext w:val="0"/>
        <w:keepLines w:val="0"/>
        <w:widowControl w:val="0"/>
        <w:shd w:val="clear" w:color="auto" w:fill="auto"/>
        <w:bidi w:val="0"/>
        <w:spacing w:before="0" w:line="317" w:lineRule="exact"/>
        <w:ind w:left="0" w:right="0" w:firstLine="540"/>
        <w:jc w:val="both"/>
      </w:pPr>
      <w:r>
        <w:rPr>
          <w:color w:val="000000"/>
          <w:spacing w:val="0"/>
          <w:w w:val="100"/>
          <w:position w:val="0"/>
        </w:rPr>
        <w:t>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号——收入》规范的交易形成的长期应收款，且未包含重大融资成分的，本集 团按照相当于整个存续期内的预期信用损失金额计量损失准备。</w:t>
      </w:r>
    </w:p>
    <w:p>
      <w:pPr>
        <w:pStyle w:val="Style31"/>
        <w:keepNext w:val="0"/>
        <w:keepLines w:val="0"/>
        <w:widowControl w:val="0"/>
        <w:shd w:val="clear" w:color="auto" w:fill="auto"/>
        <w:bidi w:val="0"/>
        <w:spacing w:before="0" w:line="326" w:lineRule="exact"/>
        <w:ind w:left="0" w:right="0" w:firstLine="540"/>
        <w:jc w:val="both"/>
      </w:pPr>
      <w:r>
        <w:rPr>
          <w:color w:val="000000"/>
          <w:spacing w:val="0"/>
          <w:w w:val="100"/>
          <w:position w:val="0"/>
        </w:rPr>
        <w:t>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号——收入》规范的交易形成的长期应收款，且包含重大融资成分的，本集团 选择始终按照相当于存续期内预期信用损失的金额计量损失准备。</w:t>
      </w:r>
    </w:p>
    <w:p>
      <w:pPr>
        <w:pStyle w:val="Style31"/>
        <w:keepNext w:val="0"/>
        <w:keepLines w:val="0"/>
        <w:widowControl w:val="0"/>
        <w:shd w:val="clear" w:color="auto" w:fill="auto"/>
        <w:bidi w:val="0"/>
        <w:spacing w:before="0" w:line="317" w:lineRule="exact"/>
        <w:ind w:left="0" w:right="0" w:firstLine="540"/>
        <w:jc w:val="both"/>
      </w:pPr>
      <w:r>
        <w:rPr>
          <w:color w:val="000000"/>
          <w:spacing w:val="0"/>
          <w:w w:val="100"/>
          <w:position w:val="0"/>
        </w:rPr>
        <w:t>由《企业会计准则第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号——租赁》规范的交易形成的应收融资租赁款和应收经营租赁款，本集团选 择始终按照相当于存续期内预期信用损失的金额计量损失准备。</w:t>
      </w:r>
    </w:p>
    <w:p>
      <w:pPr>
        <w:pStyle w:val="Style31"/>
        <w:keepNext w:val="0"/>
        <w:keepLines w:val="0"/>
        <w:widowControl w:val="0"/>
        <w:shd w:val="clear" w:color="auto" w:fill="auto"/>
        <w:bidi w:val="0"/>
        <w:spacing w:before="0" w:after="240" w:line="302" w:lineRule="exact"/>
        <w:ind w:left="0" w:right="0" w:firstLine="540"/>
        <w:jc w:val="both"/>
      </w:pPr>
      <w:r>
        <w:rPr>
          <w:color w:val="000000"/>
          <w:spacing w:val="0"/>
          <w:w w:val="100"/>
          <w:position w:val="0"/>
        </w:rPr>
        <w:t>对于不适用或不选择简化处理方法的应收款项，本集团依据其信用风险自初始确认后是否已经显著增 加，采用相当于未来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个月内、或整个存续期的预期信用损失的金额计量长期应收款减值损失。</w:t>
      </w:r>
    </w:p>
    <w:p>
      <w:pPr>
        <w:pStyle w:val="Style14"/>
        <w:keepNext w:val="0"/>
        <w:keepLines w:val="0"/>
        <w:widowControl w:val="0"/>
        <w:shd w:val="clear" w:color="auto" w:fill="auto"/>
        <w:bidi w:val="0"/>
        <w:spacing w:before="0" w:after="0" w:line="240" w:lineRule="auto"/>
        <w:ind w:left="533" w:right="0" w:firstLine="0"/>
        <w:jc w:val="left"/>
        <w:rPr>
          <w:sz w:val="20"/>
          <w:szCs w:val="20"/>
        </w:rPr>
      </w:pPr>
      <w:r>
        <w:rPr>
          <w:color w:val="000000"/>
          <w:spacing w:val="0"/>
          <w:w w:val="100"/>
          <w:position w:val="0"/>
          <w:sz w:val="20"/>
          <w:szCs w:val="20"/>
        </w:rPr>
        <w:t>除了单项评估信用风险的长期应收款外，基于其信用风险特征，将其划分为不同组合:</w:t>
      </w:r>
    </w:p>
    <w:tbl>
      <w:tblPr>
        <w:tblOverlap w:val="never"/>
        <w:jc w:val="center"/>
        <w:tblLayout w:type="fixed"/>
      </w:tblPr>
      <w:tblGrid>
        <w:gridCol w:w="2405"/>
        <w:gridCol w:w="7474"/>
      </w:tblGrid>
      <w:tr>
        <w:trPr>
          <w:trHeight w:val="499" w:hRule="exact"/>
        </w:trPr>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确定组合的依据</w:t>
            </w:r>
          </w:p>
        </w:tc>
      </w:tr>
      <w:tr>
        <w:trPr>
          <w:trHeight w:val="490"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长期应收款组合</w:t>
            </w:r>
            <w:r>
              <w:rPr>
                <w:rFonts w:ascii="Times New Roman" w:eastAsia="Times New Roman" w:hAnsi="Times New Roman" w:cs="Times New Roman"/>
                <w:color w:val="000000"/>
                <w:spacing w:val="0"/>
                <w:w w:val="100"/>
                <w:position w:val="0"/>
                <w:sz w:val="20"/>
                <w:szCs w:val="20"/>
              </w:rPr>
              <w:t>1</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本组合为未逾期长期应收款</w:t>
            </w:r>
          </w:p>
        </w:tc>
      </w:tr>
      <w:tr>
        <w:trPr>
          <w:trHeight w:val="504"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长期应收款组合</w:t>
            </w:r>
            <w:r>
              <w:rPr>
                <w:rFonts w:ascii="Times New Roman" w:eastAsia="Times New Roman" w:hAnsi="Times New Roman" w:cs="Times New Roman"/>
                <w:color w:val="000000"/>
                <w:spacing w:val="0"/>
                <w:w w:val="100"/>
                <w:position w:val="0"/>
                <w:sz w:val="20"/>
                <w:szCs w:val="20"/>
              </w:rPr>
              <w:t>2</w:t>
            </w: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本组合为已逾期长期应收款</w:t>
            </w:r>
          </w:p>
        </w:tc>
      </w:tr>
    </w:tbl>
    <w:p>
      <w:pPr>
        <w:widowControl w:val="0"/>
        <w:spacing w:after="239" w:line="1" w:lineRule="exact"/>
      </w:pPr>
    </w:p>
    <w:p>
      <w:pPr>
        <w:pStyle w:val="Style28"/>
        <w:keepNext/>
        <w:keepLines/>
        <w:widowControl w:val="0"/>
        <w:shd w:val="clear" w:color="auto" w:fill="auto"/>
        <w:tabs>
          <w:tab w:pos="474" w:val="left"/>
        </w:tabs>
        <w:bidi w:val="0"/>
        <w:spacing w:before="0" w:after="300" w:line="312" w:lineRule="exact"/>
        <w:ind w:left="0" w:right="0" w:firstLine="0"/>
        <w:jc w:val="both"/>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1</w:t>
      </w:r>
      <w:bookmarkEnd w:id="817"/>
      <w:r>
        <w:rPr>
          <w:rFonts w:ascii="Times New Roman" w:eastAsia="Times New Roman" w:hAnsi="Times New Roman" w:cs="Times New Roman"/>
          <w:color w:val="000000"/>
          <w:spacing w:val="0"/>
          <w:w w:val="100"/>
          <w:position w:val="0"/>
        </w:rPr>
        <w:t>2</w:t>
      </w:r>
      <w:r>
        <w:rPr>
          <w:color w:val="000000"/>
          <w:spacing w:val="0"/>
          <w:w w:val="100"/>
          <w:position w:val="0"/>
        </w:rPr>
        <w:t>、</w:t>
        <w:tab/>
        <w:t>应收款项融资</w:t>
      </w:r>
      <w:bookmarkEnd w:id="815"/>
      <w:bookmarkEnd w:id="816"/>
      <w:bookmarkEnd w:id="818"/>
    </w:p>
    <w:p>
      <w:pPr>
        <w:pStyle w:val="Style31"/>
        <w:keepNext w:val="0"/>
        <w:keepLines w:val="0"/>
        <w:widowControl w:val="0"/>
        <w:shd w:val="clear" w:color="auto" w:fill="auto"/>
        <w:bidi w:val="0"/>
        <w:spacing w:before="0" w:after="300" w:line="312" w:lineRule="exact"/>
        <w:ind w:left="0" w:right="0" w:firstLine="540"/>
        <w:jc w:val="both"/>
      </w:pPr>
      <w:r>
        <w:rPr>
          <w:color w:val="000000"/>
          <w:spacing w:val="0"/>
          <w:w w:val="100"/>
          <w:position w:val="0"/>
        </w:rPr>
        <w:t>分类为以公允价值计量且其变动计入其他综合收益的应收票据和应收账款，自初始确认日起到期期限 在一年内（含一年）的，列示为应收款项融资；自初始确认日起到期期限在一年以上的，列示为其他债权 投资。其相关会计政策参见本节五、</w:t>
      </w:r>
      <w:r>
        <w:rPr>
          <w:rFonts w:ascii="Times New Roman" w:eastAsia="Times New Roman" w:hAnsi="Times New Roman" w:cs="Times New Roman"/>
          <w:color w:val="000000"/>
          <w:spacing w:val="0"/>
          <w:w w:val="100"/>
          <w:position w:val="0"/>
        </w:rPr>
        <w:t>10</w:t>
      </w:r>
      <w:r>
        <w:rPr>
          <w:color w:val="000000"/>
          <w:spacing w:val="0"/>
          <w:w w:val="100"/>
          <w:position w:val="0"/>
        </w:rPr>
        <w:t>、“金融工具”及</w:t>
      </w:r>
      <w:r>
        <w:rPr>
          <w:rFonts w:ascii="Times New Roman" w:eastAsia="Times New Roman" w:hAnsi="Times New Roman" w:cs="Times New Roman"/>
          <w:color w:val="000000"/>
          <w:spacing w:val="0"/>
          <w:w w:val="100"/>
          <w:position w:val="0"/>
        </w:rPr>
        <w:t>11</w:t>
      </w:r>
      <w:r>
        <w:rPr>
          <w:color w:val="000000"/>
          <w:spacing w:val="0"/>
          <w:w w:val="100"/>
          <w:position w:val="0"/>
        </w:rPr>
        <w:t>、“金融资产减值”。</w:t>
      </w:r>
    </w:p>
    <w:p>
      <w:pPr>
        <w:pStyle w:val="Style28"/>
        <w:keepNext/>
        <w:keepLines/>
        <w:widowControl w:val="0"/>
        <w:shd w:val="clear" w:color="auto" w:fill="auto"/>
        <w:tabs>
          <w:tab w:pos="474" w:val="left"/>
        </w:tabs>
        <w:bidi w:val="0"/>
        <w:spacing w:before="0" w:after="300" w:line="312" w:lineRule="exact"/>
        <w:ind w:left="0" w:right="0" w:firstLine="0"/>
        <w:jc w:val="both"/>
      </w:pPr>
      <w:bookmarkStart w:id="819" w:name="bookmark819"/>
      <w:bookmarkStart w:id="820" w:name="bookmark820"/>
      <w:bookmarkStart w:id="821" w:name="bookmark821"/>
      <w:bookmarkStart w:id="822" w:name="bookmark822"/>
      <w:r>
        <w:rPr>
          <w:rFonts w:ascii="Times New Roman" w:eastAsia="Times New Roman" w:hAnsi="Times New Roman" w:cs="Times New Roman"/>
          <w:color w:val="000000"/>
          <w:spacing w:val="0"/>
          <w:w w:val="100"/>
          <w:position w:val="0"/>
        </w:rPr>
        <w:t>1</w:t>
      </w:r>
      <w:bookmarkEnd w:id="821"/>
      <w:r>
        <w:rPr>
          <w:rFonts w:ascii="Times New Roman" w:eastAsia="Times New Roman" w:hAnsi="Times New Roman" w:cs="Times New Roman"/>
          <w:color w:val="000000"/>
          <w:spacing w:val="0"/>
          <w:w w:val="100"/>
          <w:position w:val="0"/>
        </w:rPr>
        <w:t>3</w:t>
      </w:r>
      <w:r>
        <w:rPr>
          <w:color w:val="000000"/>
          <w:spacing w:val="0"/>
          <w:w w:val="100"/>
          <w:position w:val="0"/>
        </w:rPr>
        <w:t>、</w:t>
        <w:tab/>
        <w:t>存货</w:t>
      </w:r>
      <w:bookmarkEnd w:id="819"/>
      <w:bookmarkEnd w:id="820"/>
      <w:bookmarkEnd w:id="822"/>
    </w:p>
    <w:p>
      <w:pPr>
        <w:pStyle w:val="Style31"/>
        <w:keepNext w:val="0"/>
        <w:keepLines w:val="0"/>
        <w:widowControl w:val="0"/>
        <w:shd w:val="clear" w:color="auto" w:fill="auto"/>
        <w:tabs>
          <w:tab w:pos="1028" w:val="left"/>
        </w:tabs>
        <w:bidi w:val="0"/>
        <w:spacing w:before="0" w:line="312" w:lineRule="exact"/>
        <w:ind w:left="0" w:right="0" w:firstLine="540"/>
        <w:jc w:val="both"/>
      </w:pPr>
      <w:bookmarkStart w:id="823" w:name="bookmark823"/>
      <w:r>
        <w:rPr>
          <w:color w:val="000000"/>
          <w:spacing w:val="0"/>
          <w:w w:val="100"/>
          <w:position w:val="0"/>
        </w:rPr>
        <w:t>（</w:t>
      </w:r>
      <w:bookmarkEnd w:id="823"/>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p>
    <w:p>
      <w:pPr>
        <w:pStyle w:val="Style31"/>
        <w:keepNext w:val="0"/>
        <w:keepLines w:val="0"/>
        <w:widowControl w:val="0"/>
        <w:shd w:val="clear" w:color="auto" w:fill="auto"/>
        <w:bidi w:val="0"/>
        <w:spacing w:before="0" w:line="312" w:lineRule="exact"/>
        <w:ind w:left="0" w:right="0" w:firstLine="540"/>
        <w:jc w:val="both"/>
      </w:pPr>
      <w:r>
        <w:rPr>
          <w:color w:val="000000"/>
          <w:spacing w:val="0"/>
          <w:w w:val="100"/>
          <w:position w:val="0"/>
        </w:rPr>
        <w:t>存货主要包括原材料、在产品、库存商品、发出商品等，摊销期限不超过一年或一个营业周期的合同 履约成本也列报为存货。</w:t>
      </w:r>
    </w:p>
    <w:p>
      <w:pPr>
        <w:pStyle w:val="Style31"/>
        <w:keepNext w:val="0"/>
        <w:keepLines w:val="0"/>
        <w:widowControl w:val="0"/>
        <w:shd w:val="clear" w:color="auto" w:fill="auto"/>
        <w:tabs>
          <w:tab w:pos="1028" w:val="left"/>
        </w:tabs>
        <w:bidi w:val="0"/>
        <w:spacing w:before="0" w:line="312" w:lineRule="exact"/>
        <w:ind w:left="0" w:right="0" w:firstLine="540"/>
        <w:jc w:val="both"/>
      </w:pPr>
      <w:bookmarkStart w:id="824" w:name="bookmark824"/>
      <w:r>
        <w:rPr>
          <w:color w:val="000000"/>
          <w:spacing w:val="0"/>
          <w:w w:val="100"/>
          <w:position w:val="0"/>
        </w:rPr>
        <w:t>（</w:t>
      </w:r>
      <w:bookmarkEnd w:id="824"/>
      <w:r>
        <w:rPr>
          <w:rFonts w:ascii="Times New Roman" w:eastAsia="Times New Roman" w:hAnsi="Times New Roman" w:cs="Times New Roman"/>
          <w:color w:val="000000"/>
          <w:spacing w:val="0"/>
          <w:w w:val="100"/>
          <w:position w:val="0"/>
        </w:rPr>
        <w:t>2</w:t>
      </w:r>
      <w:r>
        <w:rPr>
          <w:color w:val="000000"/>
          <w:spacing w:val="0"/>
          <w:w w:val="100"/>
          <w:position w:val="0"/>
        </w:rPr>
        <w:t>）</w:t>
        <w:tab/>
        <w:t>存货取得和发出的计价方法</w:t>
      </w:r>
    </w:p>
    <w:p>
      <w:pPr>
        <w:pStyle w:val="Style31"/>
        <w:keepNext w:val="0"/>
        <w:keepLines w:val="0"/>
        <w:widowControl w:val="0"/>
        <w:shd w:val="clear" w:color="auto" w:fill="auto"/>
        <w:bidi w:val="0"/>
        <w:spacing w:before="0" w:line="307" w:lineRule="exact"/>
        <w:ind w:left="0" w:right="0" w:firstLine="540"/>
        <w:jc w:val="both"/>
      </w:pPr>
      <w:r>
        <w:rPr>
          <w:color w:val="000000"/>
          <w:spacing w:val="0"/>
          <w:w w:val="100"/>
          <w:position w:val="0"/>
        </w:rPr>
        <w:t>存货在取得时按实际成本计价，存货成本包括采购成本、加工成本和其他成本。领用和发出时按加权 平均法计价。</w:t>
      </w:r>
    </w:p>
    <w:p>
      <w:pPr>
        <w:pStyle w:val="Style31"/>
        <w:keepNext w:val="0"/>
        <w:keepLines w:val="0"/>
        <w:widowControl w:val="0"/>
        <w:shd w:val="clear" w:color="auto" w:fill="auto"/>
        <w:tabs>
          <w:tab w:pos="968" w:val="left"/>
        </w:tabs>
        <w:bidi w:val="0"/>
        <w:spacing w:before="0" w:line="312" w:lineRule="exact"/>
        <w:ind w:left="0" w:right="0" w:firstLine="540"/>
        <w:jc w:val="both"/>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存货可变现净值的确认和跌价准备的计提方法</w:t>
      </w:r>
    </w:p>
    <w:p>
      <w:pPr>
        <w:pStyle w:val="Style31"/>
        <w:keepNext w:val="0"/>
        <w:keepLines w:val="0"/>
        <w:widowControl w:val="0"/>
        <w:shd w:val="clear" w:color="auto" w:fill="auto"/>
        <w:bidi w:val="0"/>
        <w:spacing w:before="0" w:line="312" w:lineRule="exact"/>
        <w:ind w:left="0" w:right="0" w:firstLine="540"/>
        <w:jc w:val="both"/>
      </w:pPr>
      <w:r>
        <w:rPr>
          <w:color w:val="000000"/>
          <w:spacing w:val="0"/>
          <w:w w:val="100"/>
          <w:position w:val="0"/>
        </w:rPr>
        <w:t>可变现净值是指在日常活动中，存货的估计售价减去至完工时估计将要发生的成本、估计的销售费用 以及相关税费后的金额。在确定存货的可变现净值时，以取得的确凿证据为基础，同时考虑持有存货的目 的以及资产负债表日后事项的影响。</w:t>
      </w:r>
    </w:p>
    <w:p>
      <w:pPr>
        <w:pStyle w:val="Style31"/>
        <w:keepNext w:val="0"/>
        <w:keepLines w:val="0"/>
        <w:widowControl w:val="0"/>
        <w:shd w:val="clear" w:color="auto" w:fill="auto"/>
        <w:bidi w:val="0"/>
        <w:spacing w:before="0" w:line="312" w:lineRule="exact"/>
        <w:ind w:left="0" w:right="0" w:firstLine="540"/>
        <w:jc w:val="both"/>
      </w:pPr>
      <w:r>
        <w:rPr>
          <w:color w:val="000000"/>
          <w:spacing w:val="0"/>
          <w:w w:val="100"/>
          <w:position w:val="0"/>
        </w:rPr>
        <w:t>在资产负债表日，存货按照成本与可变现净值孰低计量。当其可变现净值低于成本时，提取存货跌价 准备。存货跌价准备通常按单个存货项目的成本高于其可变现净值的差额提取。对于数量繁多、单价较低 的存货，按存货类别计提存货跌价准备；对在同一地区生产和销售的产品系列相关、具有相同或类似最终 用途或目的，且难以与其他项目分开计量的存货，可合并计提存货跌价准备。</w:t>
      </w:r>
    </w:p>
    <w:p>
      <w:pPr>
        <w:pStyle w:val="Style31"/>
        <w:keepNext w:val="0"/>
        <w:keepLines w:val="0"/>
        <w:widowControl w:val="0"/>
        <w:shd w:val="clear" w:color="auto" w:fill="auto"/>
        <w:bidi w:val="0"/>
        <w:spacing w:before="0" w:line="302" w:lineRule="exact"/>
        <w:ind w:left="0" w:right="0" w:firstLine="540"/>
        <w:jc w:val="both"/>
      </w:pPr>
      <w:r>
        <w:rPr>
          <w:color w:val="000000"/>
          <w:spacing w:val="0"/>
          <w:w w:val="100"/>
          <w:position w:val="0"/>
        </w:rPr>
        <w:t>计提存货跌价准备后，如果以前减记存货价值的影响因素已经消失，导致存货的可变现净值高于其账 面价值的，在原己计提的存货跌价准备金额内予以转回，转回的金额计入当期损益。</w:t>
      </w:r>
    </w:p>
    <w:p>
      <w:pPr>
        <w:pStyle w:val="Style31"/>
        <w:keepNext w:val="0"/>
        <w:keepLines w:val="0"/>
        <w:widowControl w:val="0"/>
        <w:shd w:val="clear" w:color="auto" w:fill="auto"/>
        <w:tabs>
          <w:tab w:pos="968" w:val="left"/>
        </w:tabs>
        <w:bidi w:val="0"/>
        <w:spacing w:before="0" w:line="312" w:lineRule="exact"/>
        <w:ind w:left="0" w:right="0" w:firstLine="540"/>
        <w:jc w:val="both"/>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存货的盘存制度为永续盘存制。</w:t>
      </w:r>
    </w:p>
    <w:p>
      <w:pPr>
        <w:pStyle w:val="Style31"/>
        <w:keepNext w:val="0"/>
        <w:keepLines w:val="0"/>
        <w:widowControl w:val="0"/>
        <w:shd w:val="clear" w:color="auto" w:fill="auto"/>
        <w:tabs>
          <w:tab w:pos="968" w:val="left"/>
        </w:tabs>
        <w:bidi w:val="0"/>
        <w:spacing w:before="0" w:line="312" w:lineRule="exact"/>
        <w:ind w:left="0" w:right="0" w:firstLine="540"/>
        <w:jc w:val="both"/>
      </w:pPr>
      <w:bookmarkStart w:id="827" w:name="bookmark827"/>
      <w:r>
        <w:rPr>
          <w:color w:val="000000"/>
          <w:spacing w:val="0"/>
          <w:w w:val="100"/>
          <w:position w:val="0"/>
        </w:rPr>
        <w:t>（</w:t>
      </w:r>
      <w:bookmarkEnd w:id="827"/>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p>
    <w:p>
      <w:pPr>
        <w:pStyle w:val="Style31"/>
        <w:keepNext w:val="0"/>
        <w:keepLines w:val="0"/>
        <w:widowControl w:val="0"/>
        <w:shd w:val="clear" w:color="auto" w:fill="auto"/>
        <w:bidi w:val="0"/>
        <w:spacing w:before="0" w:after="300" w:line="312" w:lineRule="exact"/>
        <w:ind w:left="0" w:right="0" w:firstLine="540"/>
        <w:jc w:val="both"/>
      </w:pPr>
      <w:r>
        <w:rPr>
          <w:color w:val="000000"/>
          <w:spacing w:val="0"/>
          <w:w w:val="100"/>
          <w:position w:val="0"/>
        </w:rPr>
        <w:t>低值易耗品于领用时按一次摊销法摊销；包装物于领用时按一次摊销法摊销。</w:t>
      </w:r>
    </w:p>
    <w:p>
      <w:pPr>
        <w:pStyle w:val="Style28"/>
        <w:keepNext/>
        <w:keepLines/>
        <w:widowControl w:val="0"/>
        <w:shd w:val="clear" w:color="auto" w:fill="auto"/>
        <w:tabs>
          <w:tab w:pos="414" w:val="left"/>
        </w:tabs>
        <w:bidi w:val="0"/>
        <w:spacing w:before="0" w:after="300" w:line="312" w:lineRule="exact"/>
        <w:ind w:left="0" w:right="0" w:firstLine="0"/>
        <w:jc w:val="both"/>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1</w:t>
      </w:r>
      <w:bookmarkEnd w:id="830"/>
      <w:r>
        <w:rPr>
          <w:rFonts w:ascii="Times New Roman" w:eastAsia="Times New Roman" w:hAnsi="Times New Roman" w:cs="Times New Roman"/>
          <w:color w:val="000000"/>
          <w:spacing w:val="0"/>
          <w:w w:val="100"/>
          <w:position w:val="0"/>
        </w:rPr>
        <w:t>4</w:t>
      </w:r>
      <w:r>
        <w:rPr>
          <w:color w:val="000000"/>
          <w:spacing w:val="0"/>
          <w:w w:val="100"/>
          <w:position w:val="0"/>
        </w:rPr>
        <w:t>、</w:t>
        <w:tab/>
        <w:t>合同资产</w:t>
      </w:r>
      <w:bookmarkEnd w:id="828"/>
      <w:bookmarkEnd w:id="829"/>
      <w:bookmarkEnd w:id="831"/>
    </w:p>
    <w:p>
      <w:pPr>
        <w:pStyle w:val="Style31"/>
        <w:keepNext w:val="0"/>
        <w:keepLines w:val="0"/>
        <w:widowControl w:val="0"/>
        <w:shd w:val="clear" w:color="auto" w:fill="auto"/>
        <w:bidi w:val="0"/>
        <w:spacing w:before="0" w:line="310" w:lineRule="exact"/>
        <w:ind w:left="0" w:right="0" w:firstLine="540"/>
        <w:jc w:val="both"/>
      </w:pPr>
      <w:r>
        <w:rPr>
          <w:color w:val="000000"/>
          <w:spacing w:val="0"/>
          <w:w w:val="100"/>
          <w:position w:val="0"/>
        </w:rPr>
        <w:t>本集团将客户尚未支付合同对价，但本集团已经依据合同履行了履约义务，且不属于无条件（即仅取 决于时间流逝）向客户收款的权利，在资产负债表中列示为合同资产。同一合同下的合同资产和合同负债 以净额列示，不同合同下的合同资产和合同负债不予抵销。</w:t>
      </w:r>
    </w:p>
    <w:p>
      <w:pPr>
        <w:pStyle w:val="Style31"/>
        <w:keepNext w:val="0"/>
        <w:keepLines w:val="0"/>
        <w:widowControl w:val="0"/>
        <w:shd w:val="clear" w:color="auto" w:fill="auto"/>
        <w:bidi w:val="0"/>
        <w:spacing w:before="0" w:after="300" w:line="312" w:lineRule="exact"/>
        <w:ind w:left="0" w:right="0" w:firstLine="540"/>
        <w:jc w:val="both"/>
      </w:pPr>
      <w:r>
        <w:rPr>
          <w:color w:val="000000"/>
          <w:spacing w:val="0"/>
          <w:w w:val="100"/>
          <w:position w:val="0"/>
        </w:rPr>
        <w:t>合同资产预期信用损失的确定方法和会计处理方法参见本节五、</w:t>
      </w:r>
      <w:r>
        <w:rPr>
          <w:rFonts w:ascii="Times New Roman" w:eastAsia="Times New Roman" w:hAnsi="Times New Roman" w:cs="Times New Roman"/>
          <w:color w:val="000000"/>
          <w:spacing w:val="0"/>
          <w:w w:val="100"/>
          <w:position w:val="0"/>
        </w:rPr>
        <w:t>11</w:t>
      </w:r>
      <w:r>
        <w:rPr>
          <w:color w:val="000000"/>
          <w:spacing w:val="0"/>
          <w:w w:val="100"/>
          <w:position w:val="0"/>
        </w:rPr>
        <w:t>、“金融资产减值”。</w:t>
      </w:r>
    </w:p>
    <w:p>
      <w:pPr>
        <w:pStyle w:val="Style28"/>
        <w:keepNext/>
        <w:keepLines/>
        <w:widowControl w:val="0"/>
        <w:shd w:val="clear" w:color="auto" w:fill="auto"/>
        <w:tabs>
          <w:tab w:pos="414" w:val="left"/>
        </w:tabs>
        <w:bidi w:val="0"/>
        <w:spacing w:before="0" w:after="300" w:line="312" w:lineRule="exact"/>
        <w:ind w:left="0" w:right="0" w:firstLine="0"/>
        <w:jc w:val="both"/>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1</w:t>
      </w:r>
      <w:bookmarkEnd w:id="834"/>
      <w:r>
        <w:rPr>
          <w:rFonts w:ascii="Times New Roman" w:eastAsia="Times New Roman" w:hAnsi="Times New Roman" w:cs="Times New Roman"/>
          <w:color w:val="000000"/>
          <w:spacing w:val="0"/>
          <w:w w:val="100"/>
          <w:position w:val="0"/>
        </w:rPr>
        <w:t>5</w:t>
      </w:r>
      <w:r>
        <w:rPr>
          <w:color w:val="000000"/>
          <w:spacing w:val="0"/>
          <w:w w:val="100"/>
          <w:position w:val="0"/>
        </w:rPr>
        <w:t>、</w:t>
        <w:tab/>
        <w:t>持有待售资产</w:t>
      </w:r>
      <w:bookmarkEnd w:id="832"/>
      <w:bookmarkEnd w:id="833"/>
      <w:bookmarkEnd w:id="835"/>
    </w:p>
    <w:p>
      <w:pPr>
        <w:pStyle w:val="Style31"/>
        <w:keepNext w:val="0"/>
        <w:keepLines w:val="0"/>
        <w:widowControl w:val="0"/>
        <w:shd w:val="clear" w:color="auto" w:fill="auto"/>
        <w:bidi w:val="0"/>
        <w:spacing w:before="0" w:line="312" w:lineRule="exact"/>
        <w:ind w:left="0" w:right="0" w:firstLine="540"/>
        <w:jc w:val="both"/>
      </w:pPr>
      <w:r>
        <w:rPr>
          <w:color w:val="000000"/>
          <w:spacing w:val="0"/>
          <w:w w:val="100"/>
          <w:position w:val="0"/>
        </w:rPr>
        <w:t>本集团若主要通过出售（包括具有商业实质的非货币性资产交换，下同）而非持续使用一项非流动资 产或处置组收回其账面价值的，则将其划分为持有待售类别。具体标准为同时满足以下条件：某项非流动 资产或处置组根据类似交易中出售此类资产或处置组的惯例，在当前状况下即可立即出售；本集团已经就 出售计划作出决议且获得确定的购买承诺；预计出售将在一年内完成。其中，处置组是指在一项交易中作 为整体通过出售或其他方式一并处置的一组资产，以及在该交易中转让的与这些资产直接相关的负债。处 置组所属的资产组或资产组组合按照《企业会计准则第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color w:val="000000"/>
          <w:spacing w:val="0"/>
          <w:w w:val="100"/>
          <w:position w:val="0"/>
        </w:rPr>
        <w:t>一一</w:t>
      </w:r>
      <w:r>
        <w:rPr>
          <w:color w:val="000000"/>
          <w:spacing w:val="0"/>
          <w:w w:val="100"/>
          <w:position w:val="0"/>
        </w:rPr>
        <w:t>资产减值》分摊了企业合并中取得的商誉 的，该处置组应当包含分摊至处置组的商誉。</w:t>
      </w:r>
    </w:p>
    <w:p>
      <w:pPr>
        <w:pStyle w:val="Style31"/>
        <w:keepNext w:val="0"/>
        <w:keepLines w:val="0"/>
        <w:widowControl w:val="0"/>
        <w:shd w:val="clear" w:color="auto" w:fill="auto"/>
        <w:bidi w:val="0"/>
        <w:spacing w:before="0" w:line="312" w:lineRule="exact"/>
        <w:ind w:left="0" w:right="0" w:firstLine="540"/>
        <w:jc w:val="both"/>
      </w:pPr>
      <w:r>
        <w:rPr>
          <w:color w:val="000000"/>
          <w:spacing w:val="0"/>
          <w:w w:val="100"/>
          <w:position w:val="0"/>
        </w:rPr>
        <w:t>本集团初始计量或在资产负债表日重新计量划分为持有待售的非流动资产和处置组时，其账面价值高 于公允价值减去出售费用后的净额的，将账面价值减记至公允价值减去出售费用后的净额，减记的金额确 认为资产减值损失，计入当期损益，同时计提持有待售资产减值准备。对于处置组，所确认的资产减值损 失先抵减处置组中商誉的账面价值，再按比例抵减该处置组内适用《企业会计准则第</w:t>
      </w:r>
      <w:r>
        <w:rPr>
          <w:rFonts w:ascii="Times New Roman" w:eastAsia="Times New Roman" w:hAnsi="Times New Roman" w:cs="Times New Roman"/>
          <w:color w:val="000000"/>
          <w:spacing w:val="0"/>
          <w:w w:val="100"/>
          <w:position w:val="0"/>
        </w:rPr>
        <w:t>42</w:t>
      </w:r>
      <w:r>
        <w:rPr>
          <w:color w:val="000000"/>
          <w:spacing w:val="0"/>
          <w:w w:val="100"/>
          <w:position w:val="0"/>
        </w:rPr>
        <w:t>号</w:t>
      </w:r>
      <w:r>
        <w:rPr>
          <w:color w:val="000000"/>
          <w:spacing w:val="0"/>
          <w:w w:val="100"/>
          <w:position w:val="0"/>
        </w:rPr>
        <w:t>一一</w:t>
      </w:r>
      <w:r>
        <w:rPr>
          <w:color w:val="000000"/>
          <w:spacing w:val="0"/>
          <w:w w:val="100"/>
          <w:position w:val="0"/>
        </w:rPr>
        <w:t>持有待售的 非流动资产、处置组和终止经营》（以下简称“持有待售准则”）的计量规定的各项非流动资产的账面价 值。后续资产负债表日持有待售的处置组公允价值减去出售费用后的净额增加的，以前减记的金额应当予 以恢复，并在划分为持有待售类别后适用持有待售准则计量规定的非流动资产确认的资产减值损失金额内 转回，转回金额计入当期损益，并根据处置组中除商誉外适用持有待售准则计量规定的各项非流动资产账 面价值所占比重按比例增加其账面价值；已抵减的商誉账面价值，以及适用持有待售准则计量规定的非流 动资产在划分为持有待售类别前确认的资产减值损失不得转回。</w:t>
      </w:r>
    </w:p>
    <w:p>
      <w:pPr>
        <w:pStyle w:val="Style31"/>
        <w:keepNext w:val="0"/>
        <w:keepLines w:val="0"/>
        <w:widowControl w:val="0"/>
        <w:shd w:val="clear" w:color="auto" w:fill="auto"/>
        <w:bidi w:val="0"/>
        <w:spacing w:before="0" w:line="317" w:lineRule="exact"/>
        <w:ind w:left="0" w:right="0" w:firstLine="440"/>
        <w:jc w:val="both"/>
      </w:pPr>
      <w:r>
        <w:rPr>
          <w:color w:val="000000"/>
          <w:spacing w:val="0"/>
          <w:w w:val="100"/>
          <w:position w:val="0"/>
        </w:rPr>
        <w:t>持有待售的非流动资产或处置组中的非流动资产不计提折旧或摊销，持有待售的处置组中负债的利息 和其他费用继续予以确认。</w:t>
      </w:r>
    </w:p>
    <w:p>
      <w:pPr>
        <w:pStyle w:val="Style31"/>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非流动资产或处置组不再满足持有待售类别的划分条件时，本集团不再将其继续划分为持有待售类别 或将非流动资产从持有待售的处置组中移除，并按照以下两者孰低计量：</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划分为持有待售类别前的 账面价值，按照假定不划分为持有待售类别情况下本应确认的折旧、摊销或减值等进行调整后的金额；</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可收回金额。</w:t>
      </w:r>
    </w:p>
    <w:p>
      <w:pPr>
        <w:pStyle w:val="Style28"/>
        <w:keepNext/>
        <w:keepLines/>
        <w:widowControl w:val="0"/>
        <w:shd w:val="clear" w:color="auto" w:fill="auto"/>
        <w:bidi w:val="0"/>
        <w:spacing w:before="0" w:after="220" w:line="326" w:lineRule="auto"/>
        <w:ind w:left="0" w:right="0" w:firstLine="0"/>
        <w:jc w:val="both"/>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1</w:t>
      </w:r>
      <w:bookmarkEnd w:id="838"/>
      <w:r>
        <w:rPr>
          <w:rFonts w:ascii="Times New Roman" w:eastAsia="Times New Roman" w:hAnsi="Times New Roman" w:cs="Times New Roman"/>
          <w:color w:val="000000"/>
          <w:spacing w:val="0"/>
          <w:w w:val="100"/>
          <w:position w:val="0"/>
        </w:rPr>
        <w:t>6</w:t>
      </w:r>
      <w:r>
        <w:rPr>
          <w:color w:val="000000"/>
          <w:spacing w:val="0"/>
          <w:w w:val="100"/>
          <w:position w:val="0"/>
        </w:rPr>
        <w:t>、长期股权投资</w:t>
      </w:r>
      <w:bookmarkEnd w:id="836"/>
      <w:bookmarkEnd w:id="837"/>
      <w:bookmarkEnd w:id="839"/>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本部分所指的长期股权投资是指本集团对被投资单位具有控制、共同控制或重大影响的长期股权投 资。本集团对被投资单位不具有控制、共同控制或重大影响的长期股权投资，作为以公允价值计量且其变 动计入当期损益的金融资产核算，其中如果属于非交易性的，本集团在初始确认时可选择将其指定为以公 允价值计量且其变动计入其他综合收益的金融资产核算，其会计政策详见本节五、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p>
    <w:p>
      <w:pPr>
        <w:pStyle w:val="Style31"/>
        <w:keepNext w:val="0"/>
        <w:keepLines w:val="0"/>
        <w:widowControl w:val="0"/>
        <w:shd w:val="clear" w:color="auto" w:fill="auto"/>
        <w:bidi w:val="0"/>
        <w:spacing w:before="0" w:line="310" w:lineRule="exact"/>
        <w:ind w:left="0" w:right="0" w:firstLine="440"/>
        <w:jc w:val="both"/>
      </w:pPr>
      <w:r>
        <w:rPr>
          <w:color w:val="000000"/>
          <w:spacing w:val="0"/>
          <w:w w:val="100"/>
          <w:position w:val="0"/>
        </w:rPr>
        <w:t>共同控制，是指本集团按照相关约定对某项安排所共有的控制，并且该安排的相关活动必须经过分享 控制权的参与方一致同意后才能决策。重大影响，是指本集团对被投资单位的财务和经营政策有参与决策 的权力，但并不能够控制或者与其他方一起共同控制这些政策的制定。</w:t>
      </w:r>
    </w:p>
    <w:p>
      <w:pPr>
        <w:pStyle w:val="Style31"/>
        <w:keepNext w:val="0"/>
        <w:keepLines w:val="0"/>
        <w:widowControl w:val="0"/>
        <w:shd w:val="clear" w:color="auto" w:fill="auto"/>
        <w:bidi w:val="0"/>
        <w:spacing w:before="0" w:line="312" w:lineRule="exact"/>
        <w:ind w:left="0" w:right="0" w:firstLine="440"/>
        <w:jc w:val="both"/>
      </w:pPr>
      <w:bookmarkStart w:id="840" w:name="bookmark840"/>
      <w:r>
        <w:rPr>
          <w:color w:val="000000"/>
          <w:spacing w:val="0"/>
          <w:w w:val="100"/>
          <w:position w:val="0"/>
        </w:rPr>
        <w:t>（</w:t>
      </w:r>
      <w:bookmarkEnd w:id="840"/>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投资成本的确定</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对于同一控制下的企业合并取得的长期股权投资，在合并日按照被合并方股东权益在最终控制方合并 财务报表中的账面价值的份额作为长期股权投资的初始投资成本。长期股权投资初始投资成本与支付的现 金、转让的非现金资产以及所承担债务账面价值之间的差额，调整资本公积；资本公积不足冲减的，调整 留存收益。以发行权益性证券作为合并对价的，在合并日按照被合并方股东权益在最终控制方合并财务报 表中的账面价值的份额作为长期股权投资的初始投资成本，按照发行股份的面值总额作为股本，长期股权 投资初始投资成本与所发行股份面值总额之间的差额，调整资本公积；资本公积不足冲减的，调整留存收 益。通过多次交易分步取得同一控制下被合并方的股权，最终形成同一控制下企业合并的，应分别是否属 于“一揽子交易”进行处理：属于“一揽子交易”的，将各项交易作为一项取得控制权的交易进行会计处 理。不属于“一揽子交易”的，在合并日按照应享有被合并方股东权益在最终控制方合并财务报表中的账 面价值的份额作为长期股权投资的初始投资成本，长期股权投资初始投资成本与达到合并前的长期股权投 资账面价值加上合并日进一步取得股份新支付对价的账面价值之和的差额，调整资本公积；资本公积不足 冲减的，调整留存收益。合并日之前持有的股权投资因采用权益法核算或作为以公允价值计量且其变动计 入其他综合收益的金融资产而确认的其他综合收益，暂不进行会计处理。</w:t>
      </w:r>
    </w:p>
    <w:p>
      <w:pPr>
        <w:pStyle w:val="Style31"/>
        <w:keepNext w:val="0"/>
        <w:keepLines w:val="0"/>
        <w:widowControl w:val="0"/>
        <w:shd w:val="clear" w:color="auto" w:fill="auto"/>
        <w:bidi w:val="0"/>
        <w:spacing w:before="0" w:line="313" w:lineRule="exact"/>
        <w:ind w:left="0" w:right="0" w:firstLine="440"/>
        <w:jc w:val="both"/>
      </w:pPr>
      <w:r>
        <w:rPr>
          <w:color w:val="000000"/>
          <w:spacing w:val="0"/>
          <w:w w:val="100"/>
          <w:position w:val="0"/>
        </w:rPr>
        <w:t>对于非同一控制下的企业合并取得的长期股权投资，在购买日按照合并成本作为长期股权投资的初始 投资成本，合并成本包括购买方付出的资产、发生或承担的负债、发行的权益性证券的公允价值之和。通 过多次交易分步取得被购买方的股权，最终形成非同一控制下的企业合并的，应分别是否属于“一揽子交 易”进行处理：属于“一揽子交易”的，将各项交易作为一项取得控制权的交易进行会计处理。不属于“一 揽子交易”的，按照原持有被购买方的股权投资账面价值加上新增投资成本之和，作为改按成本法核算的 长期股权投资的初始投资成本。原持有的股权采用权益法核算的，相关其他综合收益暂不进行会计处理。</w:t>
      </w:r>
    </w:p>
    <w:p>
      <w:pPr>
        <w:pStyle w:val="Style31"/>
        <w:keepNext w:val="0"/>
        <w:keepLines w:val="0"/>
        <w:widowControl w:val="0"/>
        <w:shd w:val="clear" w:color="auto" w:fill="auto"/>
        <w:bidi w:val="0"/>
        <w:spacing w:before="0" w:line="302" w:lineRule="exact"/>
        <w:ind w:left="0" w:right="0" w:firstLine="440"/>
        <w:jc w:val="both"/>
      </w:pPr>
      <w:r>
        <w:rPr>
          <w:color w:val="000000"/>
          <w:spacing w:val="0"/>
          <w:w w:val="100"/>
          <w:position w:val="0"/>
        </w:rPr>
        <w:t>合并方或购买方为企业合并发生的审计、法律服务、评估咨询等中介费用以及其他相关管理费用，于 发生时计入当期损益。</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 xml:space="preserve">除企业合并形成的长期股权投资外的其他股权投资，按成本进行初始计量，该成本视长期股权投资取 得方式的不同，分别按照本集团实际支付的现金购买价款、本集团发行的权益性证券的公允价值、投资合 同或协议约定的价值、非货币性资产交换交易中换出资产的公允价值或原账面价值、该项长期股权投资自 </w:t>
      </w:r>
      <w:r>
        <w:rPr>
          <w:color w:val="000000"/>
          <w:spacing w:val="0"/>
          <w:w w:val="100"/>
          <w:position w:val="0"/>
        </w:rPr>
        <w:t>身的公允价值等方式确定。与取得长期股权投资直接相关的费用、税金及其他必要支出也计入投资成本。 对于因追加投资能够对被投资单位实施重大影响或实施共同控制但不构成控制的，长期股权投资成本为按 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金融工具确认和计量》确定的原持有股权投资的公允价值加上新增投资成本 之和。</w:t>
      </w:r>
    </w:p>
    <w:p>
      <w:pPr>
        <w:pStyle w:val="Style31"/>
        <w:keepNext w:val="0"/>
        <w:keepLines w:val="0"/>
        <w:widowControl w:val="0"/>
        <w:shd w:val="clear" w:color="auto" w:fill="auto"/>
        <w:bidi w:val="0"/>
        <w:spacing w:before="0" w:line="312" w:lineRule="exact"/>
        <w:ind w:left="0" w:right="0" w:firstLine="440"/>
        <w:jc w:val="both"/>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后续计量及损益确认方法</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对被投资单位具有共同控制（构成共同经营者除外）或重大影响的长期股权投资，采用权益法核算。 此外，公司财务报表采用成本法核算能够对被投资单位实施控制的长期股权投资。</w:t>
      </w:r>
    </w:p>
    <w:p>
      <w:pPr>
        <w:pStyle w:val="Style31"/>
        <w:keepNext w:val="0"/>
        <w:keepLines w:val="0"/>
        <w:widowControl w:val="0"/>
        <w:numPr>
          <w:ilvl w:val="0"/>
          <w:numId w:val="129"/>
        </w:numPr>
        <w:shd w:val="clear" w:color="auto" w:fill="auto"/>
        <w:tabs>
          <w:tab w:pos="772" w:val="left"/>
        </w:tabs>
        <w:bidi w:val="0"/>
        <w:spacing w:before="0" w:line="312" w:lineRule="exact"/>
        <w:ind w:left="0" w:right="0" w:firstLine="440"/>
        <w:jc w:val="both"/>
      </w:pPr>
      <w:bookmarkStart w:id="842" w:name="bookmark842"/>
      <w:bookmarkEnd w:id="842"/>
      <w:r>
        <w:rPr>
          <w:color w:val="000000"/>
          <w:spacing w:val="0"/>
          <w:w w:val="100"/>
          <w:position w:val="0"/>
        </w:rPr>
        <w:t>成本法核算的长期股权投资</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采用成本法核算时，长期股权投资按初始投资成本计价，追加或收回投资调整长期股权投资的成本。 除取得投资时实际支付的价款或者对价中包含的已宣告但尚未发放的现金股利或者利润外，当期投资收益 按照享有被投资单位宣告发放的现金股利或利润确认。</w:t>
      </w:r>
    </w:p>
    <w:p>
      <w:pPr>
        <w:pStyle w:val="Style31"/>
        <w:keepNext w:val="0"/>
        <w:keepLines w:val="0"/>
        <w:widowControl w:val="0"/>
        <w:numPr>
          <w:ilvl w:val="0"/>
          <w:numId w:val="129"/>
        </w:numPr>
        <w:shd w:val="clear" w:color="auto" w:fill="auto"/>
        <w:tabs>
          <w:tab w:pos="777" w:val="left"/>
        </w:tabs>
        <w:bidi w:val="0"/>
        <w:spacing w:before="0" w:line="312" w:lineRule="exact"/>
        <w:ind w:left="0" w:right="0" w:firstLine="440"/>
        <w:jc w:val="both"/>
      </w:pPr>
      <w:bookmarkStart w:id="843" w:name="bookmark843"/>
      <w:bookmarkEnd w:id="843"/>
      <w:r>
        <w:rPr>
          <w:color w:val="000000"/>
          <w:spacing w:val="0"/>
          <w:w w:val="100"/>
          <w:position w:val="0"/>
        </w:rPr>
        <w:t>权益法核算的长期股权投资</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采用权益法核算时，长期股权投资的初始投资成本大于投资时应享有被投资单位可辨认净资产公允价 值份额的，不调整长期股权投资的初始投资成本；初始投资成本小于投资时应享有被投资单位可辨认净资 产公允价值份额的，其差额计入当期损益，同时调整长期股权投资的成本。</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采用权益法核算时，按照应享有或应分担的被投资单位实现的净损益和其他综合收益的份额，分别确 认投资收益和其他综合收益，同时调整长期股权投资的账面价值；按照被投资单位宣告分派的利润或现金 股利计算应享有的部分，相应减少长期股权投资的账面价值；对于被投资单位除净损益、其他综合收益和 利润分配以外所有者权益的其他变动，调整长期股权投资的账面价值并计入资本公积。在确认应享有被投 资单位净损益的份额时，以取得投资时被投资单位各项可辨认资产等的公允价值为基础，对被投资单位的 净利润进行调整后确认。被投资单位采用的会计政策及会计期间与本集团不一致的，按照本集团的会计政 策及会计期间对被投资单位的财务报表进行调整，并据以确认投资收益和其他综合收益。对于本集团与联 营企业及合营企业之间发生的交易，投出或出售的资产不构成业务的，未实现内部交易损益按照享有的比 例计算归属于本集团的部分予以抵销，在此基础上确认投资损益。但本集团与被投资单位发生的未实现内 部交易损失，属于所转让资产减值损失的，不予以抵销。本集团向合营企业或联营企业投出的资产构成业 务的，投资方因此取得长期股权投资但未取得控制权的，以投出业务的公允价值作为新增长期股权投资的 初始投资成本，初始投资成本与投出业务的账面价值之差，全额计入当期损益。本集团向合营企业或联营 企业出售的资产构成业务的，取得的对价与业务的账面价值之差，全额计入当期损益。本集团自联营企业 及合营企业购入的资产构成业务的，按《企业会计准则第</w:t>
      </w:r>
      <w:r>
        <w:rPr>
          <w:rFonts w:ascii="Times New Roman" w:eastAsia="Times New Roman" w:hAnsi="Times New Roman" w:cs="Times New Roman"/>
          <w:color w:val="000000"/>
          <w:spacing w:val="0"/>
          <w:w w:val="100"/>
          <w:position w:val="0"/>
        </w:rPr>
        <w:t>20</w:t>
      </w:r>
      <w:r>
        <w:rPr>
          <w:color w:val="000000"/>
          <w:spacing w:val="0"/>
          <w:w w:val="100"/>
          <w:position w:val="0"/>
        </w:rPr>
        <w:t>号</w:t>
      </w:r>
      <w:r>
        <w:rPr>
          <w:color w:val="000000"/>
          <w:spacing w:val="0"/>
          <w:w w:val="100"/>
          <w:position w:val="0"/>
        </w:rPr>
        <w:t>一一</w:t>
      </w:r>
      <w:r>
        <w:rPr>
          <w:color w:val="000000"/>
          <w:spacing w:val="0"/>
          <w:w w:val="100"/>
          <w:position w:val="0"/>
        </w:rPr>
        <w:t>企业合并》的规定进行会计处理，全额 确认与交易相关的利得或损失。</w:t>
      </w:r>
    </w:p>
    <w:p>
      <w:pPr>
        <w:pStyle w:val="Style31"/>
        <w:keepNext w:val="0"/>
        <w:keepLines w:val="0"/>
        <w:widowControl w:val="0"/>
        <w:shd w:val="clear" w:color="auto" w:fill="auto"/>
        <w:bidi w:val="0"/>
        <w:spacing w:before="0" w:line="314" w:lineRule="exact"/>
        <w:ind w:left="0" w:right="0" w:firstLine="440"/>
        <w:jc w:val="both"/>
      </w:pPr>
      <w:r>
        <w:rPr>
          <w:color w:val="000000"/>
          <w:spacing w:val="0"/>
          <w:w w:val="100"/>
          <w:position w:val="0"/>
        </w:rPr>
        <w:t>在确认应分担被投资单位发生的净亏损时，以长期股权投资的账面价值和其他实质上构成对被投资单 位净投资的长期权益减记至零为限。此外，如本集团对被投资单位负有承担额外损失的义务，则按预计承 担的义务确认预计负债，计入当期投资损失。被投资单位以后期间实现净利润的，本集团在收益分享额弥 补未确认的亏损分担额后，恢复确认收益分享额。</w:t>
      </w:r>
    </w:p>
    <w:p>
      <w:pPr>
        <w:pStyle w:val="Style31"/>
        <w:keepNext w:val="0"/>
        <w:keepLines w:val="0"/>
        <w:widowControl w:val="0"/>
        <w:numPr>
          <w:ilvl w:val="0"/>
          <w:numId w:val="129"/>
        </w:numPr>
        <w:shd w:val="clear" w:color="auto" w:fill="auto"/>
        <w:tabs>
          <w:tab w:pos="777" w:val="left"/>
        </w:tabs>
        <w:bidi w:val="0"/>
        <w:spacing w:before="0" w:line="312" w:lineRule="exact"/>
        <w:ind w:left="0" w:right="0" w:firstLine="440"/>
        <w:jc w:val="both"/>
      </w:pPr>
      <w:bookmarkStart w:id="844" w:name="bookmark844"/>
      <w:bookmarkEnd w:id="844"/>
      <w:r>
        <w:rPr>
          <w:color w:val="000000"/>
          <w:spacing w:val="0"/>
          <w:w w:val="100"/>
          <w:position w:val="0"/>
        </w:rPr>
        <w:t>收购少数股权</w:t>
      </w:r>
    </w:p>
    <w:p>
      <w:pPr>
        <w:pStyle w:val="Style31"/>
        <w:keepNext w:val="0"/>
        <w:keepLines w:val="0"/>
        <w:widowControl w:val="0"/>
        <w:shd w:val="clear" w:color="auto" w:fill="auto"/>
        <w:bidi w:val="0"/>
        <w:spacing w:before="0" w:after="240" w:line="312" w:lineRule="exact"/>
        <w:ind w:left="0" w:right="0" w:firstLine="440"/>
        <w:jc w:val="both"/>
      </w:pPr>
      <w:r>
        <w:rPr>
          <w:color w:val="000000"/>
          <w:spacing w:val="0"/>
          <w:w w:val="100"/>
          <w:position w:val="0"/>
        </w:rPr>
        <w:t>在编制合并财务报表时，因购买少数股权新增的长期股权投资与按照新增持股比例计算应享有子公司 自购买日（或合并日）开始持续计算的净资产份额之间的差额，调整资本公积，资本公积不足冲减的，调 整留存收益。</w:t>
      </w:r>
    </w:p>
    <w:p>
      <w:pPr>
        <w:pStyle w:val="Style31"/>
        <w:keepNext w:val="0"/>
        <w:keepLines w:val="0"/>
        <w:widowControl w:val="0"/>
        <w:numPr>
          <w:ilvl w:val="0"/>
          <w:numId w:val="129"/>
        </w:numPr>
        <w:shd w:val="clear" w:color="auto" w:fill="auto"/>
        <w:bidi w:val="0"/>
        <w:spacing w:before="0" w:line="240" w:lineRule="auto"/>
        <w:ind w:left="0" w:right="0" w:firstLine="440"/>
        <w:jc w:val="both"/>
      </w:pPr>
      <w:bookmarkStart w:id="845" w:name="bookmark845"/>
      <w:bookmarkEnd w:id="845"/>
      <w:r>
        <w:rPr>
          <w:color w:val="000000"/>
          <w:spacing w:val="0"/>
          <w:w w:val="100"/>
          <w:position w:val="0"/>
        </w:rPr>
        <w:t>处置长期股权投资</w:t>
      </w:r>
    </w:p>
    <w:p>
      <w:pPr>
        <w:pStyle w:val="Style31"/>
        <w:keepNext w:val="0"/>
        <w:keepLines w:val="0"/>
        <w:widowControl w:val="0"/>
        <w:shd w:val="clear" w:color="auto" w:fill="auto"/>
        <w:bidi w:val="0"/>
        <w:spacing w:before="0" w:line="309" w:lineRule="exact"/>
        <w:ind w:left="0" w:right="0" w:firstLine="440"/>
        <w:jc w:val="both"/>
      </w:pPr>
      <w:r>
        <w:rPr>
          <w:color w:val="000000"/>
          <w:spacing w:val="0"/>
          <w:w w:val="100"/>
          <w:position w:val="0"/>
        </w:rPr>
        <w:t>在合并财务报表中，母公司在不丧失控制权的情况下部分处置对子公司的长期股权投资，处置价款与 处置长期股权投资相对应享有子公司净资产的差额计入股东权益；母公司部分处置对子公司的长期股权投 资导致丧失对子公司控制权的，按本节、</w:t>
      </w:r>
      <w:r>
        <w:rPr>
          <w:rFonts w:ascii="Times New Roman" w:eastAsia="Times New Roman" w:hAnsi="Times New Roman" w:cs="Times New Roman"/>
          <w:color w:val="000000"/>
          <w:spacing w:val="0"/>
          <w:w w:val="100"/>
          <w:position w:val="0"/>
        </w:rPr>
        <w:t>6</w:t>
      </w:r>
      <w:r>
        <w:rPr>
          <w:color w:val="000000"/>
          <w:spacing w:val="0"/>
          <w:w w:val="100"/>
          <w:position w:val="0"/>
        </w:rPr>
        <w:t>、“合并财务报表编制的方法”</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中所述的相关会计政策处 理。</w:t>
      </w:r>
    </w:p>
    <w:p>
      <w:pPr>
        <w:pStyle w:val="Style31"/>
        <w:keepNext w:val="0"/>
        <w:keepLines w:val="0"/>
        <w:widowControl w:val="0"/>
        <w:shd w:val="clear" w:color="auto" w:fill="auto"/>
        <w:bidi w:val="0"/>
        <w:spacing w:before="0" w:line="298" w:lineRule="exact"/>
        <w:ind w:left="0" w:right="0" w:firstLine="440"/>
        <w:jc w:val="both"/>
      </w:pPr>
      <w:r>
        <w:rPr>
          <w:color w:val="000000"/>
          <w:spacing w:val="0"/>
          <w:w w:val="100"/>
          <w:position w:val="0"/>
        </w:rPr>
        <w:t>其他情形下的长期股权投资处置，对于处置的股权，其账面价值与实际取得价款的差额，计入当期损 益。</w:t>
      </w:r>
    </w:p>
    <w:p>
      <w:pPr>
        <w:pStyle w:val="Style31"/>
        <w:keepNext w:val="0"/>
        <w:keepLines w:val="0"/>
        <w:widowControl w:val="0"/>
        <w:shd w:val="clear" w:color="auto" w:fill="auto"/>
        <w:bidi w:val="0"/>
        <w:spacing w:before="0" w:line="310" w:lineRule="exact"/>
        <w:ind w:left="0" w:right="0" w:firstLine="440"/>
        <w:jc w:val="both"/>
      </w:pPr>
      <w:r>
        <w:rPr>
          <w:color w:val="000000"/>
          <w:spacing w:val="0"/>
          <w:w w:val="100"/>
          <w:position w:val="0"/>
        </w:rPr>
        <w:t>采用权益法核算的长期股权投资，处置后的剩余股权仍采用权益法核算的，在处置时将原计入股东权 益的其他综合收益部分按相应的比例采用与被投资单位直接处置相关资产或负债相同的基础进行会计处 理。因被投资方除净损益、其他综合收益和利润分配以外的其他所有者权益变动而确认的所有者权益，按 比例结转入当期损益。</w:t>
      </w:r>
    </w:p>
    <w:p>
      <w:pPr>
        <w:pStyle w:val="Style31"/>
        <w:keepNext w:val="0"/>
        <w:keepLines w:val="0"/>
        <w:widowControl w:val="0"/>
        <w:shd w:val="clear" w:color="auto" w:fill="auto"/>
        <w:bidi w:val="0"/>
        <w:spacing w:before="0" w:line="314" w:lineRule="exact"/>
        <w:ind w:left="0" w:right="0" w:firstLine="440"/>
        <w:jc w:val="both"/>
      </w:pPr>
      <w:r>
        <w:rPr>
          <w:color w:val="000000"/>
          <w:spacing w:val="0"/>
          <w:w w:val="100"/>
          <w:position w:val="0"/>
        </w:rPr>
        <w:t>采用成本法核算的长期股权投资，处置后剩余股权仍采用成本法核算的，其在取得对被投资单位的控 制之前因采用权益法核算或金融工具确认和计量准则核算而确认的其他综合收益，采用与被投资单位直接 处置相关资产或负债相同的基础进行会计处理，并按比例结转当期损益；因采用权益法核算而确认的被投 资单位净资产中除净损益、其他综合收益和利润分配以外的其他所有者权益变动按比例结转当期损益。</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本集团因处置部分股权投资丧失了对被投资单位的控制的，在编制个别财务报表时，处置后的剩余股 权能够对被投资单位实施共同控制或施加重大影响的，改按权益法核算，并对该剩余股权视同自取得时即 采用权益法核算进行调整；处置后的剩余股权不能对被投资单位实施共同控制或施加重大影响的，改按金 融工具确认和计量准则的有关规定进行会计处理，其在丧失控制之日的公允价值与账面价值之间的差额计 入当期损益。对于本集团取得对被投资单位的控制之前，因采用权益法核算或金融工具确认和计量准则核 算而确认的其他综合收益，在丧失对被投资单位控制时采用与被投资单位直接处置相关资产或负债相同的 基础进行会计处理，因采用权益法核算而确认的被投资单位净资产中除净损益、其他综合收益和利润分配 以外的其他所有者权益变动在丧失对被投资单位控制时结转入当期损益。其中，处置后的剩余股权采用权 益法核算的，其他综合收益和其他所有者权益按比例结转；处置后的剩余股权改按金融工具确认和计量准 则进行会计处理的，其他综合收益和其他所有者权益全部结转。</w:t>
      </w:r>
    </w:p>
    <w:p>
      <w:pPr>
        <w:pStyle w:val="Style31"/>
        <w:keepNext w:val="0"/>
        <w:keepLines w:val="0"/>
        <w:widowControl w:val="0"/>
        <w:shd w:val="clear" w:color="auto" w:fill="auto"/>
        <w:bidi w:val="0"/>
        <w:spacing w:before="0" w:line="314" w:lineRule="exact"/>
        <w:ind w:left="0" w:right="0" w:firstLine="440"/>
        <w:jc w:val="both"/>
      </w:pPr>
      <w:r>
        <w:rPr>
          <w:color w:val="000000"/>
          <w:spacing w:val="0"/>
          <w:w w:val="100"/>
          <w:position w:val="0"/>
        </w:rPr>
        <w:t>本集团因处置部分股权投资丧失了对被投资单位的共同控制或重大影响的，处置后的剩余股权改按金 融工具确认和计量准则核算，其在丧失共同控制或重大影响之日的公允价值与账面价值之间的差额计入当 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外的其他所有者权益变动而确认的所有者权益，在终止采用权益法时全部转入当期投资收益。</w:t>
      </w:r>
    </w:p>
    <w:p>
      <w:pPr>
        <w:pStyle w:val="Style31"/>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本集团通过多次交易分步处置对子公司股权投资直至丧失控制权，如果上述交易属于一揽子交易的， 将各项交易作为一项处置子公司股权投资并丧失控制权的交易进行会计处理，在丧失控制权之前每一次处 置价款与所处置的股权对应的长期股权投资账面价值之间的差额，先确认为其他综合收益，到丧失控制权 时再一并转入丧失控制权的当期损益。</w:t>
      </w:r>
    </w:p>
    <w:p>
      <w:pPr>
        <w:pStyle w:val="Style28"/>
        <w:keepNext/>
        <w:keepLines/>
        <w:widowControl w:val="0"/>
        <w:shd w:val="clear" w:color="auto" w:fill="auto"/>
        <w:bidi w:val="0"/>
        <w:spacing w:before="0" w:after="200" w:line="326" w:lineRule="auto"/>
        <w:ind w:left="0" w:right="0" w:firstLine="0"/>
        <w:jc w:val="both"/>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1</w:t>
      </w:r>
      <w:bookmarkEnd w:id="848"/>
      <w:r>
        <w:rPr>
          <w:rFonts w:ascii="Times New Roman" w:eastAsia="Times New Roman" w:hAnsi="Times New Roman" w:cs="Times New Roman"/>
          <w:color w:val="000000"/>
          <w:spacing w:val="0"/>
          <w:w w:val="100"/>
          <w:position w:val="0"/>
        </w:rPr>
        <w:t>7</w:t>
      </w:r>
      <w:r>
        <w:rPr>
          <w:color w:val="000000"/>
          <w:spacing w:val="0"/>
          <w:w w:val="100"/>
          <w:position w:val="0"/>
        </w:rPr>
        <w:t>、投资性房地产</w:t>
      </w:r>
      <w:bookmarkEnd w:id="846"/>
      <w:bookmarkEnd w:id="847"/>
      <w:bookmarkEnd w:id="849"/>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投资性房地产计量模式</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成本法计量</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折旧或摊销方法</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 xml:space="preserve">投资性房地产是指为赚取租金或资本增值，或两者兼有而持有的房地产。包括已出租的土地使用权、 </w:t>
      </w:r>
      <w:r>
        <w:rPr>
          <w:color w:val="000000"/>
          <w:spacing w:val="0"/>
          <w:w w:val="100"/>
          <w:position w:val="0"/>
        </w:rPr>
        <w:t>持有并准备增值后转让的土地使用权、已出租的建筑物等。此外，对于本集团持有以备经营出租的空置建 筑物，若董事会（或类似机构）作出书面决议，明确表示将其用于经营出租且持有意图短期内不再发生变 化的，也作为投资性房地产列报。</w:t>
      </w:r>
    </w:p>
    <w:p>
      <w:pPr>
        <w:pStyle w:val="Style31"/>
        <w:keepNext w:val="0"/>
        <w:keepLines w:val="0"/>
        <w:widowControl w:val="0"/>
        <w:shd w:val="clear" w:color="auto" w:fill="auto"/>
        <w:bidi w:val="0"/>
        <w:spacing w:before="0" w:line="307" w:lineRule="exact"/>
        <w:ind w:left="0" w:right="0" w:firstLine="440"/>
        <w:jc w:val="both"/>
      </w:pPr>
      <w:r>
        <w:rPr>
          <w:color w:val="000000"/>
          <w:spacing w:val="0"/>
          <w:w w:val="100"/>
          <w:position w:val="0"/>
        </w:rPr>
        <w:t>投资性房地产按成本进行初始计量。与投资性房地产有关的后续支出，如果与该资产有关的经济利益 很可能流入且其成本能可靠地计量，则计入投资性房地产成本。其他后续支出，在发生时计入当期损益。</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本集团采用成本模式对投资性房地产进行后续计量，并按照与房屋建筑物或土地使用权一致的政策进 行折旧或摊销。</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投资性房地产的减值测试方法和减值准备计提方法详见本节五、</w:t>
      </w:r>
      <w:r>
        <w:rPr>
          <w:rFonts w:ascii="Times New Roman" w:eastAsia="Times New Roman" w:hAnsi="Times New Roman" w:cs="Times New Roman"/>
          <w:color w:val="000000"/>
          <w:spacing w:val="0"/>
          <w:w w:val="100"/>
          <w:position w:val="0"/>
        </w:rPr>
        <w:t>23</w:t>
      </w:r>
      <w:r>
        <w:rPr>
          <w:color w:val="000000"/>
          <w:spacing w:val="0"/>
          <w:w w:val="100"/>
          <w:position w:val="0"/>
        </w:rPr>
        <w:t>、“长期资产减值”。</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自用房地产或存货转换为投资性房地产或投资性房地产转换为自用房地产时，按转换前的账面价值作 为转换后的入账价值。</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投资性房地产的用途改变为自用时，自改变之日起，将该投资性房地产转换为固定资产或无形资产。 自用房地产的用途改变为赚取租金或资本增值时，自改变之日起，将固定资产或无形资产转换为投资性房 地产。发生转换时，转换为采用成本模式计量的投资性房地产的，以转换前的账面价值作为转换后的入账 价值；转换为以公允价值模式计量的投资性房地产的，以转换日的公允价值作为转换后的入账价值。</w:t>
      </w:r>
    </w:p>
    <w:p>
      <w:pPr>
        <w:pStyle w:val="Style3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当投资性房地产被处置、或者永久退出使用且预计不能从其处置中取得经济利益时，终止确认该项投 资性房地产。投资性房地产出售、转让、报废或毁损的处置收入扣除其账面价值和相关税费后计入当期损 益。</w:t>
      </w:r>
    </w:p>
    <w:p>
      <w:pPr>
        <w:pStyle w:val="Style28"/>
        <w:keepNext/>
        <w:keepLines/>
        <w:widowControl w:val="0"/>
        <w:shd w:val="clear" w:color="auto" w:fill="auto"/>
        <w:bidi w:val="0"/>
        <w:spacing w:before="0" w:after="220" w:line="326" w:lineRule="auto"/>
        <w:ind w:left="0" w:right="0" w:firstLine="0"/>
        <w:jc w:val="both"/>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1</w:t>
      </w:r>
      <w:bookmarkEnd w:id="852"/>
      <w:r>
        <w:rPr>
          <w:rFonts w:ascii="Times New Roman" w:eastAsia="Times New Roman" w:hAnsi="Times New Roman" w:cs="Times New Roman"/>
          <w:color w:val="000000"/>
          <w:spacing w:val="0"/>
          <w:w w:val="100"/>
          <w:position w:val="0"/>
        </w:rPr>
        <w:t>8</w:t>
      </w:r>
      <w:r>
        <w:rPr>
          <w:color w:val="000000"/>
          <w:spacing w:val="0"/>
          <w:w w:val="100"/>
          <w:position w:val="0"/>
        </w:rPr>
        <w:t>、固定资产</w:t>
      </w:r>
      <w:bookmarkEnd w:id="850"/>
      <w:bookmarkEnd w:id="851"/>
      <w:bookmarkEnd w:id="853"/>
    </w:p>
    <w:p>
      <w:pPr>
        <w:pStyle w:val="Style35"/>
        <w:keepNext/>
        <w:keepLines/>
        <w:widowControl w:val="0"/>
        <w:shd w:val="clear" w:color="auto" w:fill="auto"/>
        <w:bidi w:val="0"/>
        <w:spacing w:before="0" w:after="280" w:line="312" w:lineRule="exact"/>
        <w:ind w:left="0" w:right="0" w:firstLine="0"/>
        <w:jc w:val="both"/>
      </w:pPr>
      <w:bookmarkStart w:id="854" w:name="bookmark854"/>
      <w:bookmarkStart w:id="855" w:name="bookmark855"/>
      <w:bookmarkStart w:id="856" w:name="bookmark856"/>
      <w:bookmarkStart w:id="857" w:name="bookmark857"/>
      <w:r>
        <w:rPr>
          <w:color w:val="000000"/>
          <w:spacing w:val="0"/>
          <w:w w:val="100"/>
          <w:position w:val="0"/>
        </w:rPr>
        <w:t>（</w:t>
      </w:r>
      <w:bookmarkEnd w:id="856"/>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54"/>
      <w:bookmarkEnd w:id="855"/>
      <w:bookmarkEnd w:id="857"/>
    </w:p>
    <w:p>
      <w:pPr>
        <w:pStyle w:val="Style31"/>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固定资产是指为生产商品、提供劳务、出租或经营管理而持有的，使用寿命超过一个会计年度的有形 资产。固定资产仅在与其有关的经济利益很可能流入本集团，且其成本能够可靠地计量时才予以确认。固 定资产按成本并考虑预计弃置费用因素的影响进行初始计量。</w:t>
      </w:r>
    </w:p>
    <w:p>
      <w:pPr>
        <w:pStyle w:val="Style14"/>
        <w:keepNext w:val="0"/>
        <w:keepLines w:val="0"/>
        <w:widowControl w:val="0"/>
        <w:shd w:val="clear" w:color="auto" w:fill="auto"/>
        <w:bidi w:val="0"/>
        <w:spacing w:before="0" w:after="0" w:line="240" w:lineRule="auto"/>
        <w:ind w:left="5" w:right="0" w:firstLine="0"/>
        <w:jc w:val="left"/>
        <w:rPr>
          <w:sz w:val="20"/>
          <w:szCs w:val="20"/>
        </w:rPr>
      </w:pPr>
      <w:bookmarkStart w:id="858" w:name="bookmark858"/>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858"/>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办公电器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电脑及外设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电子及网络设备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办公家具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pStyle w:val="Style14"/>
        <w:keepNext w:val="0"/>
        <w:keepLines w:val="0"/>
        <w:widowControl w:val="0"/>
        <w:shd w:val="clear" w:color="auto" w:fill="auto"/>
        <w:bidi w:val="0"/>
        <w:spacing w:before="0" w:after="0" w:line="240" w:lineRule="auto"/>
        <w:ind w:left="427" w:right="0" w:firstLine="0"/>
        <w:jc w:val="left"/>
        <w:rPr>
          <w:sz w:val="20"/>
          <w:szCs w:val="20"/>
        </w:rPr>
      </w:pPr>
      <w:r>
        <w:rPr>
          <w:color w:val="000000"/>
          <w:spacing w:val="0"/>
          <w:w w:val="100"/>
          <w:position w:val="0"/>
          <w:sz w:val="20"/>
          <w:szCs w:val="20"/>
        </w:rPr>
        <w:t>固定资产从达到预定可使用状态的次月起，采用年限平均法在使用寿命内计提折旧。</w:t>
      </w:r>
    </w:p>
    <w:p>
      <w:pPr>
        <w:widowControl w:val="0"/>
        <w:spacing w:after="139" w:line="1" w:lineRule="exact"/>
      </w:pPr>
    </w:p>
    <w:p>
      <w:pPr>
        <w:pStyle w:val="Style31"/>
        <w:keepNext w:val="0"/>
        <w:keepLines w:val="0"/>
        <w:widowControl w:val="0"/>
        <w:shd w:val="clear" w:color="auto" w:fill="auto"/>
        <w:bidi w:val="0"/>
        <w:spacing w:before="0" w:line="307" w:lineRule="exact"/>
        <w:ind w:left="0" w:right="0" w:firstLine="440"/>
        <w:jc w:val="both"/>
      </w:pPr>
      <w:r>
        <w:rPr>
          <w:color w:val="000000"/>
          <w:spacing w:val="0"/>
          <w:w w:val="100"/>
          <w:position w:val="0"/>
        </w:rPr>
        <w:t>预计净残值是指假定固定资产预计使用寿命已满并处于使用寿命终了时的预期状态，本集团目前从该 项资产处置中获得的扣除预计处置费用后的金额。</w:t>
      </w:r>
    </w:p>
    <w:p>
      <w:pPr>
        <w:pStyle w:val="Style35"/>
        <w:keepNext/>
        <w:keepLines/>
        <w:widowControl w:val="0"/>
        <w:numPr>
          <w:ilvl w:val="0"/>
          <w:numId w:val="131"/>
        </w:numPr>
        <w:shd w:val="clear" w:color="auto" w:fill="auto"/>
        <w:tabs>
          <w:tab w:pos="493" w:val="left"/>
        </w:tabs>
        <w:bidi w:val="0"/>
        <w:spacing w:before="0" w:after="300" w:line="312" w:lineRule="exact"/>
        <w:ind w:left="0" w:right="0" w:firstLine="0"/>
        <w:jc w:val="both"/>
      </w:pPr>
      <w:bookmarkStart w:id="859" w:name="bookmark859"/>
      <w:bookmarkStart w:id="860" w:name="bookmark860"/>
      <w:bookmarkStart w:id="861" w:name="bookmark861"/>
      <w:bookmarkStart w:id="862" w:name="bookmark862"/>
      <w:bookmarkEnd w:id="861"/>
      <w:r>
        <w:rPr>
          <w:color w:val="000000"/>
          <w:spacing w:val="0"/>
          <w:w w:val="100"/>
          <w:position w:val="0"/>
        </w:rPr>
        <w:t>固定资产的减值测试方法及减值准备计提方法</w:t>
      </w:r>
      <w:bookmarkEnd w:id="859"/>
      <w:bookmarkEnd w:id="860"/>
      <w:bookmarkEnd w:id="862"/>
    </w:p>
    <w:p>
      <w:pPr>
        <w:pStyle w:val="Style31"/>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固定资产的减值测试方法和减值准备计提方法详见本节五、</w:t>
      </w:r>
      <w:r>
        <w:rPr>
          <w:rFonts w:ascii="Times New Roman" w:eastAsia="Times New Roman" w:hAnsi="Times New Roman" w:cs="Times New Roman"/>
          <w:color w:val="000000"/>
          <w:spacing w:val="0"/>
          <w:w w:val="100"/>
          <w:position w:val="0"/>
        </w:rPr>
        <w:t>23</w:t>
      </w:r>
      <w:r>
        <w:rPr>
          <w:color w:val="000000"/>
          <w:spacing w:val="0"/>
          <w:w w:val="100"/>
          <w:position w:val="0"/>
        </w:rPr>
        <w:t>、“长期资产减值”。</w:t>
      </w:r>
    </w:p>
    <w:p>
      <w:pPr>
        <w:pStyle w:val="Style31"/>
        <w:keepNext w:val="0"/>
        <w:keepLines w:val="0"/>
        <w:widowControl w:val="0"/>
        <w:numPr>
          <w:ilvl w:val="0"/>
          <w:numId w:val="131"/>
        </w:numPr>
        <w:shd w:val="clear" w:color="auto" w:fill="auto"/>
        <w:tabs>
          <w:tab w:pos="493" w:val="left"/>
        </w:tabs>
        <w:bidi w:val="0"/>
        <w:spacing w:before="0" w:after="300" w:line="312" w:lineRule="exact"/>
        <w:ind w:left="0" w:right="0" w:firstLine="0"/>
        <w:jc w:val="both"/>
      </w:pPr>
      <w:bookmarkStart w:id="863" w:name="bookmark863"/>
      <w:bookmarkStart w:id="864" w:name="bookmark864"/>
      <w:bookmarkEnd w:id="863"/>
      <w:r>
        <w:rPr>
          <w:b/>
          <w:bCs/>
          <w:color w:val="000000"/>
          <w:spacing w:val="0"/>
          <w:w w:val="100"/>
          <w:position w:val="0"/>
        </w:rPr>
        <w:t>其他说明</w:t>
      </w:r>
      <w:bookmarkEnd w:id="864"/>
    </w:p>
    <w:p>
      <w:pPr>
        <w:pStyle w:val="Style31"/>
        <w:keepNext w:val="0"/>
        <w:keepLines w:val="0"/>
        <w:widowControl w:val="0"/>
        <w:shd w:val="clear" w:color="auto" w:fill="auto"/>
        <w:bidi w:val="0"/>
        <w:spacing w:before="0" w:line="310" w:lineRule="exact"/>
        <w:ind w:left="0" w:right="0" w:firstLine="440"/>
        <w:jc w:val="both"/>
      </w:pPr>
      <w:r>
        <w:rPr>
          <w:color w:val="000000"/>
          <w:spacing w:val="0"/>
          <w:w w:val="100"/>
          <w:position w:val="0"/>
        </w:rPr>
        <w:t>与固定资产有关的后续支出，如果与该固定资产有关的经济利益很可能流入且其成本能可靠地计量， 则计入固定资产成本，并终止确认被替换部分的账面价值。除此以外的其他后续支出，在发生时计入当期 损益。</w:t>
      </w:r>
    </w:p>
    <w:p>
      <w:pPr>
        <w:pStyle w:val="Style31"/>
        <w:keepNext w:val="0"/>
        <w:keepLines w:val="0"/>
        <w:widowControl w:val="0"/>
        <w:shd w:val="clear" w:color="auto" w:fill="auto"/>
        <w:bidi w:val="0"/>
        <w:spacing w:before="0" w:line="317" w:lineRule="exact"/>
        <w:ind w:left="0" w:right="0" w:firstLine="440"/>
        <w:jc w:val="both"/>
      </w:pPr>
      <w:r>
        <w:rPr>
          <w:color w:val="000000"/>
          <w:spacing w:val="0"/>
          <w:w w:val="100"/>
          <w:position w:val="0"/>
        </w:rPr>
        <w:t>当固定资产处于处置状态或预期通过使用或处置不能产生经济利益时，终止确认该固定资产。固定资 产出售、转让、报废或毁损的处置收入扣除其账面价值和相关税费后的差额计入当期损益。</w:t>
      </w:r>
    </w:p>
    <w:p>
      <w:pPr>
        <w:pStyle w:val="Style31"/>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本集团至少于年度终了对固定资产的使用寿命、预计净残值和折旧方法进行复核，如发生改变则作为 会计估计变更处理。</w:t>
      </w:r>
    </w:p>
    <w:p>
      <w:pPr>
        <w:pStyle w:val="Style28"/>
        <w:keepNext/>
        <w:keepLines/>
        <w:widowControl w:val="0"/>
        <w:shd w:val="clear" w:color="auto" w:fill="auto"/>
        <w:tabs>
          <w:tab w:pos="474" w:val="left"/>
        </w:tabs>
        <w:bidi w:val="0"/>
        <w:spacing w:before="0" w:after="300" w:line="312" w:lineRule="exact"/>
        <w:ind w:left="0" w:right="0" w:firstLine="0"/>
        <w:jc w:val="both"/>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9</w:t>
      </w:r>
      <w:r>
        <w:rPr>
          <w:color w:val="000000"/>
          <w:spacing w:val="0"/>
          <w:w w:val="100"/>
          <w:position w:val="0"/>
        </w:rPr>
        <w:t>、</w:t>
        <w:tab/>
        <w:t>在建工程</w:t>
      </w:r>
      <w:bookmarkEnd w:id="865"/>
      <w:bookmarkEnd w:id="866"/>
      <w:bookmarkEnd w:id="868"/>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在建工程成本按实际工程支出确定，包括在建期间发生的各项工程支出、工程达到预定可使用状态前 的资本化的借款费用以及其他相关费用等。在建工程在达到预定可使用状态后结转为固定资产。</w:t>
      </w:r>
    </w:p>
    <w:p>
      <w:pPr>
        <w:pStyle w:val="Style31"/>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在建工程的减值测试方法和减值准备计提方法详见本节五、</w:t>
      </w:r>
      <w:r>
        <w:rPr>
          <w:rFonts w:ascii="Times New Roman" w:eastAsia="Times New Roman" w:hAnsi="Times New Roman" w:cs="Times New Roman"/>
          <w:color w:val="000000"/>
          <w:spacing w:val="0"/>
          <w:w w:val="100"/>
          <w:position w:val="0"/>
        </w:rPr>
        <w:t>23</w:t>
      </w:r>
      <w:r>
        <w:rPr>
          <w:color w:val="000000"/>
          <w:spacing w:val="0"/>
          <w:w w:val="100"/>
          <w:position w:val="0"/>
        </w:rPr>
        <w:t>、“长期资产减值”。</w:t>
      </w:r>
    </w:p>
    <w:p>
      <w:pPr>
        <w:pStyle w:val="Style28"/>
        <w:keepNext/>
        <w:keepLines/>
        <w:widowControl w:val="0"/>
        <w:shd w:val="clear" w:color="auto" w:fill="auto"/>
        <w:tabs>
          <w:tab w:pos="483" w:val="left"/>
        </w:tabs>
        <w:bidi w:val="0"/>
        <w:spacing w:before="0" w:after="300" w:line="312" w:lineRule="exact"/>
        <w:ind w:left="0" w:right="0" w:firstLine="0"/>
        <w:jc w:val="both"/>
      </w:pPr>
      <w:bookmarkStart w:id="869" w:name="bookmark869"/>
      <w:bookmarkStart w:id="870" w:name="bookmark870"/>
      <w:bookmarkStart w:id="871" w:name="bookmark871"/>
      <w:bookmarkStart w:id="872" w:name="bookmark872"/>
      <w:r>
        <w:rPr>
          <w:rFonts w:ascii="Times New Roman" w:eastAsia="Times New Roman" w:hAnsi="Times New Roman" w:cs="Times New Roman"/>
          <w:color w:val="000000"/>
          <w:spacing w:val="0"/>
          <w:w w:val="100"/>
          <w:position w:val="0"/>
        </w:rPr>
        <w:t>2</w:t>
      </w:r>
      <w:bookmarkEnd w:id="871"/>
      <w:r>
        <w:rPr>
          <w:rFonts w:ascii="Times New Roman" w:eastAsia="Times New Roman" w:hAnsi="Times New Roman" w:cs="Times New Roman"/>
          <w:color w:val="000000"/>
          <w:spacing w:val="0"/>
          <w:w w:val="100"/>
          <w:position w:val="0"/>
        </w:rPr>
        <w:t>0</w:t>
      </w:r>
      <w:r>
        <w:rPr>
          <w:color w:val="000000"/>
          <w:spacing w:val="0"/>
          <w:w w:val="100"/>
          <w:position w:val="0"/>
        </w:rPr>
        <w:t>、</w:t>
        <w:tab/>
        <w:t>借款费用</w:t>
      </w:r>
      <w:bookmarkEnd w:id="869"/>
      <w:bookmarkEnd w:id="870"/>
      <w:bookmarkEnd w:id="872"/>
    </w:p>
    <w:p>
      <w:pPr>
        <w:pStyle w:val="Style31"/>
        <w:keepNext w:val="0"/>
        <w:keepLines w:val="0"/>
        <w:widowControl w:val="0"/>
        <w:shd w:val="clear" w:color="auto" w:fill="auto"/>
        <w:bidi w:val="0"/>
        <w:spacing w:before="0" w:line="313" w:lineRule="exact"/>
        <w:ind w:left="0" w:right="0" w:firstLine="440"/>
        <w:jc w:val="both"/>
      </w:pPr>
      <w:r>
        <w:rPr>
          <w:color w:val="000000"/>
          <w:spacing w:val="0"/>
          <w:w w:val="100"/>
          <w:position w:val="0"/>
        </w:rPr>
        <w:t>借款费用包括借款利息、折价或溢价的摊销、辅助费用以及因外币借款而发生的汇兑差额等。可直接 归属于符合资本化条件的资产的购建或者生产的借款费用，在资产支出已经发生、借款费用已经发生、为 使资产达到预定可使用或可销售状态所必要的购建或生产活动已经开始时，开始资本化；购建或者生产的 符合资本化条件的资产达到预定可使用状态或者可销售状态时，停止资本化。其余借款费用在发生当期确 认为费用。</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专门借款当期实际发生的利息费用，减去尚未动用的借款资金存入银行取得的利息收入或进行暂时性 投资取得的投资收益后的金额予以资本化；一般借款根据累计资产支出超过专门借款部分的资产支出加权 平均数乘以所占用一般借款的资本化率，确定资本化金额。资本化率根据一般借款的加权平均利率计算确 定。</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资本化期间内，外币专门借款的汇兑差额全部予以资本化；外币一般借款的汇兑差额计入当期损益。</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符合资本化条件的资产指需要经过相当长时间的购建或者生产活动才能达到预定可使用或可销售状 态的固定资产、投资性房地产和存货等资产。</w:t>
      </w:r>
    </w:p>
    <w:p>
      <w:pPr>
        <w:pStyle w:val="Style31"/>
        <w:keepNext w:val="0"/>
        <w:keepLines w:val="0"/>
        <w:widowControl w:val="0"/>
        <w:shd w:val="clear" w:color="auto" w:fill="auto"/>
        <w:bidi w:val="0"/>
        <w:spacing w:before="0" w:after="300" w:line="322" w:lineRule="exact"/>
        <w:ind w:left="0" w:right="0" w:firstLine="44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 暂停借款费用的资本化，直至资产的购建或生产活动重新开始。</w:t>
      </w:r>
    </w:p>
    <w:p>
      <w:pPr>
        <w:pStyle w:val="Style28"/>
        <w:keepNext/>
        <w:keepLines/>
        <w:widowControl w:val="0"/>
        <w:shd w:val="clear" w:color="auto" w:fill="auto"/>
        <w:tabs>
          <w:tab w:pos="483" w:val="left"/>
        </w:tabs>
        <w:bidi w:val="0"/>
        <w:spacing w:before="0" w:after="300" w:line="312" w:lineRule="exact"/>
        <w:ind w:left="0" w:right="0" w:firstLine="0"/>
        <w:jc w:val="both"/>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2</w:t>
      </w:r>
      <w:bookmarkEnd w:id="875"/>
      <w:r>
        <w:rPr>
          <w:rFonts w:ascii="Times New Roman" w:eastAsia="Times New Roman" w:hAnsi="Times New Roman" w:cs="Times New Roman"/>
          <w:color w:val="000000"/>
          <w:spacing w:val="0"/>
          <w:w w:val="100"/>
          <w:position w:val="0"/>
        </w:rPr>
        <w:t>1</w:t>
      </w:r>
      <w:r>
        <w:rPr>
          <w:color w:val="000000"/>
          <w:spacing w:val="0"/>
          <w:w w:val="100"/>
          <w:position w:val="0"/>
        </w:rPr>
        <w:t>、</w:t>
        <w:tab/>
        <w:t>使用权资产</w:t>
      </w:r>
      <w:bookmarkEnd w:id="873"/>
      <w:bookmarkEnd w:id="874"/>
      <w:bookmarkEnd w:id="876"/>
    </w:p>
    <w:p>
      <w:pPr>
        <w:pStyle w:val="Style31"/>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使用权资产的确定方法及会计处理方法，参见本节五、</w:t>
      </w:r>
      <w:r>
        <w:rPr>
          <w:rFonts w:ascii="Times New Roman" w:eastAsia="Times New Roman" w:hAnsi="Times New Roman" w:cs="Times New Roman"/>
          <w:color w:val="000000"/>
          <w:spacing w:val="0"/>
          <w:w w:val="100"/>
          <w:position w:val="0"/>
        </w:rPr>
        <w:t>34</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租赁</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8"/>
        <w:keepNext/>
        <w:keepLines/>
        <w:widowControl w:val="0"/>
        <w:shd w:val="clear" w:color="auto" w:fill="auto"/>
        <w:bidi w:val="0"/>
        <w:spacing w:before="0" w:after="300" w:line="313" w:lineRule="exact"/>
        <w:ind w:left="0" w:right="0" w:firstLine="0"/>
        <w:jc w:val="both"/>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877"/>
      <w:bookmarkEnd w:id="878"/>
      <w:bookmarkEnd w:id="880"/>
    </w:p>
    <w:p>
      <w:pPr>
        <w:pStyle w:val="Style35"/>
        <w:keepNext/>
        <w:keepLines/>
        <w:widowControl w:val="0"/>
        <w:shd w:val="clear" w:color="auto" w:fill="auto"/>
        <w:bidi w:val="0"/>
        <w:spacing w:before="0" w:after="300" w:line="313" w:lineRule="exact"/>
        <w:ind w:left="0" w:right="0" w:firstLine="0"/>
        <w:jc w:val="both"/>
      </w:pPr>
      <w:bookmarkStart w:id="881" w:name="bookmark881"/>
      <w:bookmarkStart w:id="882" w:name="bookmark882"/>
      <w:bookmarkStart w:id="883" w:name="bookmark883"/>
      <w:bookmarkStart w:id="884" w:name="bookmark884"/>
      <w:r>
        <w:rPr>
          <w:color w:val="000000"/>
          <w:spacing w:val="0"/>
          <w:w w:val="100"/>
          <w:position w:val="0"/>
        </w:rPr>
        <w:t>（</w:t>
      </w:r>
      <w:bookmarkEnd w:id="883"/>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81"/>
      <w:bookmarkEnd w:id="882"/>
      <w:bookmarkEnd w:id="884"/>
    </w:p>
    <w:p>
      <w:pPr>
        <w:pStyle w:val="Style31"/>
        <w:keepNext w:val="0"/>
        <w:keepLines w:val="0"/>
        <w:widowControl w:val="0"/>
        <w:shd w:val="clear" w:color="auto" w:fill="auto"/>
        <w:bidi w:val="0"/>
        <w:spacing w:before="0" w:after="160" w:line="313" w:lineRule="exact"/>
        <w:ind w:left="0" w:right="0" w:firstLine="540"/>
        <w:jc w:val="both"/>
      </w:pPr>
      <w:r>
        <w:rPr>
          <w:color w:val="000000"/>
          <w:spacing w:val="0"/>
          <w:w w:val="100"/>
          <w:position w:val="0"/>
        </w:rPr>
        <w:t>无形资产是指本集团拥有或者控制的没有实物形态的可辨认非货币性资产。</w:t>
      </w:r>
    </w:p>
    <w:p>
      <w:pPr>
        <w:pStyle w:val="Style31"/>
        <w:keepNext w:val="0"/>
        <w:keepLines w:val="0"/>
        <w:widowControl w:val="0"/>
        <w:shd w:val="clear" w:color="auto" w:fill="auto"/>
        <w:bidi w:val="0"/>
        <w:spacing w:before="0" w:after="160" w:line="283" w:lineRule="exact"/>
        <w:ind w:left="0" w:right="0" w:firstLine="540"/>
        <w:jc w:val="both"/>
      </w:pPr>
      <w:r>
        <w:rPr>
          <w:color w:val="000000"/>
          <w:spacing w:val="0"/>
          <w:w w:val="100"/>
          <w:position w:val="0"/>
        </w:rPr>
        <w:t>无形资产按成本进行初始计量。与无形资产有关的支出，如果相关的经济利益很可能流入本集团且其 成本能可靠地计量，则计入无形资产成本。除此以外的其他项目的支出，在发生时计入当期损益。</w:t>
      </w:r>
    </w:p>
    <w:p>
      <w:pPr>
        <w:pStyle w:val="Style31"/>
        <w:keepNext w:val="0"/>
        <w:keepLines w:val="0"/>
        <w:widowControl w:val="0"/>
        <w:shd w:val="clear" w:color="auto" w:fill="auto"/>
        <w:bidi w:val="0"/>
        <w:spacing w:before="0" w:after="160" w:line="314" w:lineRule="exact"/>
        <w:ind w:left="0" w:right="0" w:firstLine="540"/>
        <w:jc w:val="both"/>
      </w:pPr>
      <w:r>
        <w:rPr>
          <w:color w:val="000000"/>
          <w:spacing w:val="0"/>
          <w:w w:val="100"/>
          <w:position w:val="0"/>
        </w:rPr>
        <w:t>取得的土地使用权通常作为无形资产核算。自行开发建造厂房等建筑物，相关的土地使用权支出和建 筑物建造成本则分别作为无形资产和固定资产核算。如为外购的房屋及建筑物，则将有关价款在土地使用 权和建筑物之间进行分配，难以合理分配的，全部作为固定资产处理。</w:t>
      </w:r>
    </w:p>
    <w:p>
      <w:pPr>
        <w:pStyle w:val="Style31"/>
        <w:keepNext w:val="0"/>
        <w:keepLines w:val="0"/>
        <w:widowControl w:val="0"/>
        <w:shd w:val="clear" w:color="auto" w:fill="auto"/>
        <w:bidi w:val="0"/>
        <w:spacing w:before="0" w:after="220" w:line="312" w:lineRule="exact"/>
        <w:ind w:left="0" w:right="0" w:firstLine="540"/>
        <w:jc w:val="both"/>
      </w:pPr>
      <w:r>
        <w:rPr>
          <w:color w:val="000000"/>
          <w:spacing w:val="0"/>
          <w:w w:val="100"/>
          <w:position w:val="0"/>
        </w:rPr>
        <w:t>使用寿命有限的无形资产自可供使用时起，对其原值减去预计净残值和己计提的减值准备累计金额在 其预计使用寿命内采用直线法分期平均摊销。使用寿命不确定的无形资产不予摊销。</w:t>
      </w:r>
    </w:p>
    <w:p>
      <w:pPr>
        <w:pStyle w:val="Style14"/>
        <w:keepNext w:val="0"/>
        <w:keepLines w:val="0"/>
        <w:widowControl w:val="0"/>
        <w:shd w:val="clear" w:color="auto" w:fill="auto"/>
        <w:bidi w:val="0"/>
        <w:spacing w:before="0" w:after="0" w:line="240" w:lineRule="auto"/>
        <w:ind w:left="523" w:right="0" w:firstLine="0"/>
        <w:jc w:val="left"/>
        <w:rPr>
          <w:sz w:val="20"/>
          <w:szCs w:val="20"/>
        </w:rPr>
      </w:pPr>
      <w:r>
        <w:rPr>
          <w:color w:val="000000"/>
          <w:spacing w:val="0"/>
          <w:w w:val="100"/>
          <w:position w:val="0"/>
          <w:sz w:val="20"/>
          <w:szCs w:val="20"/>
        </w:rPr>
        <w:t>其中，知识产权类无形资产项目的使用寿命及摊销方法如下:</w:t>
      </w:r>
    </w:p>
    <w:tbl>
      <w:tblPr>
        <w:tblOverlap w:val="never"/>
        <w:jc w:val="center"/>
        <w:tblLayout w:type="fixed"/>
      </w:tblPr>
      <w:tblGrid>
        <w:gridCol w:w="3706"/>
        <w:gridCol w:w="3082"/>
        <w:gridCol w:w="3091"/>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使用寿命</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摊销方法</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直线法</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著作权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直线法</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直线法</w:t>
            </w:r>
          </w:p>
        </w:tc>
      </w:tr>
    </w:tbl>
    <w:p>
      <w:pPr>
        <w:widowControl w:val="0"/>
        <w:spacing w:after="159" w:line="1" w:lineRule="exact"/>
      </w:pPr>
    </w:p>
    <w:p>
      <w:pPr>
        <w:pStyle w:val="Style31"/>
        <w:keepNext w:val="0"/>
        <w:keepLines w:val="0"/>
        <w:widowControl w:val="0"/>
        <w:shd w:val="clear" w:color="auto" w:fill="auto"/>
        <w:bidi w:val="0"/>
        <w:spacing w:before="0" w:after="300" w:line="310" w:lineRule="exact"/>
        <w:ind w:left="0" w:right="0" w:firstLine="540"/>
        <w:jc w:val="both"/>
      </w:pPr>
      <w:r>
        <w:rPr>
          <w:color w:val="000000"/>
          <w:spacing w:val="0"/>
          <w:w w:val="100"/>
          <w:position w:val="0"/>
        </w:rPr>
        <w:t>期末，对使用寿命有限的无形资产的使用寿命和摊销方法进行复核，如发生变更则作为会计估计变更 处理。此外，还对使用寿命不确定的无形资产的使用寿命进行复核，如果有证据表明该无形资产为企业带 来经济利益的期限是可预见的，则估计其使用寿命并按照使用寿命有限的无形资产的摊销政策进行摊销。</w:t>
      </w:r>
    </w:p>
    <w:p>
      <w:pPr>
        <w:pStyle w:val="Style35"/>
        <w:keepNext/>
        <w:keepLines/>
        <w:widowControl w:val="0"/>
        <w:shd w:val="clear" w:color="auto" w:fill="auto"/>
        <w:bidi w:val="0"/>
        <w:spacing w:before="0" w:after="300" w:line="293" w:lineRule="exact"/>
        <w:ind w:left="0" w:right="0" w:firstLine="0"/>
        <w:jc w:val="both"/>
      </w:pPr>
      <w:bookmarkStart w:id="885" w:name="bookmark885"/>
      <w:bookmarkStart w:id="886" w:name="bookmark886"/>
      <w:bookmarkStart w:id="887" w:name="bookmark887"/>
      <w:bookmarkStart w:id="888" w:name="bookmark888"/>
      <w:r>
        <w:rPr>
          <w:color w:val="000000"/>
          <w:spacing w:val="0"/>
          <w:w w:val="100"/>
          <w:position w:val="0"/>
        </w:rPr>
        <w:t>（</w:t>
      </w:r>
      <w:bookmarkEnd w:id="887"/>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85"/>
      <w:bookmarkEnd w:id="886"/>
      <w:bookmarkEnd w:id="888"/>
    </w:p>
    <w:p>
      <w:pPr>
        <w:pStyle w:val="Style31"/>
        <w:keepNext w:val="0"/>
        <w:keepLines w:val="0"/>
        <w:widowControl w:val="0"/>
        <w:shd w:val="clear" w:color="auto" w:fill="auto"/>
        <w:bidi w:val="0"/>
        <w:spacing w:before="0" w:after="160" w:line="293" w:lineRule="exact"/>
        <w:ind w:left="0" w:right="0" w:firstLine="540"/>
        <w:jc w:val="both"/>
      </w:pPr>
      <w:r>
        <w:rPr>
          <w:color w:val="000000"/>
          <w:spacing w:val="0"/>
          <w:w w:val="100"/>
          <w:position w:val="0"/>
        </w:rPr>
        <w:t>本集团内部研究开发项目的支出分为研究阶段支出与开发阶段支出。</w:t>
      </w:r>
    </w:p>
    <w:p>
      <w:pPr>
        <w:pStyle w:val="Style31"/>
        <w:keepNext w:val="0"/>
        <w:keepLines w:val="0"/>
        <w:widowControl w:val="0"/>
        <w:shd w:val="clear" w:color="auto" w:fill="auto"/>
        <w:bidi w:val="0"/>
        <w:spacing w:before="0" w:after="160" w:line="293" w:lineRule="exact"/>
        <w:ind w:left="0" w:right="0" w:firstLine="540"/>
        <w:jc w:val="both"/>
      </w:pPr>
      <w:r>
        <w:rPr>
          <w:color w:val="000000"/>
          <w:spacing w:val="0"/>
          <w:w w:val="100"/>
          <w:position w:val="0"/>
        </w:rPr>
        <w:t>研究阶段的支出，于发生时计入当期损益。</w:t>
      </w:r>
    </w:p>
    <w:p>
      <w:pPr>
        <w:pStyle w:val="Style31"/>
        <w:keepNext w:val="0"/>
        <w:keepLines w:val="0"/>
        <w:widowControl w:val="0"/>
        <w:shd w:val="clear" w:color="auto" w:fill="auto"/>
        <w:bidi w:val="0"/>
        <w:spacing w:before="0" w:after="160" w:line="293" w:lineRule="exact"/>
        <w:ind w:left="0" w:right="0" w:firstLine="540"/>
        <w:jc w:val="both"/>
      </w:pPr>
      <w:r>
        <w:rPr>
          <w:color w:val="000000"/>
          <w:spacing w:val="0"/>
          <w:w w:val="100"/>
          <w:position w:val="0"/>
        </w:rPr>
        <w:t>开发阶段的支出同时满足下列条件的，确认为无形资产，不能满足下述条件的开发阶段的支出计入当 期损益:</w:t>
      </w:r>
    </w:p>
    <w:p>
      <w:pPr>
        <w:pStyle w:val="Style31"/>
        <w:keepNext w:val="0"/>
        <w:keepLines w:val="0"/>
        <w:widowControl w:val="0"/>
        <w:numPr>
          <w:ilvl w:val="0"/>
          <w:numId w:val="133"/>
        </w:numPr>
        <w:shd w:val="clear" w:color="auto" w:fill="auto"/>
        <w:tabs>
          <w:tab w:pos="932" w:val="left"/>
        </w:tabs>
        <w:bidi w:val="0"/>
        <w:spacing w:before="0" w:after="160" w:line="293" w:lineRule="exact"/>
        <w:ind w:left="0" w:right="0" w:firstLine="540"/>
        <w:jc w:val="both"/>
      </w:pPr>
      <w:bookmarkStart w:id="889" w:name="bookmark889"/>
      <w:bookmarkEnd w:id="889"/>
      <w:r>
        <w:rPr>
          <w:color w:val="000000"/>
          <w:spacing w:val="0"/>
          <w:w w:val="100"/>
          <w:position w:val="0"/>
        </w:rPr>
        <w:t>完成该无形资产以使其能够使用或出售在技术上具有可行性；</w:t>
      </w:r>
    </w:p>
    <w:p>
      <w:pPr>
        <w:pStyle w:val="Style31"/>
        <w:keepNext w:val="0"/>
        <w:keepLines w:val="0"/>
        <w:widowControl w:val="0"/>
        <w:numPr>
          <w:ilvl w:val="0"/>
          <w:numId w:val="133"/>
        </w:numPr>
        <w:shd w:val="clear" w:color="auto" w:fill="auto"/>
        <w:tabs>
          <w:tab w:pos="937" w:val="left"/>
        </w:tabs>
        <w:bidi w:val="0"/>
        <w:spacing w:before="0" w:after="160" w:line="293" w:lineRule="exact"/>
        <w:ind w:left="0" w:right="0" w:firstLine="540"/>
        <w:jc w:val="both"/>
      </w:pPr>
      <w:bookmarkStart w:id="890" w:name="bookmark890"/>
      <w:bookmarkEnd w:id="890"/>
      <w:r>
        <w:rPr>
          <w:color w:val="000000"/>
          <w:spacing w:val="0"/>
          <w:w w:val="100"/>
          <w:position w:val="0"/>
        </w:rPr>
        <w:t>具有完成该无形资产并使用或出售的意图；</w:t>
      </w:r>
    </w:p>
    <w:p>
      <w:pPr>
        <w:pStyle w:val="Style31"/>
        <w:keepNext w:val="0"/>
        <w:keepLines w:val="0"/>
        <w:widowControl w:val="0"/>
        <w:numPr>
          <w:ilvl w:val="0"/>
          <w:numId w:val="133"/>
        </w:numPr>
        <w:shd w:val="clear" w:color="auto" w:fill="auto"/>
        <w:tabs>
          <w:tab w:pos="814" w:val="left"/>
        </w:tabs>
        <w:bidi w:val="0"/>
        <w:spacing w:before="0" w:after="160" w:line="312" w:lineRule="exact"/>
        <w:ind w:left="0" w:right="0" w:firstLine="540"/>
        <w:jc w:val="both"/>
      </w:pPr>
      <w:bookmarkStart w:id="891" w:name="bookmark891"/>
      <w:bookmarkEnd w:id="891"/>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31"/>
        <w:keepNext w:val="0"/>
        <w:keepLines w:val="0"/>
        <w:widowControl w:val="0"/>
        <w:numPr>
          <w:ilvl w:val="0"/>
          <w:numId w:val="133"/>
        </w:numPr>
        <w:shd w:val="clear" w:color="auto" w:fill="auto"/>
        <w:tabs>
          <w:tab w:pos="805" w:val="left"/>
        </w:tabs>
        <w:bidi w:val="0"/>
        <w:spacing w:before="0" w:after="160" w:line="293" w:lineRule="exact"/>
        <w:ind w:left="0" w:right="0" w:firstLine="540"/>
        <w:jc w:val="both"/>
      </w:pPr>
      <w:bookmarkStart w:id="892" w:name="bookmark892"/>
      <w:bookmarkEnd w:id="892"/>
      <w:r>
        <w:rPr>
          <w:color w:val="000000"/>
          <w:spacing w:val="0"/>
          <w:w w:val="100"/>
          <w:position w:val="0"/>
        </w:rPr>
        <w:t>有足够的技术、财务资源和其他资源支持，以完成该无形资产的开发，并有能力使用或出售该无形 资产；</w:t>
      </w:r>
    </w:p>
    <w:p>
      <w:pPr>
        <w:pStyle w:val="Style31"/>
        <w:keepNext w:val="0"/>
        <w:keepLines w:val="0"/>
        <w:widowControl w:val="0"/>
        <w:numPr>
          <w:ilvl w:val="0"/>
          <w:numId w:val="133"/>
        </w:numPr>
        <w:shd w:val="clear" w:color="auto" w:fill="auto"/>
        <w:tabs>
          <w:tab w:pos="937" w:val="left"/>
        </w:tabs>
        <w:bidi w:val="0"/>
        <w:spacing w:before="0" w:after="160" w:line="293" w:lineRule="exact"/>
        <w:ind w:left="0" w:right="0" w:firstLine="540"/>
        <w:jc w:val="both"/>
      </w:pPr>
      <w:bookmarkStart w:id="893" w:name="bookmark893"/>
      <w:bookmarkEnd w:id="893"/>
      <w:r>
        <w:rPr>
          <w:color w:val="000000"/>
          <w:spacing w:val="0"/>
          <w:w w:val="100"/>
          <w:position w:val="0"/>
        </w:rPr>
        <w:t>归属于该无形资产开发阶段的支出能够可靠地计量。</w:t>
      </w:r>
    </w:p>
    <w:p>
      <w:pPr>
        <w:pStyle w:val="Style31"/>
        <w:keepNext w:val="0"/>
        <w:keepLines w:val="0"/>
        <w:widowControl w:val="0"/>
        <w:shd w:val="clear" w:color="auto" w:fill="auto"/>
        <w:bidi w:val="0"/>
        <w:spacing w:before="0" w:after="160" w:line="293" w:lineRule="exact"/>
        <w:ind w:left="0" w:right="0" w:firstLine="540"/>
        <w:jc w:val="both"/>
      </w:pPr>
      <w:r>
        <w:rPr>
          <w:color w:val="000000"/>
          <w:spacing w:val="0"/>
          <w:w w:val="100"/>
          <w:position w:val="0"/>
        </w:rPr>
        <w:t>无法区分研究阶段支出和开发阶段支出的，将发生的研发支出全部计入当期损益。</w:t>
      </w:r>
    </w:p>
    <w:p>
      <w:pPr>
        <w:pStyle w:val="Style35"/>
        <w:keepNext/>
        <w:keepLines/>
        <w:widowControl w:val="0"/>
        <w:numPr>
          <w:ilvl w:val="0"/>
          <w:numId w:val="135"/>
        </w:numPr>
        <w:shd w:val="clear" w:color="auto" w:fill="auto"/>
        <w:bidi w:val="0"/>
        <w:spacing w:before="0" w:after="280" w:line="312" w:lineRule="exact"/>
        <w:ind w:left="0" w:right="0" w:firstLine="0"/>
        <w:jc w:val="left"/>
      </w:pPr>
      <w:bookmarkStart w:id="894" w:name="bookmark894"/>
      <w:bookmarkStart w:id="895" w:name="bookmark895"/>
      <w:bookmarkStart w:id="896" w:name="bookmark896"/>
      <w:bookmarkStart w:id="897" w:name="bookmark897"/>
      <w:bookmarkEnd w:id="896"/>
      <w:r>
        <w:rPr>
          <w:color w:val="000000"/>
          <w:spacing w:val="0"/>
          <w:w w:val="100"/>
          <w:position w:val="0"/>
        </w:rPr>
        <w:t>无形资产的减值测试方法及减值准备计提方法</w:t>
      </w:r>
      <w:bookmarkEnd w:id="894"/>
      <w:bookmarkEnd w:id="895"/>
      <w:bookmarkEnd w:id="897"/>
    </w:p>
    <w:p>
      <w:pPr>
        <w:pStyle w:val="Style31"/>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无形资产的减值测试方法和减值准备计提方法详见本节五、</w:t>
      </w:r>
      <w:r>
        <w:rPr>
          <w:rFonts w:ascii="Times New Roman" w:eastAsia="Times New Roman" w:hAnsi="Times New Roman" w:cs="Times New Roman"/>
          <w:color w:val="000000"/>
          <w:spacing w:val="0"/>
          <w:w w:val="100"/>
          <w:position w:val="0"/>
        </w:rPr>
        <w:t xml:space="preserve">23 </w:t>
      </w:r>
      <w:r>
        <w:rPr>
          <w:color w:val="000000"/>
          <w:spacing w:val="0"/>
          <w:w w:val="100"/>
          <w:position w:val="0"/>
        </w:rPr>
        <w:t>“长期资产减值”。</w:t>
      </w:r>
    </w:p>
    <w:p>
      <w:pPr>
        <w:pStyle w:val="Style28"/>
        <w:keepNext/>
        <w:keepLines/>
        <w:widowControl w:val="0"/>
        <w:shd w:val="clear" w:color="auto" w:fill="auto"/>
        <w:tabs>
          <w:tab w:pos="447" w:val="left"/>
        </w:tabs>
        <w:bidi w:val="0"/>
        <w:spacing w:before="0" w:after="280" w:line="312" w:lineRule="exact"/>
        <w:ind w:left="0" w:right="0" w:firstLine="0"/>
        <w:jc w:val="both"/>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rFonts w:ascii="Times New Roman" w:eastAsia="Times New Roman" w:hAnsi="Times New Roman" w:cs="Times New Roman"/>
          <w:color w:val="000000"/>
          <w:spacing w:val="0"/>
          <w:w w:val="100"/>
          <w:position w:val="0"/>
        </w:rPr>
        <w:t>3</w:t>
      </w:r>
      <w:r>
        <w:rPr>
          <w:color w:val="000000"/>
          <w:spacing w:val="0"/>
          <w:w w:val="100"/>
          <w:position w:val="0"/>
        </w:rPr>
        <w:t>、</w:t>
        <w:tab/>
        <w:t>长期资产减值</w:t>
      </w:r>
      <w:bookmarkEnd w:id="898"/>
      <w:bookmarkEnd w:id="899"/>
      <w:bookmarkEnd w:id="901"/>
    </w:p>
    <w:p>
      <w:pPr>
        <w:pStyle w:val="Style31"/>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对于固定资产、在建工程、使用权资产、使用寿命有限的无形资产、以成本模式计量的投资性房地产 及对子公司、合营企业、联营企业的长期股权投资等非流动非金融资产，本集团于资产负债表日判断是否 存在减值迹象。如存在减值迹象的，则估计其可收回金额，进行减值测试。商誉、使用寿命不确定的无形 资产和尚未达到可使用状态的无形资产，无论是否存在减值迹象，每年均进行减值测试。</w:t>
      </w:r>
    </w:p>
    <w:p>
      <w:pPr>
        <w:pStyle w:val="Style31"/>
        <w:keepNext w:val="0"/>
        <w:keepLines w:val="0"/>
        <w:widowControl w:val="0"/>
        <w:shd w:val="clear" w:color="auto" w:fill="auto"/>
        <w:bidi w:val="0"/>
        <w:spacing w:before="0" w:after="160" w:line="311" w:lineRule="exact"/>
        <w:ind w:left="0" w:right="0" w:firstLine="440"/>
        <w:jc w:val="both"/>
      </w:pPr>
      <w:r>
        <w:rPr>
          <w:color w:val="000000"/>
          <w:spacing w:val="0"/>
          <w:w w:val="100"/>
          <w:position w:val="0"/>
        </w:rPr>
        <w:t>减值测试结果表明资产的可收回金额低于其账面价值的，按其差额计提减值准备并计入减值损失。可 收回金额为资产的公允价值减去处置费用后的净额与资产预计未来现金流量的现值两者之间的较高者。资 产的公允价值根据公平交易中销售协议价格确定；不存在销售协议但存在资产活跃市场的，公允价值按照 该资产的买方出价确定；不存在销售协议和资产活跃市场的，则以可获取的最佳信息为基础估计资产的公 允价值。处置费用包括与资产处置有关的法律费用、相关税费、搬运费以及为使资产达到可销售状态所发 生的直接费用。资产预计未来现金流量的现值，按照资产在持续使用过程中和最终处置时所产生的预计未 来现金流量，选择恰当的折现率对其进行折现后的金额加以确定。资产减值准备按单项资产为基础计算并 确认，如果难以对单项资产的可收回金额进行估计的，以该资产所属的资产组确定资产组的可收回金额。 资产组是能够独立产生现金流入的最小资产组合。</w:t>
      </w:r>
    </w:p>
    <w:p>
      <w:pPr>
        <w:pStyle w:val="Style31"/>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在财务报表中单独列示的商誉，在进行减值测试时，将商誉的账面价值分摊至预期从企业合并的协同 效应中受益的资产组或资产组组合。测试结果表明包含分摊的商誉的资产组或资产组组合的可收回金额低 于其账面价值的，确认相应的减值损失。减值损失金额先抵减分摊至该资产组或资产组组合的商誉的账面 价值，再根据资产组或资产组组合中除商誉以外的其他各项资产的账面价值所占比重，按比例抵减其他各 项资产的账面价值。</w:t>
      </w:r>
    </w:p>
    <w:p>
      <w:pPr>
        <w:pStyle w:val="Style31"/>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上述资产减值损失一经确认，以后期间不予转回价值得以恢复的部分。</w:t>
      </w:r>
    </w:p>
    <w:p>
      <w:pPr>
        <w:pStyle w:val="Style28"/>
        <w:keepNext/>
        <w:keepLines/>
        <w:widowControl w:val="0"/>
        <w:shd w:val="clear" w:color="auto" w:fill="auto"/>
        <w:tabs>
          <w:tab w:pos="447" w:val="left"/>
        </w:tabs>
        <w:bidi w:val="0"/>
        <w:spacing w:before="0" w:after="280" w:line="312" w:lineRule="exact"/>
        <w:ind w:left="0" w:right="0" w:firstLine="0"/>
        <w:jc w:val="both"/>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bookmarkEnd w:id="904"/>
      <w:r>
        <w:rPr>
          <w:rFonts w:ascii="Times New Roman" w:eastAsia="Times New Roman" w:hAnsi="Times New Roman" w:cs="Times New Roman"/>
          <w:color w:val="000000"/>
          <w:spacing w:val="0"/>
          <w:w w:val="100"/>
          <w:position w:val="0"/>
        </w:rPr>
        <w:t>4</w:t>
      </w:r>
      <w:r>
        <w:rPr>
          <w:color w:val="000000"/>
          <w:spacing w:val="0"/>
          <w:w w:val="100"/>
          <w:position w:val="0"/>
        </w:rPr>
        <w:t>、</w:t>
        <w:tab/>
        <w:t>长期待摊费用</w:t>
      </w:r>
      <w:bookmarkEnd w:id="902"/>
      <w:bookmarkEnd w:id="903"/>
      <w:bookmarkEnd w:id="905"/>
    </w:p>
    <w:p>
      <w:pPr>
        <w:pStyle w:val="Style31"/>
        <w:keepNext w:val="0"/>
        <w:keepLines w:val="0"/>
        <w:widowControl w:val="0"/>
        <w:shd w:val="clear" w:color="auto" w:fill="auto"/>
        <w:bidi w:val="0"/>
        <w:spacing w:before="0" w:after="280" w:line="307" w:lineRule="exact"/>
        <w:ind w:left="0" w:right="0" w:firstLine="440"/>
        <w:jc w:val="both"/>
      </w:pPr>
      <w:r>
        <w:rPr>
          <w:color w:val="000000"/>
          <w:spacing w:val="0"/>
          <w:w w:val="100"/>
          <w:position w:val="0"/>
        </w:rPr>
        <w:t>长期待摊费用为已经发生但应由报告期和以后各期负担的分摊期限在一年以上的各项费用。本集团的 长期待摊费用主要包括房屋装修费用。长期待摊费用在预计受益期间按直线法摊销。</w:t>
      </w:r>
    </w:p>
    <w:p>
      <w:pPr>
        <w:pStyle w:val="Style28"/>
        <w:keepNext/>
        <w:keepLines/>
        <w:widowControl w:val="0"/>
        <w:shd w:val="clear" w:color="auto" w:fill="auto"/>
        <w:tabs>
          <w:tab w:pos="447" w:val="left"/>
        </w:tabs>
        <w:bidi w:val="0"/>
        <w:spacing w:before="0" w:after="280" w:line="312" w:lineRule="exact"/>
        <w:ind w:left="0" w:right="0" w:firstLine="0"/>
        <w:jc w:val="both"/>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2</w:t>
      </w:r>
      <w:bookmarkEnd w:id="908"/>
      <w:r>
        <w:rPr>
          <w:rFonts w:ascii="Times New Roman" w:eastAsia="Times New Roman" w:hAnsi="Times New Roman" w:cs="Times New Roman"/>
          <w:color w:val="000000"/>
          <w:spacing w:val="0"/>
          <w:w w:val="100"/>
          <w:position w:val="0"/>
        </w:rPr>
        <w:t>5</w:t>
      </w:r>
      <w:r>
        <w:rPr>
          <w:color w:val="000000"/>
          <w:spacing w:val="0"/>
          <w:w w:val="100"/>
          <w:position w:val="0"/>
        </w:rPr>
        <w:t>、</w:t>
        <w:tab/>
        <w:t>合同负债</w:t>
      </w:r>
      <w:bookmarkEnd w:id="906"/>
      <w:bookmarkEnd w:id="907"/>
      <w:bookmarkEnd w:id="909"/>
    </w:p>
    <w:p>
      <w:pPr>
        <w:pStyle w:val="Style31"/>
        <w:keepNext w:val="0"/>
        <w:keepLines w:val="0"/>
        <w:widowControl w:val="0"/>
        <w:shd w:val="clear" w:color="auto" w:fill="auto"/>
        <w:bidi w:val="0"/>
        <w:spacing w:before="0" w:after="280" w:line="315" w:lineRule="exact"/>
        <w:ind w:left="0" w:right="0" w:firstLine="440"/>
        <w:jc w:val="both"/>
      </w:pPr>
      <w:r>
        <w:rPr>
          <w:color w:val="000000"/>
          <w:spacing w:val="0"/>
          <w:w w:val="100"/>
          <w:position w:val="0"/>
        </w:rPr>
        <w:t>合同负债，是指本集团已收或应收客户对价而应向客户转让商品的义务。如果在本集团向客户转让商 品之前，客户已经支付了合同对价或本集团已经取得了无条件收款权，本集团在客户实际支付款项和到期 应支付款项孰早时点，将该已收或应收款项列示为合同负债。同一合同下的合同资产和合同负债以净额列 示，不同合同下的合同资产和合同负债不予抵销。</w:t>
      </w:r>
    </w:p>
    <w:p>
      <w:pPr>
        <w:pStyle w:val="Style28"/>
        <w:keepNext/>
        <w:keepLines/>
        <w:widowControl w:val="0"/>
        <w:shd w:val="clear" w:color="auto" w:fill="auto"/>
        <w:tabs>
          <w:tab w:pos="447" w:val="left"/>
        </w:tabs>
        <w:bidi w:val="0"/>
        <w:spacing w:before="0" w:after="280" w:line="312" w:lineRule="exact"/>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w:t>
      </w:r>
      <w:bookmarkEnd w:id="912"/>
      <w:r>
        <w:rPr>
          <w:rFonts w:ascii="Times New Roman" w:eastAsia="Times New Roman" w:hAnsi="Times New Roman" w:cs="Times New Roman"/>
          <w:color w:val="000000"/>
          <w:spacing w:val="0"/>
          <w:w w:val="100"/>
          <w:position w:val="0"/>
        </w:rPr>
        <w:t>6</w:t>
      </w:r>
      <w:r>
        <w:rPr>
          <w:color w:val="000000"/>
          <w:spacing w:val="0"/>
          <w:w w:val="100"/>
          <w:position w:val="0"/>
        </w:rPr>
        <w:t>、</w:t>
        <w:tab/>
        <w:t>职工薪酬</w:t>
      </w:r>
      <w:bookmarkEnd w:id="910"/>
      <w:bookmarkEnd w:id="911"/>
      <w:bookmarkEnd w:id="913"/>
    </w:p>
    <w:p>
      <w:pPr>
        <w:pStyle w:val="Style35"/>
        <w:keepNext/>
        <w:keepLines/>
        <w:widowControl w:val="0"/>
        <w:numPr>
          <w:ilvl w:val="0"/>
          <w:numId w:val="137"/>
        </w:numPr>
        <w:shd w:val="clear" w:color="auto" w:fill="auto"/>
        <w:bidi w:val="0"/>
        <w:spacing w:before="0" w:after="280" w:line="312" w:lineRule="exact"/>
        <w:ind w:left="0" w:right="0" w:firstLine="0"/>
        <w:jc w:val="left"/>
      </w:pPr>
      <w:bookmarkStart w:id="914" w:name="bookmark914"/>
      <w:bookmarkStart w:id="915" w:name="bookmark915"/>
      <w:bookmarkStart w:id="916" w:name="bookmark916"/>
      <w:bookmarkStart w:id="917" w:name="bookmark917"/>
      <w:bookmarkEnd w:id="916"/>
      <w:r>
        <w:rPr>
          <w:color w:val="000000"/>
          <w:spacing w:val="0"/>
          <w:w w:val="100"/>
          <w:position w:val="0"/>
        </w:rPr>
        <w:t>短期薪酬的会计处理方法</w:t>
      </w:r>
      <w:bookmarkEnd w:id="914"/>
      <w:bookmarkEnd w:id="915"/>
      <w:bookmarkEnd w:id="917"/>
    </w:p>
    <w:p>
      <w:pPr>
        <w:pStyle w:val="Style31"/>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 xml:space="preserve">短期薪酬主要包括工资、奖金、津贴和补贴、职工福利费、医疗保险费、生育保险费、工伤保险费、 </w:t>
      </w:r>
      <w:r>
        <w:rPr>
          <w:color w:val="000000"/>
          <w:spacing w:val="0"/>
          <w:w w:val="100"/>
          <w:position w:val="0"/>
        </w:rPr>
        <w:t>住房公积金、工会经费和职工教育经费、非货币性福利等。本集团在职工为本集团提供服务的会计期间将 实际发生的短期职工薪酬确认为负债，并计入当期损益或相关资产成本。其中非货币性福利按公允价值计 量。</w:t>
      </w:r>
    </w:p>
    <w:p>
      <w:pPr>
        <w:pStyle w:val="Style35"/>
        <w:keepNext/>
        <w:keepLines/>
        <w:widowControl w:val="0"/>
        <w:shd w:val="clear" w:color="auto" w:fill="auto"/>
        <w:tabs>
          <w:tab w:pos="493" w:val="left"/>
        </w:tabs>
        <w:bidi w:val="0"/>
        <w:spacing w:before="0" w:after="280" w:line="314" w:lineRule="exact"/>
        <w:ind w:left="0" w:right="0" w:firstLine="0"/>
        <w:jc w:val="left"/>
      </w:pPr>
      <w:bookmarkStart w:id="918" w:name="bookmark918"/>
      <w:bookmarkStart w:id="919" w:name="bookmark919"/>
      <w:bookmarkStart w:id="920" w:name="bookmark920"/>
      <w:bookmarkStart w:id="921" w:name="bookmark921"/>
      <w:r>
        <w:rPr>
          <w:color w:val="000000"/>
          <w:spacing w:val="0"/>
          <w:w w:val="100"/>
          <w:position w:val="0"/>
        </w:rPr>
        <w:t>（</w:t>
      </w:r>
      <w:bookmarkEnd w:id="92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18"/>
      <w:bookmarkEnd w:id="919"/>
      <w:bookmarkEnd w:id="921"/>
    </w:p>
    <w:p>
      <w:pPr>
        <w:pStyle w:val="Style31"/>
        <w:keepNext w:val="0"/>
        <w:keepLines w:val="0"/>
        <w:widowControl w:val="0"/>
        <w:shd w:val="clear" w:color="auto" w:fill="auto"/>
        <w:bidi w:val="0"/>
        <w:spacing w:before="0" w:after="280" w:line="307" w:lineRule="exact"/>
        <w:ind w:left="0" w:right="0" w:firstLine="440"/>
        <w:jc w:val="both"/>
      </w:pPr>
      <w:r>
        <w:rPr>
          <w:color w:val="000000"/>
          <w:spacing w:val="0"/>
          <w:w w:val="100"/>
          <w:position w:val="0"/>
        </w:rPr>
        <w:t>离职后福利主要包括基本养老保险、失业保险。离职后福利计划包括设定提存计划。采用设定提存计 划的，相应的应缴存金额于发生时计入相关资产成本或当期损益。</w:t>
      </w:r>
    </w:p>
    <w:p>
      <w:pPr>
        <w:pStyle w:val="Style35"/>
        <w:keepNext/>
        <w:keepLines/>
        <w:widowControl w:val="0"/>
        <w:shd w:val="clear" w:color="auto" w:fill="auto"/>
        <w:tabs>
          <w:tab w:pos="493" w:val="left"/>
        </w:tabs>
        <w:bidi w:val="0"/>
        <w:spacing w:before="0" w:after="280" w:line="314" w:lineRule="exact"/>
        <w:ind w:left="0" w:right="0" w:firstLine="0"/>
        <w:jc w:val="left"/>
      </w:pPr>
      <w:bookmarkStart w:id="922" w:name="bookmark922"/>
      <w:bookmarkStart w:id="923" w:name="bookmark923"/>
      <w:bookmarkStart w:id="924" w:name="bookmark924"/>
      <w:bookmarkStart w:id="925" w:name="bookmark925"/>
      <w:r>
        <w:rPr>
          <w:color w:val="000000"/>
          <w:spacing w:val="0"/>
          <w:w w:val="100"/>
          <w:position w:val="0"/>
        </w:rPr>
        <w:t>（</w:t>
      </w:r>
      <w:bookmarkEnd w:id="92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22"/>
      <w:bookmarkEnd w:id="923"/>
      <w:bookmarkEnd w:id="925"/>
    </w:p>
    <w:p>
      <w:pPr>
        <w:pStyle w:val="Style31"/>
        <w:keepNext w:val="0"/>
        <w:keepLines w:val="0"/>
        <w:widowControl w:val="0"/>
        <w:shd w:val="clear" w:color="auto" w:fill="auto"/>
        <w:bidi w:val="0"/>
        <w:spacing w:before="0" w:line="314" w:lineRule="exact"/>
        <w:ind w:left="0" w:right="0" w:firstLine="440"/>
        <w:jc w:val="both"/>
      </w:pPr>
      <w:r>
        <w:rPr>
          <w:color w:val="000000"/>
          <w:spacing w:val="0"/>
          <w:w w:val="100"/>
          <w:position w:val="0"/>
        </w:rPr>
        <w:t>在职工劳动合同到期之前解除与职工的劳动关系，或为鼓励职工自愿接受裁减而提出给予补偿的建 议，在本集团不能单方面撤回因解除劳动关系计划或裁减建议所提供的辞退福利时，和本集团确认与涉及 支付辞退福利的重组相关的成本两者孰早日，确认辞退福利产生的职工薪酬负债，并计入当期损益。但辞 退福利预期在年度报告期结束后十二个月不能完全支付的，按照其他长期职工薪酬处理。</w:t>
      </w:r>
    </w:p>
    <w:p>
      <w:pPr>
        <w:pStyle w:val="Style31"/>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职工内部退休计划采用与上述辞退福利相同的原则处理。本集团将自职工停止提供服务日至正常退休 日的期间拟支付的内退人员工资和缴纳的社会保险费等，在符合预计负债确认条件时，计入当期损益（辞 退福利）。</w:t>
      </w:r>
    </w:p>
    <w:p>
      <w:pPr>
        <w:pStyle w:val="Style35"/>
        <w:keepNext/>
        <w:keepLines/>
        <w:widowControl w:val="0"/>
        <w:shd w:val="clear" w:color="auto" w:fill="auto"/>
        <w:tabs>
          <w:tab w:pos="493" w:val="left"/>
        </w:tabs>
        <w:bidi w:val="0"/>
        <w:spacing w:before="0" w:after="280" w:line="314" w:lineRule="exact"/>
        <w:ind w:left="0" w:right="0" w:firstLine="0"/>
        <w:jc w:val="left"/>
      </w:pPr>
      <w:bookmarkStart w:id="926" w:name="bookmark926"/>
      <w:bookmarkStart w:id="927" w:name="bookmark927"/>
      <w:bookmarkStart w:id="928" w:name="bookmark928"/>
      <w:bookmarkStart w:id="929" w:name="bookmark929"/>
      <w:r>
        <w:rPr>
          <w:color w:val="000000"/>
          <w:spacing w:val="0"/>
          <w:w w:val="100"/>
          <w:position w:val="0"/>
        </w:rPr>
        <w:t>（</w:t>
      </w:r>
      <w:bookmarkEnd w:id="928"/>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26"/>
      <w:bookmarkEnd w:id="927"/>
      <w:bookmarkEnd w:id="929"/>
    </w:p>
    <w:p>
      <w:pPr>
        <w:pStyle w:val="Style31"/>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本集团向职工提供的其他长期职工福利，符合设定提存计划的，按照设定提存计划进行会计处理，除 此之外按照设定受益计划进行会计处理。</w:t>
      </w:r>
    </w:p>
    <w:p>
      <w:pPr>
        <w:pStyle w:val="Style28"/>
        <w:keepNext/>
        <w:keepLines/>
        <w:widowControl w:val="0"/>
        <w:shd w:val="clear" w:color="auto" w:fill="auto"/>
        <w:tabs>
          <w:tab w:pos="483" w:val="left"/>
        </w:tabs>
        <w:bidi w:val="0"/>
        <w:spacing w:before="0" w:after="220" w:line="326" w:lineRule="auto"/>
        <w:ind w:left="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2</w:t>
      </w:r>
      <w:bookmarkEnd w:id="932"/>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930"/>
      <w:bookmarkEnd w:id="931"/>
      <w:bookmarkEnd w:id="933"/>
    </w:p>
    <w:p>
      <w:pPr>
        <w:pStyle w:val="Style31"/>
        <w:keepNext w:val="0"/>
        <w:keepLines w:val="0"/>
        <w:widowControl w:val="0"/>
        <w:shd w:val="clear" w:color="auto" w:fill="auto"/>
        <w:bidi w:val="0"/>
        <w:spacing w:before="0" w:after="380" w:line="314" w:lineRule="exact"/>
        <w:ind w:left="0" w:right="0" w:firstLine="440"/>
        <w:jc w:val="left"/>
      </w:pPr>
      <w:r>
        <w:rPr>
          <w:color w:val="000000"/>
          <w:spacing w:val="0"/>
          <w:w w:val="100"/>
          <w:position w:val="0"/>
        </w:rPr>
        <w:t>租赁负债的确认方法及会计处理方法，参见本节五、</w:t>
      </w:r>
      <w:r>
        <w:rPr>
          <w:rFonts w:ascii="Times New Roman" w:eastAsia="Times New Roman" w:hAnsi="Times New Roman" w:cs="Times New Roman"/>
          <w:color w:val="000000"/>
          <w:spacing w:val="0"/>
          <w:w w:val="100"/>
          <w:position w:val="0"/>
        </w:rPr>
        <w:t>34</w:t>
      </w:r>
      <w:r>
        <w:rPr>
          <w:color w:val="000000"/>
          <w:spacing w:val="0"/>
          <w:w w:val="100"/>
          <w:position w:val="0"/>
        </w:rPr>
        <w:t>、“租赁”。</w:t>
      </w:r>
    </w:p>
    <w:p>
      <w:pPr>
        <w:pStyle w:val="Style28"/>
        <w:keepNext/>
        <w:keepLines/>
        <w:widowControl w:val="0"/>
        <w:shd w:val="clear" w:color="auto" w:fill="auto"/>
        <w:tabs>
          <w:tab w:pos="483" w:val="left"/>
        </w:tabs>
        <w:bidi w:val="0"/>
        <w:spacing w:before="0" w:after="220" w:line="326" w:lineRule="auto"/>
        <w:ind w:left="0" w:right="0" w:firstLine="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2</w:t>
      </w:r>
      <w:bookmarkEnd w:id="936"/>
      <w:r>
        <w:rPr>
          <w:rFonts w:ascii="Times New Roman" w:eastAsia="Times New Roman" w:hAnsi="Times New Roman" w:cs="Times New Roman"/>
          <w:color w:val="000000"/>
          <w:spacing w:val="0"/>
          <w:w w:val="100"/>
          <w:position w:val="0"/>
        </w:rPr>
        <w:t>8</w:t>
      </w:r>
      <w:r>
        <w:rPr>
          <w:color w:val="000000"/>
          <w:spacing w:val="0"/>
          <w:w w:val="100"/>
          <w:position w:val="0"/>
        </w:rPr>
        <w:t>、</w:t>
        <w:tab/>
        <w:t>预计负债</w:t>
      </w:r>
      <w:bookmarkEnd w:id="934"/>
      <w:bookmarkEnd w:id="935"/>
      <w:bookmarkEnd w:id="937"/>
    </w:p>
    <w:p>
      <w:pPr>
        <w:pStyle w:val="Style31"/>
        <w:keepNext w:val="0"/>
        <w:keepLines w:val="0"/>
        <w:widowControl w:val="0"/>
        <w:shd w:val="clear" w:color="auto" w:fill="auto"/>
        <w:bidi w:val="0"/>
        <w:spacing w:before="0" w:line="298" w:lineRule="exact"/>
        <w:ind w:left="0" w:right="0" w:firstLine="440"/>
        <w:jc w:val="both"/>
      </w:pPr>
      <w:r>
        <w:rPr>
          <w:color w:val="000000"/>
          <w:spacing w:val="0"/>
          <w:w w:val="100"/>
          <w:position w:val="0"/>
        </w:rPr>
        <w:t>当与或有事项相关的义务同时符合以下条件，确认为预计负债：</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该义务是本集团承担的现时义 务；</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履行该义务很可能导致经济利益流出；</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该义务的金额能够可靠地计量。</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在资产负债表日，考虑与或有事项有关的风险、不确定性和货币时间价值等因素，按照履行相关现时 义务所需支出的最佳估计数对预计负债进行计量。</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如果清偿预计负债所需支出全部或部分预期由第三方补偿的，补偿金额在基本确定能够收到时，作为 资产单独确认，且确认的补偿金额不超过预计负债的账面价值。</w:t>
      </w:r>
    </w:p>
    <w:p>
      <w:pPr>
        <w:pStyle w:val="Style31"/>
        <w:keepNext w:val="0"/>
        <w:keepLines w:val="0"/>
        <w:widowControl w:val="0"/>
        <w:shd w:val="clear" w:color="auto" w:fill="auto"/>
        <w:tabs>
          <w:tab w:pos="928" w:val="left"/>
        </w:tabs>
        <w:bidi w:val="0"/>
        <w:spacing w:before="0" w:line="314" w:lineRule="exact"/>
        <w:ind w:left="0" w:right="0" w:firstLine="440"/>
        <w:jc w:val="both"/>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亏损合同</w:t>
      </w:r>
    </w:p>
    <w:p>
      <w:pPr>
        <w:pStyle w:val="Style31"/>
        <w:keepNext w:val="0"/>
        <w:keepLines w:val="0"/>
        <w:widowControl w:val="0"/>
        <w:shd w:val="clear" w:color="auto" w:fill="auto"/>
        <w:bidi w:val="0"/>
        <w:spacing w:before="0" w:line="314" w:lineRule="exact"/>
        <w:ind w:left="0" w:right="0" w:firstLine="440"/>
        <w:jc w:val="both"/>
      </w:pPr>
      <w:r>
        <w:rPr>
          <w:color w:val="000000"/>
          <w:spacing w:val="0"/>
          <w:w w:val="100"/>
          <w:position w:val="0"/>
        </w:rPr>
        <w:t>亏损合同是履行合同义务不可避免会发生的成本超过预期经济利益的合同。待执行合同变成亏损合 同，且该亏损合同产生的义务满足上述预计负债的确认条件的，将合同预计损失超过合同标的资产已确认 的减值损失（如有）的部分，确认为预计负债。</w:t>
      </w:r>
    </w:p>
    <w:p>
      <w:pPr>
        <w:pStyle w:val="Style31"/>
        <w:keepNext w:val="0"/>
        <w:keepLines w:val="0"/>
        <w:widowControl w:val="0"/>
        <w:shd w:val="clear" w:color="auto" w:fill="auto"/>
        <w:tabs>
          <w:tab w:pos="928" w:val="left"/>
        </w:tabs>
        <w:bidi w:val="0"/>
        <w:spacing w:before="0" w:after="240" w:line="314" w:lineRule="exact"/>
        <w:ind w:left="0" w:right="0" w:firstLine="440"/>
        <w:jc w:val="left"/>
      </w:pPr>
      <w:bookmarkStart w:id="939" w:name="bookmark939"/>
      <w:r>
        <w:rPr>
          <w:color w:val="000000"/>
          <w:spacing w:val="0"/>
          <w:w w:val="100"/>
          <w:position w:val="0"/>
        </w:rPr>
        <w:t>（</w:t>
      </w:r>
      <w:bookmarkEnd w:id="939"/>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重组义务</w:t>
      </w:r>
    </w:p>
    <w:p>
      <w:pPr>
        <w:pStyle w:val="Style31"/>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对于有详细、正式并且已经对外公告的重组计划，在满足前述预计负债的确认条件的情况下，按照与 重组有关的直接支出确定预计负债金额。对于出售部分业务的重组义务，只有在本集团承诺出售部分业务 （即签订了约束性出售协议时），才确认与重组相关的义务。</w:t>
      </w:r>
    </w:p>
    <w:p>
      <w:pPr>
        <w:pStyle w:val="Style28"/>
        <w:keepNext/>
        <w:keepLines/>
        <w:widowControl w:val="0"/>
        <w:shd w:val="clear" w:color="auto" w:fill="auto"/>
        <w:bidi w:val="0"/>
        <w:spacing w:before="0" w:after="200" w:line="326" w:lineRule="auto"/>
        <w:ind w:left="0" w:right="0" w:firstLine="0"/>
        <w:jc w:val="both"/>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2</w:t>
      </w:r>
      <w:bookmarkEnd w:id="942"/>
      <w:r>
        <w:rPr>
          <w:rFonts w:ascii="Times New Roman" w:eastAsia="Times New Roman" w:hAnsi="Times New Roman" w:cs="Times New Roman"/>
          <w:color w:val="000000"/>
          <w:spacing w:val="0"/>
          <w:w w:val="100"/>
          <w:position w:val="0"/>
        </w:rPr>
        <w:t>9</w:t>
      </w:r>
      <w:r>
        <w:rPr>
          <w:color w:val="000000"/>
          <w:spacing w:val="0"/>
          <w:w w:val="100"/>
          <w:position w:val="0"/>
        </w:rPr>
        <w:t>、股份支付</w:t>
      </w:r>
      <w:bookmarkEnd w:id="940"/>
      <w:bookmarkEnd w:id="941"/>
      <w:bookmarkEnd w:id="943"/>
    </w:p>
    <w:p>
      <w:pPr>
        <w:pStyle w:val="Style31"/>
        <w:keepNext w:val="0"/>
        <w:keepLines w:val="0"/>
        <w:widowControl w:val="0"/>
        <w:shd w:val="clear" w:color="auto" w:fill="auto"/>
        <w:tabs>
          <w:tab w:pos="905" w:val="left"/>
        </w:tabs>
        <w:bidi w:val="0"/>
        <w:spacing w:before="0" w:after="160" w:line="312" w:lineRule="exact"/>
        <w:ind w:left="0" w:right="0" w:firstLine="440"/>
        <w:jc w:val="both"/>
      </w:pPr>
      <w:bookmarkStart w:id="944" w:name="bookmark944"/>
      <w:r>
        <w:rPr>
          <w:color w:val="000000"/>
          <w:spacing w:val="0"/>
          <w:w w:val="100"/>
          <w:position w:val="0"/>
        </w:rPr>
        <w:t>（</w:t>
      </w:r>
      <w:bookmarkEnd w:id="944"/>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股份支付的会计处理方法</w:t>
      </w:r>
    </w:p>
    <w:p>
      <w:pPr>
        <w:pStyle w:val="Style31"/>
        <w:keepNext w:val="0"/>
        <w:keepLines w:val="0"/>
        <w:widowControl w:val="0"/>
        <w:shd w:val="clear" w:color="auto" w:fill="auto"/>
        <w:bidi w:val="0"/>
        <w:spacing w:before="0" w:after="160" w:line="317" w:lineRule="exact"/>
        <w:ind w:left="0" w:right="0" w:firstLine="440"/>
        <w:jc w:val="both"/>
      </w:pPr>
      <w:r>
        <w:rPr>
          <w:color w:val="000000"/>
          <w:spacing w:val="0"/>
          <w:w w:val="100"/>
          <w:position w:val="0"/>
        </w:rPr>
        <w:t>股份支付是为了获取职工或其他方提供服务而授予权益工具或者承担以权益工具为基础确定的负债 的交易。股份支付分为以权益结算的股份支付和以现金结算的股份支付。</w:t>
      </w:r>
    </w:p>
    <w:p>
      <w:pPr>
        <w:pStyle w:val="Style31"/>
        <w:keepNext w:val="0"/>
        <w:keepLines w:val="0"/>
        <w:widowControl w:val="0"/>
        <w:numPr>
          <w:ilvl w:val="0"/>
          <w:numId w:val="139"/>
        </w:numPr>
        <w:shd w:val="clear" w:color="auto" w:fill="auto"/>
        <w:tabs>
          <w:tab w:pos="809" w:val="left"/>
        </w:tabs>
        <w:bidi w:val="0"/>
        <w:spacing w:before="0" w:after="160" w:line="312" w:lineRule="exact"/>
        <w:ind w:left="0" w:right="0" w:firstLine="440"/>
        <w:jc w:val="both"/>
      </w:pPr>
      <w:bookmarkStart w:id="945" w:name="bookmark945"/>
      <w:bookmarkEnd w:id="945"/>
      <w:r>
        <w:rPr>
          <w:color w:val="000000"/>
          <w:spacing w:val="0"/>
          <w:w w:val="100"/>
          <w:position w:val="0"/>
        </w:rPr>
        <w:t>以权益结算的股份支付</w:t>
      </w:r>
    </w:p>
    <w:p>
      <w:pPr>
        <w:pStyle w:val="Style31"/>
        <w:keepNext w:val="0"/>
        <w:keepLines w:val="0"/>
        <w:widowControl w:val="0"/>
        <w:shd w:val="clear" w:color="auto" w:fill="auto"/>
        <w:bidi w:val="0"/>
        <w:spacing w:before="0" w:after="160" w:line="310" w:lineRule="exact"/>
        <w:ind w:left="0" w:right="0" w:firstLine="440"/>
        <w:jc w:val="both"/>
      </w:pPr>
      <w:r>
        <w:rPr>
          <w:color w:val="000000"/>
          <w:spacing w:val="0"/>
          <w:w w:val="100"/>
          <w:position w:val="0"/>
        </w:rPr>
        <w:t>用以换取职工提供的服务的权益结算的股份支付，以授予职工权益工具在授予日的公允价值计量。该 公允价值的金额在完成等待期内的服务或达到规定业绩条件才可行权的情况下，在等待期内以对可行权权 益工具数量的最佳估计为基础，按直线法计算计入相关成本或费用/在授予后立即可行权时，在授予日计 入相关成本或费用，相应增加资本公积。</w:t>
      </w:r>
    </w:p>
    <w:p>
      <w:pPr>
        <w:pStyle w:val="Style31"/>
        <w:keepNext w:val="0"/>
        <w:keepLines w:val="0"/>
        <w:widowControl w:val="0"/>
        <w:shd w:val="clear" w:color="auto" w:fill="auto"/>
        <w:bidi w:val="0"/>
        <w:spacing w:before="0" w:after="160" w:line="302" w:lineRule="exact"/>
        <w:ind w:left="0" w:right="0" w:firstLine="440"/>
        <w:jc w:val="both"/>
      </w:pPr>
      <w:r>
        <w:rPr>
          <w:color w:val="000000"/>
          <w:spacing w:val="0"/>
          <w:w w:val="100"/>
          <w:position w:val="0"/>
        </w:rPr>
        <w:t>在等待期内每个资产负债表日，本集团根据最新取得的可行权职工人数变动等后续信息做出最佳估 计，修正预计可行权的权益工具数量。上述估计的影响计入当期相关成本或费用，并相应调整资本公积。</w:t>
      </w:r>
    </w:p>
    <w:p>
      <w:pPr>
        <w:pStyle w:val="Style31"/>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用以换取其他方服务的权益结算的股份支付，如果其他方服务的公允价值能够可靠计量，按照其他方 服务在取得日的公允价值计量，如果其他方服务的公允价值不能可靠计量，但权益工具的公允价值能够可 靠计量的，按照权益工具在服务取得日的公允价值计量，计入相关成本或费用，相应增加股东权益。</w:t>
      </w:r>
    </w:p>
    <w:p>
      <w:pPr>
        <w:pStyle w:val="Style31"/>
        <w:keepNext w:val="0"/>
        <w:keepLines w:val="0"/>
        <w:widowControl w:val="0"/>
        <w:numPr>
          <w:ilvl w:val="0"/>
          <w:numId w:val="139"/>
        </w:numPr>
        <w:shd w:val="clear" w:color="auto" w:fill="auto"/>
        <w:tabs>
          <w:tab w:pos="814" w:val="left"/>
        </w:tabs>
        <w:bidi w:val="0"/>
        <w:spacing w:before="0" w:after="160" w:line="312" w:lineRule="exact"/>
        <w:ind w:left="0" w:right="0" w:firstLine="440"/>
        <w:jc w:val="both"/>
      </w:pPr>
      <w:bookmarkStart w:id="946" w:name="bookmark946"/>
      <w:bookmarkEnd w:id="946"/>
      <w:r>
        <w:rPr>
          <w:color w:val="000000"/>
          <w:spacing w:val="0"/>
          <w:w w:val="100"/>
          <w:position w:val="0"/>
        </w:rPr>
        <w:t>以现金结算的股份支付</w:t>
      </w:r>
    </w:p>
    <w:p>
      <w:pPr>
        <w:pStyle w:val="Style31"/>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以现金结算的股份支付，按照本集团承担的以股份或其他权益工具为基础确定的负债的公允价值计 量。如授予后立即可行权，在授予日计入相关成本或费用，相应增加负债；如须完成等待期内的服务或达 到规定业绩条件以后才可行权，在等待期的每个资产负债表日，以对可行权情况的最佳估计为基础，按照 本集团承担负债的公允价值金额，将当期取得的服务计入成本或费用，相应增加负债。</w:t>
      </w:r>
    </w:p>
    <w:p>
      <w:pPr>
        <w:pStyle w:val="Style31"/>
        <w:keepNext w:val="0"/>
        <w:keepLines w:val="0"/>
        <w:widowControl w:val="0"/>
        <w:shd w:val="clear" w:color="auto" w:fill="auto"/>
        <w:bidi w:val="0"/>
        <w:spacing w:before="0" w:after="160" w:line="293" w:lineRule="exact"/>
        <w:ind w:left="0" w:right="0" w:firstLine="440"/>
        <w:jc w:val="both"/>
      </w:pPr>
      <w:r>
        <w:rPr>
          <w:color w:val="000000"/>
          <w:spacing w:val="0"/>
          <w:w w:val="100"/>
          <w:position w:val="0"/>
        </w:rPr>
        <w:t>在相关负债结算前的每个资产负债表日以及结算日，对负债的公允价值重新计量，其变动计入当期损 益。</w:t>
      </w:r>
    </w:p>
    <w:p>
      <w:pPr>
        <w:pStyle w:val="Style31"/>
        <w:keepNext w:val="0"/>
        <w:keepLines w:val="0"/>
        <w:widowControl w:val="0"/>
        <w:shd w:val="clear" w:color="auto" w:fill="auto"/>
        <w:tabs>
          <w:tab w:pos="905" w:val="left"/>
        </w:tabs>
        <w:bidi w:val="0"/>
        <w:spacing w:before="0" w:after="160" w:line="312" w:lineRule="exact"/>
        <w:ind w:left="0" w:right="0" w:firstLine="440"/>
        <w:jc w:val="both"/>
      </w:pPr>
      <w:bookmarkStart w:id="947" w:name="bookmark947"/>
      <w:r>
        <w:rPr>
          <w:color w:val="000000"/>
          <w:spacing w:val="0"/>
          <w:w w:val="100"/>
          <w:position w:val="0"/>
        </w:rPr>
        <w:t>（</w:t>
      </w:r>
      <w:bookmarkEnd w:id="947"/>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修改、终止股份支付计划的相关会计处理</w:t>
      </w:r>
    </w:p>
    <w:p>
      <w:pPr>
        <w:pStyle w:val="Style31"/>
        <w:keepNext w:val="0"/>
        <w:keepLines w:val="0"/>
        <w:widowControl w:val="0"/>
        <w:shd w:val="clear" w:color="auto" w:fill="auto"/>
        <w:bidi w:val="0"/>
        <w:spacing w:before="0" w:after="160" w:line="310" w:lineRule="exact"/>
        <w:ind w:left="0" w:right="0" w:firstLine="440"/>
        <w:jc w:val="both"/>
      </w:pPr>
      <w:r>
        <w:rPr>
          <w:color w:val="000000"/>
          <w:spacing w:val="0"/>
          <w:w w:val="100"/>
          <w:position w:val="0"/>
        </w:rPr>
        <w:t>本集团对股份支付计划进行修改时，若修改增加了所授予权益工具的公允价值，按照权益工具公允价 值的增加相应确认取得服务的增加。权益工具公允价值的增加是指修改前后的权益工具在修改日的公允价 值之间的差额。若修改减少了股份支付公允价值总额或采用了其他不利于职工的方式，则仍继续对取得的 服务进行会计处理，视同该变更从未发生，除非本集团取消了部分或全部已授予的权益工具。</w:t>
      </w:r>
    </w:p>
    <w:p>
      <w:pPr>
        <w:pStyle w:val="Style31"/>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在等待期内，如果取消了授予的权益工具，本集团对取消所授予的权益性工具作为加速行权处理，将 剩余等待期内应确认的金额立即计入当期损益，同时确认资本公积。职工或其他方能够选择满足非可行权 条件但在等待期内未满足的，本集团将其作为授予权益工具的取消处理。</w:t>
      </w:r>
    </w:p>
    <w:p>
      <w:pPr>
        <w:pStyle w:val="Style31"/>
        <w:keepNext w:val="0"/>
        <w:keepLines w:val="0"/>
        <w:widowControl w:val="0"/>
        <w:shd w:val="clear" w:color="auto" w:fill="auto"/>
        <w:tabs>
          <w:tab w:pos="905" w:val="left"/>
        </w:tabs>
        <w:bidi w:val="0"/>
        <w:spacing w:before="0" w:after="200" w:line="312" w:lineRule="exact"/>
        <w:ind w:left="0" w:right="0" w:firstLine="440"/>
        <w:jc w:val="both"/>
      </w:pPr>
      <w:bookmarkStart w:id="948" w:name="bookmark948"/>
      <w:r>
        <w:rPr>
          <w:color w:val="000000"/>
          <w:spacing w:val="0"/>
          <w:w w:val="100"/>
          <w:position w:val="0"/>
        </w:rPr>
        <w:t>（</w:t>
      </w:r>
      <w:bookmarkEnd w:id="948"/>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涉及本集团与本公司股东或实际控制人的股份支付交易的会计处理</w:t>
      </w:r>
    </w:p>
    <w:p>
      <w:pPr>
        <w:pStyle w:val="Style31"/>
        <w:keepNext w:val="0"/>
        <w:keepLines w:val="0"/>
        <w:widowControl w:val="0"/>
        <w:shd w:val="clear" w:color="auto" w:fill="auto"/>
        <w:bidi w:val="0"/>
        <w:spacing w:before="0" w:after="160" w:line="269" w:lineRule="exact"/>
        <w:ind w:left="0" w:right="0" w:firstLine="440"/>
        <w:jc w:val="both"/>
      </w:pPr>
      <w:r>
        <w:rPr>
          <w:color w:val="000000"/>
          <w:spacing w:val="0"/>
          <w:w w:val="100"/>
          <w:position w:val="0"/>
        </w:rPr>
        <w:t>涉及本集团与本公司股东或实际控制人的股份支付交易，结算企业与接受服务企业中其一在本集团 内，另一在本集团外的，在本集团合并财务报表中按照以下规定进行会计处理：</w:t>
      </w:r>
    </w:p>
    <w:p>
      <w:pPr>
        <w:pStyle w:val="Style31"/>
        <w:keepNext w:val="0"/>
        <w:keepLines w:val="0"/>
        <w:widowControl w:val="0"/>
        <w:numPr>
          <w:ilvl w:val="0"/>
          <w:numId w:val="141"/>
        </w:numPr>
        <w:shd w:val="clear" w:color="auto" w:fill="auto"/>
        <w:tabs>
          <w:tab w:pos="754" w:val="left"/>
        </w:tabs>
        <w:bidi w:val="0"/>
        <w:spacing w:before="0" w:after="160" w:line="317" w:lineRule="exact"/>
        <w:ind w:left="0" w:right="0" w:firstLine="440"/>
        <w:jc w:val="both"/>
      </w:pPr>
      <w:bookmarkStart w:id="949" w:name="bookmark949"/>
      <w:bookmarkEnd w:id="949"/>
      <w:r>
        <w:rPr>
          <w:color w:val="000000"/>
          <w:spacing w:val="0"/>
          <w:w w:val="100"/>
          <w:position w:val="0"/>
        </w:rPr>
        <w:t>结算企业以其本身权益工具结算的，将该股份支付交易作为权益结算的股份支付处理；除此之外， 作为现金结算的股份支付处理。</w:t>
      </w:r>
    </w:p>
    <w:p>
      <w:pPr>
        <w:pStyle w:val="Style31"/>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结算企业是接受服务企业的投资者的，按照授予日权益工具的公允价值或应承担负债的公允价值确认 为对接受服务企业的长期股权投资，同时确认资本公积（其他资本公积）或负债。</w:t>
      </w:r>
    </w:p>
    <w:p>
      <w:pPr>
        <w:pStyle w:val="Style31"/>
        <w:keepNext w:val="0"/>
        <w:keepLines w:val="0"/>
        <w:widowControl w:val="0"/>
        <w:numPr>
          <w:ilvl w:val="0"/>
          <w:numId w:val="141"/>
        </w:numPr>
        <w:shd w:val="clear" w:color="auto" w:fill="auto"/>
        <w:tabs>
          <w:tab w:pos="750" w:val="left"/>
        </w:tabs>
        <w:bidi w:val="0"/>
        <w:spacing w:before="0" w:after="160" w:line="314" w:lineRule="exact"/>
        <w:ind w:left="0" w:right="0" w:firstLine="440"/>
        <w:jc w:val="both"/>
      </w:pPr>
      <w:bookmarkStart w:id="950" w:name="bookmark950"/>
      <w:bookmarkEnd w:id="950"/>
      <w:r>
        <w:rPr>
          <w:color w:val="000000"/>
          <w:spacing w:val="0"/>
          <w:w w:val="100"/>
          <w:position w:val="0"/>
        </w:rPr>
        <w:t>接受服务企业没有结算义务或授予本企业职工的是其本身权益工具的，将该股份支付交易作为权益 结算的股份支付处理；接受服务企业具有结算义务且授予本企业职工的并非其本身权益工具的，将该股份 支付交易作为现金结算的股份支付处理。</w:t>
      </w:r>
    </w:p>
    <w:p>
      <w:pPr>
        <w:pStyle w:val="Style31"/>
        <w:keepNext w:val="0"/>
        <w:keepLines w:val="0"/>
        <w:widowControl w:val="0"/>
        <w:shd w:val="clear" w:color="auto" w:fill="auto"/>
        <w:bidi w:val="0"/>
        <w:spacing w:before="0" w:after="380" w:line="302" w:lineRule="exact"/>
        <w:ind w:left="0" w:right="0" w:firstLine="440"/>
        <w:jc w:val="both"/>
      </w:pPr>
      <w:r>
        <w:rPr>
          <w:color w:val="000000"/>
          <w:spacing w:val="0"/>
          <w:w w:val="100"/>
          <w:position w:val="0"/>
        </w:rPr>
        <w:t>本集团内各企业之间发生的股份支付交易，接受服务企业和结算企业不是同一企业的，在接受服务企 业和结算企业各自的个别财务报表中对该股份支付交易的确认和计量，比照上述原则处理。</w:t>
      </w:r>
    </w:p>
    <w:p>
      <w:pPr>
        <w:pStyle w:val="Style28"/>
        <w:keepNext/>
        <w:keepLines/>
        <w:widowControl w:val="0"/>
        <w:shd w:val="clear" w:color="auto" w:fill="auto"/>
        <w:bidi w:val="0"/>
        <w:spacing w:before="0" w:after="220" w:line="326" w:lineRule="auto"/>
        <w:ind w:left="0" w:right="0" w:firstLine="0"/>
        <w:jc w:val="both"/>
      </w:pPr>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30</w:t>
      </w:r>
      <w:r>
        <w:rPr>
          <w:color w:val="000000"/>
          <w:spacing w:val="0"/>
          <w:w w:val="100"/>
          <w:position w:val="0"/>
        </w:rPr>
        <w:t>、收入</w:t>
      </w:r>
      <w:bookmarkEnd w:id="951"/>
      <w:bookmarkEnd w:id="952"/>
      <w:bookmarkEnd w:id="953"/>
    </w:p>
    <w:p>
      <w:pPr>
        <w:pStyle w:val="Style31"/>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收入是本集团在日常活动中形成的、会导致股东权益增加的、与股东投入资本无关的经济利益的总流 入。本集团与客户之间的合同同时满足下列条件时，在客户取得相关商品（含劳务，下同）控制权时确认 收入：合同各方已批准该合同并承诺将履行各自义务；合同明确了合同各方与所转让商品或提供劳务相关 的权利和义务；合同有明确的与所转让商品相关的支付条款；合同具有商业实质，即履行该合同将改变本 集团未来现金流量的风险、时间分布或金额；本集团因向客户转让商品而有权取得的对价很可能收回。其 中，取得相关商品控制权，是指能够主导该商品的使用并从中获得几乎全部的经济利益。</w:t>
      </w:r>
    </w:p>
    <w:p>
      <w:pPr>
        <w:pStyle w:val="Style31"/>
        <w:keepNext w:val="0"/>
        <w:keepLines w:val="0"/>
        <w:widowControl w:val="0"/>
        <w:shd w:val="clear" w:color="auto" w:fill="auto"/>
        <w:bidi w:val="0"/>
        <w:spacing w:before="0" w:after="160" w:line="307" w:lineRule="exact"/>
        <w:ind w:left="0" w:right="0" w:firstLine="440"/>
        <w:jc w:val="both"/>
      </w:pPr>
      <w:r>
        <w:rPr>
          <w:color w:val="000000"/>
          <w:spacing w:val="0"/>
          <w:w w:val="100"/>
          <w:position w:val="0"/>
        </w:rPr>
        <w:t>在合同开始日，本集团识别合同中存在的各单项履约义务，并将交易价格按照各单项履约义务所承诺 商品的单独售价的相对比例分摊至各单项履约义务。在确定交易价格时考虑了可变对价、合同中存在的重 大融资成分、非现金对价、应付客户对价等因素的影响。</w:t>
      </w:r>
    </w:p>
    <w:p>
      <w:pPr>
        <w:pStyle w:val="Style31"/>
        <w:keepNext w:val="0"/>
        <w:keepLines w:val="0"/>
        <w:widowControl w:val="0"/>
        <w:shd w:val="clear" w:color="auto" w:fill="auto"/>
        <w:bidi w:val="0"/>
        <w:spacing w:before="0" w:after="160" w:line="311" w:lineRule="exact"/>
        <w:ind w:left="0" w:right="0" w:firstLine="440"/>
        <w:jc w:val="both"/>
      </w:pPr>
      <w:r>
        <w:rPr>
          <w:color w:val="000000"/>
          <w:spacing w:val="0"/>
          <w:w w:val="100"/>
          <w:position w:val="0"/>
        </w:rPr>
        <w:t>对于合同中的每个单项履约义务，如果满足下列条件之一的，本集团在相关履约时段内按照履约进度 将分摊至该单项履约义务的交易价格确认为收入：客户在本集团履约的同时即取得并消耗本集团履约所带 来的经济利益；客户能够控制本集团履约过程中在建的商品；本集团履约过程中所产出的商品具有不可替 代用途，且本集团在整个合同期间内有权就累计至今已完成的履约部分收取款项。履约进度根据所转让商 品的性质采用投入法或产出法确定，当履约进度不能合理确定时，本集团已经发生的成本预计能够得到补 偿的，按照已经发生的成本金额确认收入，直到履约进度能够合理确定为止。</w:t>
      </w:r>
    </w:p>
    <w:p>
      <w:pPr>
        <w:pStyle w:val="Style31"/>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如果不满足上述条件之一，则本集团在客户取得相关商品控制权的时点按照分摊至该单项履约义务的 交易价格确认收入。在判断客户是否已取得商品控制权时，本集团考虑下列迹象：企业就该商品享有现时 收款权利，即客户就该商品负有现时付款义务；企业已将该商品的法定所有权转移给客户，即客户已拥有 该商品的法定所有权；企业已将该商品实物转移给客户，即客户已实物占有该商品；企业已将该商品所有 权上的主要风险和报酬转移给客户，即客户已取得该商品所有权上的主要风险和报酬；客户已接受该商品； 其他表明客户已取得商品控制权的迹象。</w:t>
      </w:r>
    </w:p>
    <w:p>
      <w:pPr>
        <w:pStyle w:val="Style31"/>
        <w:keepNext w:val="0"/>
        <w:keepLines w:val="0"/>
        <w:widowControl w:val="0"/>
        <w:shd w:val="clear" w:color="auto" w:fill="auto"/>
        <w:bidi w:val="0"/>
        <w:spacing w:before="0" w:after="40" w:line="312" w:lineRule="exact"/>
        <w:ind w:left="0" w:right="0" w:firstLine="440"/>
        <w:jc w:val="both"/>
      </w:pPr>
      <w:r>
        <w:rPr>
          <w:b/>
          <w:bCs/>
          <w:color w:val="000000"/>
          <w:spacing w:val="0"/>
          <w:w w:val="100"/>
          <w:position w:val="0"/>
        </w:rPr>
        <w:t>确认收入的具体方法</w:t>
      </w:r>
    </w:p>
    <w:p>
      <w:pPr>
        <w:pStyle w:val="Style31"/>
        <w:keepNext w:val="0"/>
        <w:keepLines w:val="0"/>
        <w:widowControl w:val="0"/>
        <w:shd w:val="clear" w:color="auto" w:fill="auto"/>
        <w:bidi w:val="0"/>
        <w:spacing w:before="0" w:after="40" w:line="307" w:lineRule="exact"/>
        <w:ind w:left="0" w:right="0" w:firstLine="440"/>
        <w:jc w:val="both"/>
      </w:pPr>
      <w:r>
        <w:rPr>
          <w:color w:val="000000"/>
          <w:spacing w:val="0"/>
          <w:w w:val="100"/>
          <w:position w:val="0"/>
        </w:rPr>
        <w:t>本集团业务主要为信息系统集成服务、信息系统运维服务、信息设备销售、软件开发及技术服务。公 司主要业务确认收入的具体方法如下：</w:t>
      </w:r>
    </w:p>
    <w:p>
      <w:pPr>
        <w:pStyle w:val="Style31"/>
        <w:keepNext w:val="0"/>
        <w:keepLines w:val="0"/>
        <w:widowControl w:val="0"/>
        <w:numPr>
          <w:ilvl w:val="0"/>
          <w:numId w:val="143"/>
        </w:numPr>
        <w:shd w:val="clear" w:color="auto" w:fill="auto"/>
        <w:bidi w:val="0"/>
        <w:spacing w:before="0" w:after="160" w:line="311" w:lineRule="exact"/>
        <w:ind w:left="0" w:right="0" w:firstLine="440"/>
        <w:jc w:val="both"/>
      </w:pPr>
      <w:bookmarkStart w:id="954" w:name="bookmark954"/>
      <w:bookmarkEnd w:id="954"/>
      <w:r>
        <w:rPr>
          <w:color w:val="000000"/>
          <w:spacing w:val="0"/>
          <w:w w:val="100"/>
          <w:position w:val="0"/>
        </w:rPr>
        <w:t>信息系统集成服务，系按照客户需求，通过应用各种计算机软件技术以及各种硬件设备，经过集 成设计，安装调试等技术性工作，提供整体解决方案。信息系统集成需安装调试后才达到预定可使用状态， 主要风险和报酬（控制权）才转移给购货方（建设方），因此信息系统集成服务以完成安装调试，客户验 收作为收入确认时点。当客户合同中明确约定初验、终验的，以取得客户终验报告作为收入确认时点，如 合同中无明确约定初验、终验，客户在实际执行时有出具初验、终验报告，以终验报告作为收入确认时点。</w:t>
      </w:r>
    </w:p>
    <w:p>
      <w:pPr>
        <w:pStyle w:val="Style31"/>
        <w:keepNext w:val="0"/>
        <w:keepLines w:val="0"/>
        <w:widowControl w:val="0"/>
        <w:numPr>
          <w:ilvl w:val="0"/>
          <w:numId w:val="143"/>
        </w:numPr>
        <w:shd w:val="clear" w:color="auto" w:fill="auto"/>
        <w:tabs>
          <w:tab w:pos="754" w:val="left"/>
        </w:tabs>
        <w:bidi w:val="0"/>
        <w:spacing w:before="0" w:after="40" w:line="312" w:lineRule="exact"/>
        <w:ind w:left="0" w:right="0" w:firstLine="440"/>
        <w:jc w:val="both"/>
      </w:pPr>
      <w:bookmarkStart w:id="955" w:name="bookmark955"/>
      <w:bookmarkEnd w:id="955"/>
      <w:r>
        <w:rPr>
          <w:color w:val="000000"/>
          <w:spacing w:val="0"/>
          <w:w w:val="100"/>
          <w:position w:val="0"/>
        </w:rPr>
        <w:t>信息系统运维服务，系按照客户要求，利用公司在信息系统运维方面的专业性优势为客户提供专 业的系统运维服务。信息系统运维服务按照合同约定的条款于服务完成时点（指偶发的一次性运维服务） 或阶段完成时点（指定期服务的日常维护，按月确认）确认收入。</w:t>
      </w:r>
    </w:p>
    <w:p>
      <w:pPr>
        <w:pStyle w:val="Style31"/>
        <w:keepNext w:val="0"/>
        <w:keepLines w:val="0"/>
        <w:widowControl w:val="0"/>
        <w:numPr>
          <w:ilvl w:val="0"/>
          <w:numId w:val="143"/>
        </w:numPr>
        <w:shd w:val="clear" w:color="auto" w:fill="auto"/>
        <w:tabs>
          <w:tab w:pos="754" w:val="left"/>
        </w:tabs>
        <w:bidi w:val="0"/>
        <w:spacing w:before="0" w:after="40" w:line="312" w:lineRule="exact"/>
        <w:ind w:left="0" w:right="0" w:firstLine="440"/>
        <w:jc w:val="both"/>
      </w:pPr>
      <w:bookmarkStart w:id="956" w:name="bookmark956"/>
      <w:bookmarkEnd w:id="956"/>
      <w:r>
        <w:rPr>
          <w:color w:val="000000"/>
          <w:spacing w:val="0"/>
          <w:w w:val="100"/>
          <w:position w:val="0"/>
        </w:rPr>
        <w:t>信息设备销售，系向企业、政府部门销售电子产品（主要是系统集成服务和信息系统运维过程中， 根据客户需求搭配的一些零配件，主要包括机柜、电脑、播放器、主机、投影仪等）。信息设备销售以商 品转移给购货方，取得客户验收单作为收入确认时点。</w:t>
      </w:r>
    </w:p>
    <w:p>
      <w:pPr>
        <w:pStyle w:val="Style31"/>
        <w:keepNext w:val="0"/>
        <w:keepLines w:val="0"/>
        <w:widowControl w:val="0"/>
        <w:numPr>
          <w:ilvl w:val="0"/>
          <w:numId w:val="143"/>
        </w:numPr>
        <w:shd w:val="clear" w:color="auto" w:fill="auto"/>
        <w:tabs>
          <w:tab w:pos="754" w:val="left"/>
        </w:tabs>
        <w:bidi w:val="0"/>
        <w:spacing w:before="0" w:after="380" w:line="312" w:lineRule="exact"/>
        <w:ind w:left="0" w:right="0" w:firstLine="440"/>
        <w:jc w:val="both"/>
      </w:pPr>
      <w:bookmarkStart w:id="957" w:name="bookmark957"/>
      <w:bookmarkEnd w:id="957"/>
      <w:r>
        <w:rPr>
          <w:color w:val="000000"/>
          <w:spacing w:val="0"/>
          <w:w w:val="100"/>
          <w:position w:val="0"/>
        </w:rPr>
        <w:t>软件开发及技术服务，系按照客户要求开发信息系统服务平台并部署调试。软件开发及技术服务 客户为软件终端使用客户的，以完成服务并取得客户的验收报告作为收入确认时点；客户为软件中间销售 商的，如销售合同中未约定需最终业主方验收的，以公司交付相关产品、客户产品已经上线、客户出具验 收报告作为收入确认时点；如销售合同中明确约定需客户最终业主方验收的，以取得客户验收报告且最终 业主方产品运行出具验收报告或其他验收证据作为收入确认时点。</w:t>
      </w:r>
    </w:p>
    <w:p>
      <w:pPr>
        <w:pStyle w:val="Style28"/>
        <w:keepNext/>
        <w:keepLines/>
        <w:widowControl w:val="0"/>
        <w:shd w:val="clear" w:color="auto" w:fill="auto"/>
        <w:tabs>
          <w:tab w:pos="423" w:val="left"/>
        </w:tabs>
        <w:bidi w:val="0"/>
        <w:spacing w:before="0" w:after="200" w:line="326" w:lineRule="auto"/>
        <w:ind w:left="0" w:right="0" w:firstLine="0"/>
        <w:jc w:val="both"/>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3</w:t>
      </w:r>
      <w:bookmarkEnd w:id="960"/>
      <w:r>
        <w:rPr>
          <w:rFonts w:ascii="Times New Roman" w:eastAsia="Times New Roman" w:hAnsi="Times New Roman" w:cs="Times New Roman"/>
          <w:color w:val="000000"/>
          <w:spacing w:val="0"/>
          <w:w w:val="100"/>
          <w:position w:val="0"/>
        </w:rPr>
        <w:t>1</w:t>
      </w:r>
      <w:r>
        <w:rPr>
          <w:color w:val="000000"/>
          <w:spacing w:val="0"/>
          <w:w w:val="100"/>
          <w:position w:val="0"/>
        </w:rPr>
        <w:t>、</w:t>
        <w:tab/>
        <w:t>合同成本</w:t>
      </w:r>
      <w:bookmarkEnd w:id="958"/>
      <w:bookmarkEnd w:id="959"/>
      <w:bookmarkEnd w:id="961"/>
    </w:p>
    <w:p>
      <w:pPr>
        <w:pStyle w:val="Style31"/>
        <w:keepNext w:val="0"/>
        <w:keepLines w:val="0"/>
        <w:widowControl w:val="0"/>
        <w:shd w:val="clear" w:color="auto" w:fill="auto"/>
        <w:bidi w:val="0"/>
        <w:spacing w:before="0" w:after="40" w:line="307" w:lineRule="exact"/>
        <w:ind w:left="0" w:right="0" w:firstLine="440"/>
        <w:jc w:val="both"/>
      </w:pPr>
      <w:r>
        <w:rPr>
          <w:color w:val="000000"/>
          <w:spacing w:val="0"/>
          <w:w w:val="100"/>
          <w:position w:val="0"/>
        </w:rPr>
        <w:t>本集团为取得合同发生的增量成本预期能够收回的，作为合同取得成本确认为一项资产。但是，如果 该资产的摊销期限不超过一年，则在发生时计入当期损益。</w:t>
      </w:r>
    </w:p>
    <w:p>
      <w:pPr>
        <w:pStyle w:val="Style31"/>
        <w:keepNext w:val="0"/>
        <w:keepLines w:val="0"/>
        <w:widowControl w:val="0"/>
        <w:shd w:val="clear" w:color="auto" w:fill="auto"/>
        <w:bidi w:val="0"/>
        <w:spacing w:before="0" w:after="40" w:line="316" w:lineRule="exact"/>
        <w:ind w:left="0" w:right="0" w:firstLine="440"/>
        <w:jc w:val="both"/>
      </w:pPr>
      <w:r>
        <w:rPr>
          <w:color w:val="000000"/>
          <w:spacing w:val="0"/>
          <w:w w:val="100"/>
          <w:position w:val="0"/>
        </w:rPr>
        <w:t>为履行合同发生的成本不属于《企业会计准则第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一一</w:t>
      </w:r>
      <w:r>
        <w:rPr>
          <w:color w:val="000000"/>
          <w:spacing w:val="0"/>
          <w:w w:val="100"/>
          <w:position w:val="0"/>
        </w:rPr>
        <w:t>收入</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年修订）》之外的其他企业会计 准则规范范围且同时满足下列条件的，作为合同履约成本确认为一项资产：①该成本与一份当前或预期取 得的合同直接相关，包括直接人工、直接材料、制造费用（或类似费用）、明确由客户承担的成本以及仅 因该合同而发生的其他成本；②该成本增加了本集团未来用于履行履约义务的资源；③该成本预期能够收 回。</w:t>
      </w:r>
    </w:p>
    <w:p>
      <w:pPr>
        <w:pStyle w:val="Style31"/>
        <w:keepNext w:val="0"/>
        <w:keepLines w:val="0"/>
        <w:widowControl w:val="0"/>
        <w:shd w:val="clear" w:color="auto" w:fill="auto"/>
        <w:bidi w:val="0"/>
        <w:spacing w:before="0" w:after="380" w:line="316" w:lineRule="exact"/>
        <w:ind w:left="0" w:right="0" w:firstLine="440"/>
        <w:jc w:val="both"/>
      </w:pPr>
      <w:r>
        <w:rPr>
          <w:color w:val="000000"/>
          <w:spacing w:val="0"/>
          <w:w w:val="100"/>
          <w:position w:val="0"/>
        </w:rPr>
        <w:t>与合同成本有关的资产采用与该资产相关的商品收入确认相同的基础进行摊销，计入当期损益。</w:t>
      </w:r>
    </w:p>
    <w:p>
      <w:pPr>
        <w:pStyle w:val="Style28"/>
        <w:keepNext/>
        <w:keepLines/>
        <w:widowControl w:val="0"/>
        <w:shd w:val="clear" w:color="auto" w:fill="auto"/>
        <w:tabs>
          <w:tab w:pos="423" w:val="left"/>
        </w:tabs>
        <w:bidi w:val="0"/>
        <w:spacing w:before="0" w:after="200" w:line="326" w:lineRule="auto"/>
        <w:ind w:left="0" w:right="0" w:firstLine="0"/>
        <w:jc w:val="both"/>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3</w:t>
      </w:r>
      <w:bookmarkEnd w:id="964"/>
      <w:r>
        <w:rPr>
          <w:rFonts w:ascii="Times New Roman" w:eastAsia="Times New Roman" w:hAnsi="Times New Roman" w:cs="Times New Roman"/>
          <w:color w:val="000000"/>
          <w:spacing w:val="0"/>
          <w:w w:val="100"/>
          <w:position w:val="0"/>
        </w:rPr>
        <w:t>2</w:t>
      </w:r>
      <w:r>
        <w:rPr>
          <w:color w:val="000000"/>
          <w:spacing w:val="0"/>
          <w:w w:val="100"/>
          <w:position w:val="0"/>
        </w:rPr>
        <w:t>、</w:t>
        <w:tab/>
        <w:t>政府补助</w:t>
      </w:r>
      <w:bookmarkEnd w:id="962"/>
      <w:bookmarkEnd w:id="963"/>
      <w:bookmarkEnd w:id="965"/>
    </w:p>
    <w:p>
      <w:pPr>
        <w:pStyle w:val="Style31"/>
        <w:keepNext w:val="0"/>
        <w:keepLines w:val="0"/>
        <w:widowControl w:val="0"/>
        <w:shd w:val="clear" w:color="auto" w:fill="auto"/>
        <w:bidi w:val="0"/>
        <w:spacing w:before="0" w:after="40" w:line="311" w:lineRule="exact"/>
        <w:ind w:left="0" w:right="0" w:firstLine="440"/>
        <w:jc w:val="both"/>
      </w:pPr>
      <w:r>
        <w:rPr>
          <w:color w:val="000000"/>
          <w:spacing w:val="0"/>
          <w:w w:val="100"/>
          <w:position w:val="0"/>
        </w:rPr>
        <w:t>政府补助是指本集团从政府无偿取得货币性资产和非货币性资产，不包括政府以投资者身份并享有相 应所有者权益而投入的资本。政府补助分为与资产相关的政府补助和与收益相关的政府补助。本集团将所 取得的用于购建或以其他方式形成长期资产的政府补助界定为与资产相关的政府补助；其余政府补助界定 为与收益相关的政府补助。若政府文件未明确规定补助对象，则采用以下方式将补助款划分为与收益相关 的政府补助和与资产相关的政府补助：</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政府文件明确了补助所针对的特定项目的，根据该特定项目 的预算中将形成资产的支出金额和计入费用的支出金额的相对比例进行划分，对该划分比例需在每个资产 负债表日进行复核，必要时进行变更；</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政府文件中对用途仅作一般性表述，没有指明特定项目的， 作为与收益相关的政府补助。政府补助为货币性资产的，按照收到或应收的金额计量。政府补助为非货币 性资产的，按照公允价值计量；公允价值不能够可靠取得的，按照名义金额计量。按照名义金额计量的政 府补助，直接计入当期损益。</w:t>
      </w:r>
    </w:p>
    <w:p>
      <w:pPr>
        <w:pStyle w:val="Style31"/>
        <w:keepNext w:val="0"/>
        <w:keepLines w:val="0"/>
        <w:widowControl w:val="0"/>
        <w:shd w:val="clear" w:color="auto" w:fill="auto"/>
        <w:bidi w:val="0"/>
        <w:spacing w:before="0" w:after="120" w:line="311" w:lineRule="exact"/>
        <w:ind w:left="0" w:right="0" w:firstLine="440"/>
        <w:jc w:val="both"/>
      </w:pPr>
      <w:r>
        <w:rPr>
          <w:color w:val="000000"/>
          <w:spacing w:val="0"/>
          <w:w w:val="100"/>
          <w:position w:val="0"/>
        </w:rPr>
        <w:t>本集团对于政府补助通常在实际收到时，按照实收金额予以确认和计量。但对于期末有确凿证据表明 能够符合财政扶持政策规定的相关条件预计能够收到财政扶持资金，按照应收的金额计量。按照应收金额 计量的政府补助应同时符合以下条件：</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应收补助款的金额已经过有权政府部门发文确认，或者可根 据正式发布的财政资金管理办法的有关规定自行合理测算，且预计其金额不存在重大不确定性；</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所 依据的是当地财政部门正式发布并按照《政府信息公开条例》的规定予以主动公开的财政扶持项目及其财 政资金管理办法，且该管理办法应当是普惠性的（任何符合规定条件的企业均可申请），而不是专门针对 特定企业制定的；</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相关的补助款批文中已明确承诺了拨付期限，且该款项的拨付是有相应财政预算 作为保障的，因而可以合理保证其可在规定期限内收到；</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根据本集团和该补助事项的具体情况，应 满足的其他相关条件（如有）。</w:t>
      </w:r>
    </w:p>
    <w:p>
      <w:pPr>
        <w:pStyle w:val="Style31"/>
        <w:keepNext w:val="0"/>
        <w:keepLines w:val="0"/>
        <w:widowControl w:val="0"/>
        <w:shd w:val="clear" w:color="auto" w:fill="auto"/>
        <w:bidi w:val="0"/>
        <w:spacing w:before="0" w:after="40" w:line="310" w:lineRule="exact"/>
        <w:ind w:left="0" w:right="0" w:firstLine="440"/>
        <w:jc w:val="both"/>
      </w:pPr>
      <w:r>
        <w:rPr>
          <w:color w:val="000000"/>
          <w:spacing w:val="0"/>
          <w:w w:val="100"/>
          <w:position w:val="0"/>
        </w:rPr>
        <w:t>与资产相关的政府补助，确认为递延收益，并在相关资产的使用寿命内按照合理、系统的方法分期计 入当期损益。与收益相关的政府补助，用于补偿以后期间的相关成本费用或损失的，确认为递延收益，并 在确认相关成本费用或损失的期间计入当期损益；用于补偿已经发生的相关成本费用或损失的，直接计入 当期损益。</w:t>
      </w:r>
    </w:p>
    <w:p>
      <w:pPr>
        <w:pStyle w:val="Style31"/>
        <w:keepNext w:val="0"/>
        <w:keepLines w:val="0"/>
        <w:widowControl w:val="0"/>
        <w:shd w:val="clear" w:color="auto" w:fill="auto"/>
        <w:bidi w:val="0"/>
        <w:spacing w:before="0" w:after="40" w:line="307" w:lineRule="exact"/>
        <w:ind w:left="0" w:right="0" w:firstLine="440"/>
        <w:jc w:val="both"/>
      </w:pPr>
      <w:r>
        <w:rPr>
          <w:color w:val="000000"/>
          <w:spacing w:val="0"/>
          <w:w w:val="100"/>
          <w:position w:val="0"/>
        </w:rPr>
        <w:t>同时包含与资产相关部分和与收益相关部分的政府补助，区分不同部分分别进行会计处理；难以区分 的，将其整体归类为与收益相关的政府补助。</w:t>
      </w:r>
    </w:p>
    <w:p>
      <w:pPr>
        <w:pStyle w:val="Style31"/>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与本集团日常活动相关的政府补助，按照经济业务的实质，计入其他收益或冲减相关成本费用；与日 常活动无关的政府补助，计入营业外收支。</w:t>
      </w:r>
    </w:p>
    <w:p>
      <w:pPr>
        <w:pStyle w:val="Style31"/>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已确认的政府补助需要退回时，存在相关递延收益余额的，冲减相关递延收益账面余额，超出部分计 入当期损益；属于其他情况的，直接计入当期损益。</w:t>
      </w:r>
    </w:p>
    <w:p>
      <w:pPr>
        <w:pStyle w:val="Style28"/>
        <w:keepNext/>
        <w:keepLines/>
        <w:widowControl w:val="0"/>
        <w:shd w:val="clear" w:color="auto" w:fill="auto"/>
        <w:bidi w:val="0"/>
        <w:spacing w:before="0" w:after="220" w:line="324"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3</w:t>
      </w:r>
      <w:bookmarkEnd w:id="968"/>
      <w:r>
        <w:rPr>
          <w:rFonts w:ascii="Times New Roman" w:eastAsia="Times New Roman" w:hAnsi="Times New Roman" w:cs="Times New Roman"/>
          <w:color w:val="000000"/>
          <w:spacing w:val="0"/>
          <w:w w:val="100"/>
          <w:position w:val="0"/>
        </w:rPr>
        <w:t>3</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66"/>
      <w:bookmarkEnd w:id="967"/>
      <w:bookmarkEnd w:id="969"/>
    </w:p>
    <w:p>
      <w:pPr>
        <w:pStyle w:val="Style31"/>
        <w:keepNext w:val="0"/>
        <w:keepLines w:val="0"/>
        <w:widowControl w:val="0"/>
        <w:shd w:val="clear" w:color="auto" w:fill="auto"/>
        <w:tabs>
          <w:tab w:pos="894" w:val="left"/>
        </w:tabs>
        <w:bidi w:val="0"/>
        <w:spacing w:before="0" w:after="40" w:line="311" w:lineRule="exact"/>
        <w:ind w:left="0" w:right="0" w:firstLine="440"/>
        <w:jc w:val="both"/>
      </w:pPr>
      <w:bookmarkStart w:id="970" w:name="bookmark970"/>
      <w:r>
        <w:rPr>
          <w:color w:val="000000"/>
          <w:spacing w:val="0"/>
          <w:w w:val="100"/>
          <w:position w:val="0"/>
        </w:rPr>
        <w:t>（</w:t>
      </w:r>
      <w:bookmarkEnd w:id="970"/>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当期所得税</w:t>
      </w:r>
    </w:p>
    <w:p>
      <w:pPr>
        <w:pStyle w:val="Style31"/>
        <w:keepNext w:val="0"/>
        <w:keepLines w:val="0"/>
        <w:widowControl w:val="0"/>
        <w:shd w:val="clear" w:color="auto" w:fill="auto"/>
        <w:bidi w:val="0"/>
        <w:spacing w:before="0" w:after="40" w:line="310" w:lineRule="exact"/>
        <w:ind w:left="0" w:right="0" w:firstLine="440"/>
        <w:jc w:val="both"/>
      </w:pPr>
      <w:r>
        <w:rPr>
          <w:color w:val="000000"/>
          <w:spacing w:val="0"/>
          <w:w w:val="100"/>
          <w:position w:val="0"/>
        </w:rPr>
        <w:t>资产负债表日，对于当期和以前期间形成的当期所得税负债（或资产），以按照税法规定计算的预期 应交纳（或返还）的所得税金额计量。计算当期所得税费用所依据的应纳税所得额系根据有关税法规定对 本报告期税前会计利润作相应调整后计算得出。</w:t>
      </w:r>
    </w:p>
    <w:p>
      <w:pPr>
        <w:pStyle w:val="Style31"/>
        <w:keepNext w:val="0"/>
        <w:keepLines w:val="0"/>
        <w:widowControl w:val="0"/>
        <w:shd w:val="clear" w:color="auto" w:fill="auto"/>
        <w:tabs>
          <w:tab w:pos="894" w:val="left"/>
        </w:tabs>
        <w:bidi w:val="0"/>
        <w:spacing w:before="0" w:after="40" w:line="311" w:lineRule="exact"/>
        <w:ind w:left="0" w:right="0" w:firstLine="440"/>
        <w:jc w:val="both"/>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递延所得税资产及递延所得税负债</w:t>
      </w:r>
    </w:p>
    <w:p>
      <w:pPr>
        <w:pStyle w:val="Style31"/>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某些资产、负债项目的账面价值与其计税基础之间的差额，以及未作为资产和负债确认但按照税法规 定可以确定其计税基础的项目的账面价值与计税基础之间的差额产生的暂时性差异，采用资产负债表债务 法确认递延所得税资产及递延所得税负债。</w:t>
      </w:r>
    </w:p>
    <w:p>
      <w:pPr>
        <w:pStyle w:val="Style31"/>
        <w:keepNext w:val="0"/>
        <w:keepLines w:val="0"/>
        <w:widowControl w:val="0"/>
        <w:shd w:val="clear" w:color="auto" w:fill="auto"/>
        <w:bidi w:val="0"/>
        <w:spacing w:before="0" w:after="40" w:line="311" w:lineRule="exact"/>
        <w:ind w:left="0" w:right="0" w:firstLine="440"/>
        <w:jc w:val="both"/>
      </w:pPr>
      <w:r>
        <w:rPr>
          <w:color w:val="000000"/>
          <w:spacing w:val="0"/>
          <w:w w:val="100"/>
          <w:position w:val="0"/>
        </w:rPr>
        <w:t>与商誉的初始确认有关，以及与既不是企业合并、发生时也不影响会计利润和应纳税所得额（或可抵 扣亏损）的交易中产生的资产或负债的初始确认有关的应纳税暂时性差异，不予确认有关的递延所得税负 债。此外，对与子公司、联营企业及合营企业投资相关的应纳税暂时性差异，如果本集团能够控制暂时性 差异转回的时间，而且该暂时性差异在可预见的未来很可能不会转回，也不予确认有关的递延所得税负债。 除上述例外情况，本集团确认其他所有应纳税暂时性差异产生的递延所得税负债。</w:t>
      </w:r>
    </w:p>
    <w:p>
      <w:pPr>
        <w:pStyle w:val="Style31"/>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与既不是企业合并、发生时也不影响会计利润和应纳税所得额（或可抵扣亏损）的交易中产生的资产 或负债的初始确认有关的可抵扣暂时性差异，不予确认有关的递延所得税资产。此外，对与子公司、联营 企业及合营企业投资相关的可抵扣暂时性差异，如果暂时性差异在可预见的未来不是很可能转回，或者未 来不是很可能获得用来抵扣可抵扣暂时性差异的应纳税所得额，不予确认有关的递延所得税资产。除上述 例外情况，本集团以很可能取得用来抵扣可抵扣暂时性差异的应纳税所得额为限，确认其他可抵扣暂时性 差异产生的递延所得税资产。</w:t>
      </w:r>
    </w:p>
    <w:p>
      <w:pPr>
        <w:pStyle w:val="Style31"/>
        <w:keepNext w:val="0"/>
        <w:keepLines w:val="0"/>
        <w:widowControl w:val="0"/>
        <w:shd w:val="clear" w:color="auto" w:fill="auto"/>
        <w:bidi w:val="0"/>
        <w:spacing w:before="0" w:after="40" w:line="302" w:lineRule="exact"/>
        <w:ind w:left="0" w:right="0" w:firstLine="440"/>
        <w:jc w:val="both"/>
      </w:pPr>
      <w:r>
        <w:rPr>
          <w:color w:val="000000"/>
          <w:spacing w:val="0"/>
          <w:w w:val="100"/>
          <w:position w:val="0"/>
        </w:rPr>
        <w:t>对于能够结转以后年度的可抵扣亏损和税款抵减，以很可能获得用来抵扣可抵扣亏损和税款抵减的未 来应纳税所得额为限，确认相应的递延所得税资产。</w:t>
      </w:r>
    </w:p>
    <w:p>
      <w:pPr>
        <w:pStyle w:val="Style31"/>
        <w:keepNext w:val="0"/>
        <w:keepLines w:val="0"/>
        <w:widowControl w:val="0"/>
        <w:shd w:val="clear" w:color="auto" w:fill="auto"/>
        <w:bidi w:val="0"/>
        <w:spacing w:before="0" w:after="40" w:line="307" w:lineRule="exact"/>
        <w:ind w:left="0" w:right="0" w:firstLine="440"/>
        <w:jc w:val="both"/>
      </w:pPr>
      <w:r>
        <w:rPr>
          <w:color w:val="000000"/>
          <w:spacing w:val="0"/>
          <w:w w:val="100"/>
          <w:position w:val="0"/>
        </w:rPr>
        <w:t>资产负债表日，对于递延所得税资产和递延所得税负债，根据税法规定，按照预期收回相关资产或清 偿相关负债期间的适用税率计量。</w:t>
      </w:r>
    </w:p>
    <w:p>
      <w:pPr>
        <w:pStyle w:val="Style31"/>
        <w:keepNext w:val="0"/>
        <w:keepLines w:val="0"/>
        <w:widowControl w:val="0"/>
        <w:shd w:val="clear" w:color="auto" w:fill="auto"/>
        <w:bidi w:val="0"/>
        <w:spacing w:before="0" w:after="40" w:line="314" w:lineRule="exact"/>
        <w:ind w:left="0" w:right="0" w:firstLine="440"/>
        <w:jc w:val="both"/>
      </w:pPr>
      <w:r>
        <w:rPr>
          <w:color w:val="000000"/>
          <w:spacing w:val="0"/>
          <w:w w:val="100"/>
          <w:position w:val="0"/>
        </w:rPr>
        <w:t>于资产负债表日，对递延所得税资产的账面价值进行复核，如果未来很可能无法获得足够的应纳税所 得额用以抵扣递延所得税资产的利益，则减记递延所得税资产的账面价值。在很可能获得足够的应纳税所 得额时，减记的金额予以转回。</w:t>
      </w:r>
    </w:p>
    <w:p>
      <w:pPr>
        <w:pStyle w:val="Style31"/>
        <w:keepNext w:val="0"/>
        <w:keepLines w:val="0"/>
        <w:widowControl w:val="0"/>
        <w:shd w:val="clear" w:color="auto" w:fill="auto"/>
        <w:tabs>
          <w:tab w:pos="894" w:val="left"/>
        </w:tabs>
        <w:bidi w:val="0"/>
        <w:spacing w:before="0" w:after="40" w:line="311" w:lineRule="exact"/>
        <w:ind w:left="0" w:right="0" w:firstLine="440"/>
        <w:jc w:val="both"/>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所得税费用</w:t>
      </w:r>
    </w:p>
    <w:p>
      <w:pPr>
        <w:pStyle w:val="Style31"/>
        <w:keepNext w:val="0"/>
        <w:keepLines w:val="0"/>
        <w:widowControl w:val="0"/>
        <w:shd w:val="clear" w:color="auto" w:fill="auto"/>
        <w:bidi w:val="0"/>
        <w:spacing w:before="0" w:after="40" w:line="311" w:lineRule="exact"/>
        <w:ind w:left="0" w:right="0" w:firstLine="440"/>
        <w:jc w:val="both"/>
      </w:pPr>
      <w:r>
        <w:rPr>
          <w:color w:val="000000"/>
          <w:spacing w:val="0"/>
          <w:w w:val="100"/>
          <w:position w:val="0"/>
        </w:rPr>
        <w:t>所得税费用包括当期所得税和递延所得税。</w:t>
      </w:r>
    </w:p>
    <w:p>
      <w:pPr>
        <w:pStyle w:val="Style31"/>
        <w:keepNext w:val="0"/>
        <w:keepLines w:val="0"/>
        <w:widowControl w:val="0"/>
        <w:shd w:val="clear" w:color="auto" w:fill="auto"/>
        <w:bidi w:val="0"/>
        <w:spacing w:before="0" w:after="40" w:line="311" w:lineRule="exact"/>
        <w:ind w:left="0" w:right="0" w:firstLine="440"/>
        <w:jc w:val="both"/>
      </w:pPr>
      <w:r>
        <w:rPr>
          <w:color w:val="000000"/>
          <w:spacing w:val="0"/>
          <w:w w:val="100"/>
          <w:position w:val="0"/>
        </w:rPr>
        <w:t xml:space="preserve">除确认为其他综合收益或直接计入股东权益的交易和事项相关的当期所得税和递延所得税计入其他 </w:t>
      </w:r>
      <w:r>
        <w:rPr>
          <w:color w:val="000000"/>
          <w:spacing w:val="0"/>
          <w:w w:val="100"/>
          <w:position w:val="0"/>
        </w:rPr>
        <w:t>综合收益或股东权益，以及企业合并产生的递延所得税调整商誉的账面价值外，其余当期所得税和递延所 得税费用或收益计入当期损益。</w:t>
      </w:r>
    </w:p>
    <w:p>
      <w:pPr>
        <w:pStyle w:val="Style31"/>
        <w:keepNext w:val="0"/>
        <w:keepLines w:val="0"/>
        <w:widowControl w:val="0"/>
        <w:shd w:val="clear" w:color="auto" w:fill="auto"/>
        <w:bidi w:val="0"/>
        <w:spacing w:before="0" w:after="40" w:line="312" w:lineRule="exact"/>
        <w:ind w:left="0" w:right="0" w:firstLine="440"/>
        <w:jc w:val="both"/>
      </w:pPr>
      <w:bookmarkStart w:id="973" w:name="bookmark973"/>
      <w:r>
        <w:rPr>
          <w:color w:val="000000"/>
          <w:spacing w:val="0"/>
          <w:w w:val="100"/>
          <w:position w:val="0"/>
        </w:rPr>
        <w:t>（</w:t>
      </w:r>
      <w:bookmarkEnd w:id="973"/>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所得税的抵销</w:t>
      </w:r>
    </w:p>
    <w:p>
      <w:pPr>
        <w:pStyle w:val="Style31"/>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当拥有以净额结算的法定权利，且意图以净额结算或取得资产、清偿负债同时进行时，本集团当期所 得税资产及当期所得税负债以抵销后的净额列报。</w:t>
      </w:r>
    </w:p>
    <w:p>
      <w:pPr>
        <w:pStyle w:val="Style31"/>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债或是同时取得资产、清偿负债时，本集团递延所得税资产及递延所得税负债以抵销后的净额列报。</w:t>
      </w:r>
    </w:p>
    <w:p>
      <w:pPr>
        <w:pStyle w:val="Style28"/>
        <w:keepNext/>
        <w:keepLines/>
        <w:widowControl w:val="0"/>
        <w:shd w:val="clear" w:color="auto" w:fill="auto"/>
        <w:bidi w:val="0"/>
        <w:spacing w:before="0" w:after="220" w:line="326" w:lineRule="auto"/>
        <w:ind w:left="0" w:right="0" w:firstLine="0"/>
        <w:jc w:val="left"/>
      </w:pPr>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34</w:t>
      </w:r>
      <w:r>
        <w:rPr>
          <w:color w:val="000000"/>
          <w:spacing w:val="0"/>
          <w:w w:val="100"/>
          <w:position w:val="0"/>
        </w:rPr>
        <w:t>、租赁</w:t>
      </w:r>
      <w:bookmarkEnd w:id="974"/>
      <w:bookmarkEnd w:id="975"/>
      <w:bookmarkEnd w:id="976"/>
    </w:p>
    <w:p>
      <w:pPr>
        <w:pStyle w:val="Style31"/>
        <w:keepNext w:val="0"/>
        <w:keepLines w:val="0"/>
        <w:widowControl w:val="0"/>
        <w:shd w:val="clear" w:color="auto" w:fill="auto"/>
        <w:bidi w:val="0"/>
        <w:spacing w:before="0" w:after="40" w:line="307" w:lineRule="exact"/>
        <w:ind w:left="0" w:right="0" w:firstLine="440"/>
        <w:jc w:val="left"/>
      </w:pPr>
      <w:r>
        <w:rPr>
          <w:color w:val="000000"/>
          <w:spacing w:val="0"/>
          <w:w w:val="100"/>
          <w:position w:val="0"/>
        </w:rPr>
        <w:t>租赁是指本集团让渡或取得了在一定期间内控制一项或多项已识别资产使用的权利以换取或支付对 价的合同。在一项合同开始日，本集团评估合同是否为租赁或包含租赁。</w:t>
      </w:r>
    </w:p>
    <w:p>
      <w:pPr>
        <w:pStyle w:val="Style31"/>
        <w:keepNext w:val="0"/>
        <w:keepLines w:val="0"/>
        <w:widowControl w:val="0"/>
        <w:shd w:val="clear" w:color="auto" w:fill="auto"/>
        <w:tabs>
          <w:tab w:pos="928" w:val="left"/>
        </w:tabs>
        <w:bidi w:val="0"/>
        <w:spacing w:before="0" w:after="40" w:line="312" w:lineRule="exact"/>
        <w:ind w:left="0" w:right="0" w:firstLine="440"/>
        <w:jc w:val="left"/>
      </w:pPr>
      <w:bookmarkStart w:id="977" w:name="bookmark977"/>
      <w:r>
        <w:rPr>
          <w:color w:val="000000"/>
          <w:spacing w:val="0"/>
          <w:w w:val="100"/>
          <w:position w:val="0"/>
        </w:rPr>
        <w:t>（</w:t>
      </w:r>
      <w:bookmarkEnd w:id="977"/>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本集团作为承租人</w:t>
      </w:r>
    </w:p>
    <w:p>
      <w:pPr>
        <w:pStyle w:val="Style31"/>
        <w:keepNext w:val="0"/>
        <w:keepLines w:val="0"/>
        <w:widowControl w:val="0"/>
        <w:shd w:val="clear" w:color="auto" w:fill="auto"/>
        <w:bidi w:val="0"/>
        <w:spacing w:before="0" w:after="40" w:line="312" w:lineRule="exact"/>
        <w:ind w:left="0" w:right="0" w:firstLine="440"/>
        <w:jc w:val="left"/>
      </w:pPr>
      <w:r>
        <w:rPr>
          <w:color w:val="000000"/>
          <w:spacing w:val="0"/>
          <w:w w:val="100"/>
          <w:position w:val="0"/>
        </w:rPr>
        <w:t>本集团租赁资产的类别主要为房屋建筑物。</w:t>
      </w:r>
    </w:p>
    <w:p>
      <w:pPr>
        <w:pStyle w:val="Style31"/>
        <w:keepNext w:val="0"/>
        <w:keepLines w:val="0"/>
        <w:widowControl w:val="0"/>
        <w:numPr>
          <w:ilvl w:val="0"/>
          <w:numId w:val="145"/>
        </w:numPr>
        <w:shd w:val="clear" w:color="auto" w:fill="auto"/>
        <w:tabs>
          <w:tab w:pos="832" w:val="left"/>
        </w:tabs>
        <w:bidi w:val="0"/>
        <w:spacing w:before="0" w:after="40" w:line="312" w:lineRule="exact"/>
        <w:ind w:left="0" w:right="0" w:firstLine="440"/>
        <w:jc w:val="both"/>
      </w:pPr>
      <w:bookmarkStart w:id="978" w:name="bookmark978"/>
      <w:bookmarkEnd w:id="978"/>
      <w:r>
        <w:rPr>
          <w:color w:val="000000"/>
          <w:spacing w:val="0"/>
          <w:w w:val="100"/>
          <w:position w:val="0"/>
        </w:rPr>
        <w:t>初始计量</w:t>
      </w:r>
    </w:p>
    <w:p>
      <w:pPr>
        <w:pStyle w:val="Style31"/>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在租赁期开始日，本集团将可在租赁期内使用租赁资产的权利确认为使用权资产，将尚未支付的租赁 付款额的现值确认为租赁负债，短期租赁和低价值资产租赁除外。在计算租赁付款额的现值时，本集团采 用租赁内含利率作为折现率；无法确定租赁内含利率的，采用承租人增量借款利率作为折现率。</w:t>
      </w:r>
    </w:p>
    <w:p>
      <w:pPr>
        <w:pStyle w:val="Style31"/>
        <w:keepNext w:val="0"/>
        <w:keepLines w:val="0"/>
        <w:widowControl w:val="0"/>
        <w:numPr>
          <w:ilvl w:val="0"/>
          <w:numId w:val="145"/>
        </w:numPr>
        <w:shd w:val="clear" w:color="auto" w:fill="auto"/>
        <w:tabs>
          <w:tab w:pos="837" w:val="left"/>
        </w:tabs>
        <w:bidi w:val="0"/>
        <w:spacing w:before="0" w:after="40" w:line="312" w:lineRule="exact"/>
        <w:ind w:left="0" w:right="0" w:firstLine="440"/>
        <w:jc w:val="both"/>
      </w:pPr>
      <w:bookmarkStart w:id="979" w:name="bookmark979"/>
      <w:bookmarkEnd w:id="979"/>
      <w:r>
        <w:rPr>
          <w:color w:val="000000"/>
          <w:spacing w:val="0"/>
          <w:w w:val="100"/>
          <w:position w:val="0"/>
        </w:rPr>
        <w:t>后续计量</w:t>
      </w:r>
    </w:p>
    <w:p>
      <w:pPr>
        <w:pStyle w:val="Style31"/>
        <w:keepNext w:val="0"/>
        <w:keepLines w:val="0"/>
        <w:widowControl w:val="0"/>
        <w:shd w:val="clear" w:color="auto" w:fill="auto"/>
        <w:bidi w:val="0"/>
        <w:spacing w:before="0" w:after="0" w:line="317" w:lineRule="exact"/>
        <w:ind w:left="0" w:right="0" w:firstLine="440"/>
        <w:jc w:val="left"/>
      </w:pPr>
      <w:r>
        <w:rPr>
          <w:color w:val="000000"/>
          <w:spacing w:val="0"/>
          <w:w w:val="100"/>
          <w:position w:val="0"/>
          <w:shd w:val="clear" w:color="auto" w:fill="FFFFFF"/>
        </w:rPr>
        <w:t>本集团参照《企业会计准则第</w:t>
      </w:r>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号</w:t>
      </w:r>
      <w:r>
        <w:rPr>
          <w:color w:val="000000"/>
          <w:spacing w:val="0"/>
          <w:w w:val="100"/>
          <w:position w:val="0"/>
          <w:shd w:val="clear" w:color="auto" w:fill="FFFFFF"/>
        </w:rPr>
        <w:t>一一</w:t>
      </w:r>
      <w:r>
        <w:rPr>
          <w:color w:val="000000"/>
          <w:spacing w:val="0"/>
          <w:w w:val="100"/>
          <w:position w:val="0"/>
          <w:shd w:val="clear" w:color="auto" w:fill="FFFFFF"/>
        </w:rPr>
        <w:t>固定资产》有关折旧规定对使用权资产计提折旧（详见本节五、</w:t>
      </w:r>
    </w:p>
    <w:p>
      <w:pPr>
        <w:pStyle w:val="Style31"/>
        <w:keepNext w:val="0"/>
        <w:keepLines w:val="0"/>
        <w:widowControl w:val="0"/>
        <w:shd w:val="clear" w:color="auto" w:fill="auto"/>
        <w:bidi w:val="0"/>
        <w:spacing w:before="0" w:after="40" w:line="317" w:lineRule="exact"/>
        <w:ind w:left="0" w:right="0" w:firstLine="0"/>
        <w:jc w:val="left"/>
      </w:pPr>
      <w:bookmarkStart w:id="980" w:name="bookmark980"/>
      <w:r>
        <w:rPr>
          <w:rFonts w:ascii="Times New Roman" w:eastAsia="Times New Roman" w:hAnsi="Times New Roman" w:cs="Times New Roman"/>
          <w:color w:val="000000"/>
          <w:spacing w:val="0"/>
          <w:w w:val="100"/>
          <w:position w:val="0"/>
        </w:rPr>
        <w:t>1</w:t>
      </w:r>
      <w:bookmarkEnd w:id="980"/>
      <w:r>
        <w:rPr>
          <w:rFonts w:ascii="Times New Roman" w:eastAsia="Times New Roman" w:hAnsi="Times New Roman" w:cs="Times New Roman"/>
          <w:color w:val="000000"/>
          <w:spacing w:val="0"/>
          <w:w w:val="100"/>
          <w:position w:val="0"/>
        </w:rPr>
        <w:t>8</w:t>
      </w:r>
      <w:r>
        <w:rPr>
          <w:color w:val="000000"/>
          <w:spacing w:val="0"/>
          <w:w w:val="100"/>
          <w:position w:val="0"/>
        </w:rPr>
        <w:t>、“固定资产”），能够合理确定租赁期届满时取得租赁资产所有权的，本集团在租赁资产剩余使用 寿命内计提折旧。无法合理确定租赁期届满时能够取得租赁资产所有权的，本集团在租赁期与租赁资产剩 余使用寿命两者孰短的期间内计提折旧。</w:t>
      </w:r>
    </w:p>
    <w:p>
      <w:pPr>
        <w:pStyle w:val="Style31"/>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对于租赁负债，本集团按照固定的周期性利率计算其在租赁期内各期间的利息费用，计入当期损益或 计入相关资产成本。未纳入租赁负债计量的可变租赁付款额在实际发生时计入当期损益或相关资产成本。</w:t>
      </w:r>
    </w:p>
    <w:p>
      <w:pPr>
        <w:pStyle w:val="Style31"/>
        <w:keepNext w:val="0"/>
        <w:keepLines w:val="0"/>
        <w:widowControl w:val="0"/>
        <w:shd w:val="clear" w:color="auto" w:fill="auto"/>
        <w:bidi w:val="0"/>
        <w:spacing w:before="0" w:after="40" w:line="310" w:lineRule="exact"/>
        <w:ind w:left="0" w:right="0" w:firstLine="440"/>
        <w:jc w:val="both"/>
      </w:pPr>
      <w:r>
        <w:rPr>
          <w:color w:val="000000"/>
          <w:spacing w:val="0"/>
          <w:w w:val="100"/>
          <w:position w:val="0"/>
        </w:rPr>
        <w:t>租赁期开始日后，当实质固定付款额发生变动、担保余值预计的应付金额发生变化、用于确定租赁付 款额的指数或比率发生变动、购买选择权、续租选择权或终止选择权的评估结果或实际行权情况发生变化 时，本集团按照变动后的租赁付款额的现值重新计量租赁负债，并相应调整使用权资产的账面价值。使用 权资产账面价值已调减至零，但租赁负债仍需进一步调减的，本集团将剩余金额计入当期损益。</w:t>
      </w:r>
    </w:p>
    <w:p>
      <w:pPr>
        <w:pStyle w:val="Style31"/>
        <w:keepNext w:val="0"/>
        <w:keepLines w:val="0"/>
        <w:widowControl w:val="0"/>
        <w:numPr>
          <w:ilvl w:val="0"/>
          <w:numId w:val="145"/>
        </w:numPr>
        <w:shd w:val="clear" w:color="auto" w:fill="auto"/>
        <w:tabs>
          <w:tab w:pos="837" w:val="left"/>
        </w:tabs>
        <w:bidi w:val="0"/>
        <w:spacing w:before="0" w:after="40" w:line="312" w:lineRule="exact"/>
        <w:ind w:left="0" w:right="0" w:firstLine="440"/>
        <w:jc w:val="both"/>
      </w:pPr>
      <w:bookmarkStart w:id="981" w:name="bookmark981"/>
      <w:bookmarkEnd w:id="981"/>
      <w:r>
        <w:rPr>
          <w:color w:val="000000"/>
          <w:spacing w:val="0"/>
          <w:w w:val="100"/>
          <w:position w:val="0"/>
        </w:rPr>
        <w:t>短期租赁和低价值资产租赁</w:t>
      </w:r>
    </w:p>
    <w:p>
      <w:pPr>
        <w:pStyle w:val="Style31"/>
        <w:keepNext w:val="0"/>
        <w:keepLines w:val="0"/>
        <w:widowControl w:val="0"/>
        <w:shd w:val="clear" w:color="auto" w:fill="auto"/>
        <w:bidi w:val="0"/>
        <w:spacing w:before="0" w:after="40" w:line="319" w:lineRule="exact"/>
        <w:ind w:left="0" w:right="0" w:firstLine="440"/>
        <w:jc w:val="both"/>
      </w:pPr>
      <w:r>
        <w:rPr>
          <w:color w:val="000000"/>
          <w:spacing w:val="0"/>
          <w:w w:val="100"/>
          <w:position w:val="0"/>
        </w:rPr>
        <w:t>对于短期租赁（在租赁开始日租赁期不超过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个月的租赁）和低价值资产租赁，本集团采取简化处理 方法，不确认使用权资产和租赁负债，而在租赁期内各个期间按照直线法或其他系统合理的方法将租赁付 款额计入相关资产成本或当期损益。</w:t>
      </w:r>
    </w:p>
    <w:p>
      <w:pPr>
        <w:pStyle w:val="Style31"/>
        <w:keepNext w:val="0"/>
        <w:keepLines w:val="0"/>
        <w:widowControl w:val="0"/>
        <w:shd w:val="clear" w:color="auto" w:fill="auto"/>
        <w:tabs>
          <w:tab w:pos="928" w:val="left"/>
        </w:tabs>
        <w:bidi w:val="0"/>
        <w:spacing w:before="0" w:after="40" w:line="312" w:lineRule="exact"/>
        <w:ind w:left="0" w:right="0" w:firstLine="440"/>
        <w:jc w:val="both"/>
      </w:pPr>
      <w:bookmarkStart w:id="982" w:name="bookmark982"/>
      <w:r>
        <w:rPr>
          <w:color w:val="000000"/>
          <w:spacing w:val="0"/>
          <w:w w:val="100"/>
          <w:position w:val="0"/>
        </w:rPr>
        <w:t>（</w:t>
      </w:r>
      <w:bookmarkEnd w:id="982"/>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本集团作为出租人</w:t>
      </w:r>
    </w:p>
    <w:p>
      <w:pPr>
        <w:pStyle w:val="Style31"/>
        <w:keepNext w:val="0"/>
        <w:keepLines w:val="0"/>
        <w:widowControl w:val="0"/>
        <w:shd w:val="clear" w:color="auto" w:fill="auto"/>
        <w:bidi w:val="0"/>
        <w:spacing w:before="0" w:after="40" w:line="317" w:lineRule="exact"/>
        <w:ind w:left="0" w:right="0" w:firstLine="440"/>
        <w:jc w:val="both"/>
      </w:pPr>
      <w:r>
        <w:rPr>
          <w:color w:val="000000"/>
          <w:spacing w:val="0"/>
          <w:w w:val="100"/>
          <w:position w:val="0"/>
        </w:rPr>
        <w:t>本集团在租赁开始日，基于交易的实质，将租赁分为融资租赁和经营租赁。融资租赁是指实质上转移 了与租赁资产所有权有关的几乎全部风险和报酬的租赁。经营租赁是指除融资租赁以外的其他租赁。</w:t>
      </w:r>
    </w:p>
    <w:p>
      <w:pPr>
        <w:pStyle w:val="Style31"/>
        <w:keepNext w:val="0"/>
        <w:keepLines w:val="0"/>
        <w:widowControl w:val="0"/>
        <w:numPr>
          <w:ilvl w:val="0"/>
          <w:numId w:val="147"/>
        </w:numPr>
        <w:shd w:val="clear" w:color="auto" w:fill="auto"/>
        <w:bidi w:val="0"/>
        <w:spacing w:before="0" w:after="40" w:line="312" w:lineRule="exact"/>
        <w:ind w:left="0" w:right="0" w:firstLine="440"/>
        <w:jc w:val="both"/>
      </w:pPr>
      <w:bookmarkStart w:id="983" w:name="bookmark983"/>
      <w:bookmarkEnd w:id="983"/>
      <w:r>
        <w:rPr>
          <w:color w:val="000000"/>
          <w:spacing w:val="0"/>
          <w:w w:val="100"/>
          <w:position w:val="0"/>
        </w:rPr>
        <w:t>经营租赁</w:t>
      </w:r>
    </w:p>
    <w:p>
      <w:pPr>
        <w:pStyle w:val="Style31"/>
        <w:keepNext w:val="0"/>
        <w:keepLines w:val="0"/>
        <w:widowControl w:val="0"/>
        <w:shd w:val="clear" w:color="auto" w:fill="auto"/>
        <w:bidi w:val="0"/>
        <w:spacing w:before="0" w:after="40" w:line="302" w:lineRule="exact"/>
        <w:ind w:left="0" w:right="0" w:firstLine="440"/>
        <w:jc w:val="both"/>
      </w:pPr>
      <w:r>
        <w:rPr>
          <w:color w:val="000000"/>
          <w:spacing w:val="0"/>
          <w:w w:val="100"/>
          <w:position w:val="0"/>
        </w:rPr>
        <w:t>本集团采用直线法/将经营租赁的租赁收款额确认为租赁期内各期间的租金收入。与经营租赁有关的 未计入租赁收款额的可变租赁付款额，于实际发生时计入当期损益。</w:t>
      </w:r>
    </w:p>
    <w:p>
      <w:pPr>
        <w:pStyle w:val="Style31"/>
        <w:keepNext w:val="0"/>
        <w:keepLines w:val="0"/>
        <w:widowControl w:val="0"/>
        <w:numPr>
          <w:ilvl w:val="0"/>
          <w:numId w:val="147"/>
        </w:numPr>
        <w:shd w:val="clear" w:color="auto" w:fill="auto"/>
        <w:bidi w:val="0"/>
        <w:spacing w:before="0" w:after="40" w:line="312" w:lineRule="exact"/>
        <w:ind w:left="0" w:right="0" w:firstLine="440"/>
        <w:jc w:val="left"/>
      </w:pPr>
      <w:bookmarkStart w:id="984" w:name="bookmark984"/>
      <w:bookmarkEnd w:id="984"/>
      <w:r>
        <w:rPr>
          <w:color w:val="000000"/>
          <w:spacing w:val="0"/>
          <w:w w:val="100"/>
          <w:position w:val="0"/>
        </w:rPr>
        <w:t>融资租赁</w:t>
      </w:r>
    </w:p>
    <w:p>
      <w:pPr>
        <w:pStyle w:val="Style31"/>
        <w:keepNext w:val="0"/>
        <w:keepLines w:val="0"/>
        <w:widowControl w:val="0"/>
        <w:shd w:val="clear" w:color="auto" w:fill="auto"/>
        <w:bidi w:val="0"/>
        <w:spacing w:before="0" w:after="40" w:line="314" w:lineRule="exact"/>
        <w:ind w:left="0" w:right="0" w:firstLine="440"/>
        <w:jc w:val="left"/>
      </w:pPr>
      <w:r>
        <w:rPr>
          <w:color w:val="000000"/>
          <w:spacing w:val="0"/>
          <w:w w:val="100"/>
          <w:position w:val="0"/>
        </w:rPr>
        <w:t>于租赁期开始日，本集团确认应收融资租赁款，并终止确认融资租赁资产。应收融资租赁款以租赁投 资净额（未担保余值和租赁期开始日尚未收到的租赁收款额按照租赁内含利率折现的现值之和）进行初始 计量，并按照固定的周期性利率计算确认租赁期内的利息收入。本集团取得的未纳入租赁投资净额计量的 可变租赁付款额在实际发生时计入当期损益。</w:t>
      </w:r>
    </w:p>
    <w:p>
      <w:pPr>
        <w:pStyle w:val="Style31"/>
        <w:keepNext w:val="0"/>
        <w:keepLines w:val="0"/>
        <w:widowControl w:val="0"/>
        <w:shd w:val="clear" w:color="auto" w:fill="auto"/>
        <w:bidi w:val="0"/>
        <w:spacing w:before="0" w:after="40" w:line="312" w:lineRule="exact"/>
        <w:ind w:left="0" w:right="0" w:firstLine="440"/>
        <w:jc w:val="left"/>
      </w:pPr>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新冠肺炎疫情相关租金减让会计处理</w:t>
      </w:r>
    </w:p>
    <w:p>
      <w:pPr>
        <w:pStyle w:val="Style31"/>
        <w:keepNext w:val="0"/>
        <w:keepLines w:val="0"/>
        <w:widowControl w:val="0"/>
        <w:shd w:val="clear" w:color="auto" w:fill="auto"/>
        <w:bidi w:val="0"/>
        <w:spacing w:before="0" w:after="40" w:line="308" w:lineRule="exact"/>
        <w:ind w:left="0" w:right="0" w:firstLine="440"/>
        <w:jc w:val="left"/>
      </w:pPr>
      <w:r>
        <w:rPr>
          <w:color w:val="000000"/>
          <w:spacing w:val="0"/>
          <w:w w:val="100"/>
          <w:position w:val="0"/>
        </w:rPr>
        <w:t>本集团的全部租赁合同，只要符合《新冠肺炎疫情相关租金减让会计处理规定》（财会</w:t>
      </w:r>
      <w:r>
        <w:rPr>
          <w:rFonts w:ascii="Times New Roman" w:eastAsia="Times New Roman" w:hAnsi="Times New Roman" w:cs="Times New Roman"/>
          <w:color w:val="000000"/>
          <w:spacing w:val="0"/>
          <w:w w:val="100"/>
          <w:position w:val="0"/>
        </w:rPr>
        <w:t>[2020]10</w:t>
      </w:r>
      <w:r>
        <w:rPr>
          <w:color w:val="000000"/>
          <w:spacing w:val="0"/>
          <w:w w:val="100"/>
          <w:position w:val="0"/>
        </w:rPr>
        <w:t>号）、 《关于调整〈新冠肺炎疫情相关租金减让会计处理规定〉适用范围的通知》（财会</w:t>
      </w:r>
      <w:r>
        <w:rPr>
          <w:rFonts w:ascii="Times New Roman" w:eastAsia="Times New Roman" w:hAnsi="Times New Roman" w:cs="Times New Roman"/>
          <w:color w:val="000000"/>
          <w:spacing w:val="0"/>
          <w:w w:val="100"/>
          <w:position w:val="0"/>
        </w:rPr>
        <w:t>[2021]9</w:t>
      </w:r>
      <w:r>
        <w:rPr>
          <w:color w:val="000000"/>
          <w:spacing w:val="0"/>
          <w:w w:val="100"/>
          <w:position w:val="0"/>
        </w:rPr>
        <w:t>号）适用范围 和条件的（即，减让后的租赁对价较减让前减少或基本不变；减让仅针对</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日前的应付租赁付 款额；综合考虑定性和定量因素后认定租赁的其他条款和条件无重大变化），其租金减免、延期支付等租 金减让，自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日起均采用如下简化方法处理：</w:t>
      </w:r>
    </w:p>
    <w:p>
      <w:pPr>
        <w:pStyle w:val="Style31"/>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本集团作为承租人：</w:t>
      </w:r>
    </w:p>
    <w:p>
      <w:pPr>
        <w:pStyle w:val="Style31"/>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继续按照与减让前一致的折现率计算租赁负债的利息费用并计入当期损益，继续按照与减让前一致的 方法对使用权资产进行计提折旧等后续计量。本集团将减免的租金作为可变租赁付款额，在达成减让协议 等解除原租金支付义务时，按未折现金额冲减相关资产成本或费用，同时相应调整租赁负债；延期支付租 金的，在实际支付时冲减前期确认的租赁负债。对于采用简化处理的短期租赁和低价值资产租赁，本集团 继续按照与减让前一致的方法将原合同租金计入相关资产成本或费用，将减免的租金作为可变租赁付款 额，在减免期间冲减相关资产成本或费用；延期支付租金的，在原支付期间将应支付的租金确认为应付款 项，在实际支付时冲减前期确认的应付款项。</w:t>
      </w:r>
    </w:p>
    <w:p>
      <w:pPr>
        <w:pStyle w:val="Style28"/>
        <w:keepNext/>
        <w:keepLines/>
        <w:widowControl w:val="0"/>
        <w:shd w:val="clear" w:color="auto" w:fill="auto"/>
        <w:bidi w:val="0"/>
        <w:spacing w:before="0" w:after="200" w:line="326" w:lineRule="auto"/>
        <w:ind w:left="0" w:right="0" w:firstLine="0"/>
        <w:jc w:val="left"/>
      </w:pPr>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35</w:t>
      </w:r>
      <w:r>
        <w:rPr>
          <w:color w:val="000000"/>
          <w:spacing w:val="0"/>
          <w:w w:val="100"/>
          <w:position w:val="0"/>
        </w:rPr>
        <w:t>、重要会计政策和会计估计变更</w:t>
      </w:r>
      <w:bookmarkEnd w:id="986"/>
      <w:bookmarkEnd w:id="987"/>
      <w:bookmarkEnd w:id="988"/>
    </w:p>
    <w:p>
      <w:pPr>
        <w:pStyle w:val="Style35"/>
        <w:keepNext/>
        <w:keepLines/>
        <w:widowControl w:val="0"/>
        <w:shd w:val="clear" w:color="auto" w:fill="auto"/>
        <w:bidi w:val="0"/>
        <w:spacing w:before="0" w:after="360" w:line="312" w:lineRule="exact"/>
        <w:ind w:left="0" w:right="0" w:firstLine="0"/>
        <w:jc w:val="left"/>
      </w:pPr>
      <w:bookmarkStart w:id="989" w:name="bookmark989"/>
      <w:bookmarkStart w:id="990" w:name="bookmark990"/>
      <w:bookmarkStart w:id="991" w:name="bookmark991"/>
      <w:bookmarkStart w:id="992" w:name="bookmark992"/>
      <w:r>
        <w:rPr>
          <w:color w:val="000000"/>
          <w:spacing w:val="0"/>
          <w:w w:val="100"/>
          <w:position w:val="0"/>
        </w:rPr>
        <w:t>（</w:t>
      </w:r>
      <w:bookmarkEnd w:id="991"/>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89"/>
      <w:bookmarkEnd w:id="990"/>
      <w:bookmarkEnd w:id="992"/>
    </w:p>
    <w:p>
      <w:pPr>
        <w:pStyle w:val="Style14"/>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5568"/>
        <w:gridCol w:w="2405"/>
        <w:gridCol w:w="173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 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年修订）》（财会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号）（以下简称“新租赁准则”）， 本集团于</w:t>
            </w:r>
            <w:r>
              <w:rPr>
                <w:rFonts w:ascii="Tahoma" w:eastAsia="Tahoma" w:hAnsi="Tahoma" w:cs="Tahoma"/>
                <w:color w:val="000000"/>
                <w:spacing w:val="0"/>
                <w:w w:val="100"/>
                <w:position w:val="0"/>
                <w:sz w:val="16"/>
                <w:szCs w:val="16"/>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日起执行前述新租赁准则，并依据新租赁准则 的规定对相关会计政策进行变更。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经本公司于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日召开的第二届董事会第 十六次会议决议通过。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4"/>
        <w:keepNext w:val="0"/>
        <w:keepLines w:val="0"/>
        <w:widowControl w:val="0"/>
        <w:shd w:val="clear" w:color="auto" w:fill="auto"/>
        <w:bidi w:val="0"/>
        <w:spacing w:before="0" w:after="0" w:line="240" w:lineRule="auto"/>
        <w:ind w:left="437" w:right="0" w:firstLine="0"/>
        <w:jc w:val="left"/>
        <w:rPr>
          <w:sz w:val="20"/>
          <w:szCs w:val="20"/>
        </w:rPr>
      </w:pPr>
      <w:r>
        <w:rPr>
          <w:color w:val="000000"/>
          <w:spacing w:val="0"/>
          <w:w w:val="100"/>
          <w:position w:val="0"/>
          <w:sz w:val="20"/>
          <w:szCs w:val="20"/>
        </w:rPr>
        <w:t>①执行新租赁准则导致的会计政策变更</w:t>
      </w:r>
    </w:p>
    <w:p>
      <w:pPr>
        <w:widowControl w:val="0"/>
        <w:spacing w:after="139" w:line="1" w:lineRule="exact"/>
      </w:pPr>
    </w:p>
    <w:p>
      <w:pPr>
        <w:pStyle w:val="Style31"/>
        <w:keepNext w:val="0"/>
        <w:keepLines w:val="0"/>
        <w:widowControl w:val="0"/>
        <w:shd w:val="clear" w:color="auto" w:fill="auto"/>
        <w:bidi w:val="0"/>
        <w:spacing w:before="0" w:line="319" w:lineRule="exact"/>
        <w:ind w:left="0" w:right="0" w:firstLine="44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日发布了《企业会计准则第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w:t>
      </w:r>
      <w:r>
        <w:rPr>
          <w:rFonts w:ascii="Times New Roman" w:eastAsia="Times New Roman" w:hAnsi="Times New Roman" w:cs="Times New Roman"/>
          <w:color w:val="000000"/>
          <w:spacing w:val="0"/>
          <w:w w:val="100"/>
          <w:position w:val="0"/>
        </w:rPr>
        <w:t>2018</w:t>
      </w:r>
      <w:r>
        <w:rPr>
          <w:color w:val="000000"/>
          <w:spacing w:val="0"/>
          <w:w w:val="100"/>
          <w:position w:val="0"/>
        </w:rPr>
        <w:t>年修订）》（财会</w:t>
      </w:r>
      <w:r>
        <w:rPr>
          <w:rFonts w:ascii="Times New Roman" w:eastAsia="Times New Roman" w:hAnsi="Times New Roman" w:cs="Times New Roman"/>
          <w:color w:val="000000"/>
          <w:spacing w:val="0"/>
          <w:w w:val="100"/>
          <w:position w:val="0"/>
        </w:rPr>
        <w:t>[2018]35</w:t>
      </w:r>
      <w:r>
        <w:rPr>
          <w:color w:val="000000"/>
          <w:spacing w:val="0"/>
          <w:w w:val="100"/>
          <w:position w:val="0"/>
        </w:rPr>
        <w:t>号） （以下简称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）。经本公司第二届董事会第十六次会议于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日决议通过，本集团于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日起执行前述新租赁准则，并依据新租赁准则的规定对相关会计政策进行变更。</w:t>
      </w:r>
    </w:p>
    <w:p>
      <w:pPr>
        <w:pStyle w:val="Style31"/>
        <w:keepNext w:val="0"/>
        <w:keepLines w:val="0"/>
        <w:widowControl w:val="0"/>
        <w:shd w:val="clear" w:color="auto" w:fill="auto"/>
        <w:bidi w:val="0"/>
        <w:spacing w:before="0" w:line="322" w:lineRule="exact"/>
        <w:ind w:left="0" w:right="0" w:firstLine="440"/>
        <w:jc w:val="both"/>
      </w:pPr>
      <w:r>
        <w:rPr>
          <w:color w:val="000000"/>
          <w:spacing w:val="0"/>
          <w:w w:val="100"/>
          <w:position w:val="0"/>
        </w:rPr>
        <w:t>根据新租赁准则的规定，对于首次执行日前已存在的合同，本集团选择不重新评估其是否为租赁或者 包含租赁。</w:t>
      </w:r>
    </w:p>
    <w:p>
      <w:pPr>
        <w:pStyle w:val="Style31"/>
        <w:keepNext w:val="0"/>
        <w:keepLines w:val="0"/>
        <w:widowControl w:val="0"/>
        <w:shd w:val="clear" w:color="auto" w:fill="auto"/>
        <w:bidi w:val="0"/>
        <w:spacing w:before="0" w:line="314" w:lineRule="exact"/>
        <w:ind w:left="0" w:right="0" w:firstLine="440"/>
        <w:jc w:val="both"/>
      </w:pPr>
      <w:r>
        <w:rPr>
          <w:color w:val="000000"/>
          <w:spacing w:val="0"/>
          <w:w w:val="100"/>
          <w:position w:val="0"/>
        </w:rPr>
        <w:t>本集团选择仅对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日尚未完成的租赁合同的累计影响数进行调整。首次执行的累积影响金额 调整首次执行当期期初（即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日）的留存收益及财务报表其他相关项目金额，对可比期间信息不 予调整。</w:t>
      </w:r>
    </w:p>
    <w:p>
      <w:pPr>
        <w:pStyle w:val="Style31"/>
        <w:keepNext w:val="0"/>
        <w:keepLines w:val="0"/>
        <w:widowControl w:val="0"/>
        <w:shd w:val="clear" w:color="auto" w:fill="auto"/>
        <w:bidi w:val="0"/>
        <w:spacing w:before="0" w:line="319" w:lineRule="exact"/>
        <w:ind w:left="0" w:right="0" w:firstLine="440"/>
        <w:jc w:val="both"/>
      </w:pPr>
      <w:r>
        <w:rPr>
          <w:color w:val="000000"/>
          <w:spacing w:val="0"/>
          <w:w w:val="100"/>
          <w:position w:val="0"/>
        </w:rPr>
        <w:t>于新租赁准则首次执行日（即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日），本集团的具体衔接处理及其影响如下：</w:t>
      </w:r>
    </w:p>
    <w:p>
      <w:pPr>
        <w:pStyle w:val="Style31"/>
        <w:keepNext w:val="0"/>
        <w:keepLines w:val="0"/>
        <w:widowControl w:val="0"/>
        <w:shd w:val="clear" w:color="auto" w:fill="auto"/>
        <w:tabs>
          <w:tab w:pos="861" w:val="left"/>
        </w:tabs>
        <w:bidi w:val="0"/>
        <w:spacing w:before="0" w:line="312" w:lineRule="exact"/>
        <w:ind w:left="0" w:right="0" w:firstLine="440"/>
        <w:jc w:val="left"/>
      </w:pPr>
      <w:bookmarkStart w:id="993" w:name="bookmark993"/>
      <w:r>
        <w:rPr>
          <w:rFonts w:ascii="Times New Roman" w:eastAsia="Times New Roman" w:hAnsi="Times New Roman" w:cs="Times New Roman"/>
          <w:color w:val="000000"/>
          <w:spacing w:val="0"/>
          <w:w w:val="100"/>
          <w:position w:val="0"/>
        </w:rPr>
        <w:t>A</w:t>
      </w:r>
      <w:bookmarkEnd w:id="993"/>
      <w:r>
        <w:rPr>
          <w:color w:val="000000"/>
          <w:spacing w:val="0"/>
          <w:w w:val="100"/>
          <w:position w:val="0"/>
        </w:rPr>
        <w:t>、</w:t>
        <w:tab/>
      </w:r>
      <w:r>
        <w:rPr>
          <w:color w:val="000000"/>
          <w:spacing w:val="0"/>
          <w:w w:val="100"/>
          <w:position w:val="0"/>
        </w:rPr>
        <w:t>本集团作为承租人</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对首次执行日的融资租赁，本集团作为承租人按照融资租入资产和应付融资租赁款的原账面价值，分 别计量使用权资产和租赁负债；对首次执行日的经营租赁，作为承租人根据剩余租赁付款额按首次执行日 的增量借款利率折现的现值计量租赁负债；原租赁准则下按照权责发生制计提的应付未付租金，纳入剩余 租赁付款额中。</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对首次执行日前的经营租赁，本集团按照与租赁负债相等的金额，并根据预付租金进行必要调整计量 使用权资产。本集团于首次执行日对使用权资产进行减值测试，并调整使用权资产的账面价值。</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本集团对于首次执行日前的租赁资产属于低价值资产的经营租赁，不确认使用权资产和租赁负债。对 于首次执行日除低价值租赁之外的经营租赁，本集团根据每项租赁采用下列一项或多项简化处理：</w:t>
      </w:r>
    </w:p>
    <w:p>
      <w:pPr>
        <w:pStyle w:val="Style31"/>
        <w:keepNext w:val="0"/>
        <w:keepLines w:val="0"/>
        <w:widowControl w:val="0"/>
        <w:shd w:val="clear" w:color="auto" w:fill="auto"/>
        <w:bidi w:val="0"/>
        <w:spacing w:before="0" w:line="312" w:lineRule="exact"/>
        <w:ind w:left="0" w:right="0" w:firstLine="440"/>
        <w:jc w:val="left"/>
      </w:pPr>
      <w:r>
        <w:rPr>
          <w:color w:val="000000"/>
          <w:spacing w:val="0"/>
          <w:w w:val="100"/>
          <w:position w:val="0"/>
        </w:rPr>
        <w:t>将于首次执行日后</w:t>
      </w:r>
      <w:r>
        <w:rPr>
          <w:rFonts w:ascii="Times New Roman" w:eastAsia="Times New Roman" w:hAnsi="Times New Roman" w:cs="Times New Roman"/>
          <w:color w:val="000000"/>
          <w:spacing w:val="0"/>
          <w:w w:val="100"/>
          <w:position w:val="0"/>
        </w:rPr>
        <w:t>12</w:t>
      </w:r>
      <w:r>
        <w:rPr>
          <w:color w:val="000000"/>
          <w:spacing w:val="0"/>
          <w:w w:val="100"/>
          <w:position w:val="0"/>
        </w:rPr>
        <w:t>个月内完成的租赁，作为短期租赁处理；</w:t>
      </w:r>
    </w:p>
    <w:p>
      <w:pPr>
        <w:pStyle w:val="Style31"/>
        <w:keepNext w:val="0"/>
        <w:keepLines w:val="0"/>
        <w:widowControl w:val="0"/>
        <w:shd w:val="clear" w:color="auto" w:fill="auto"/>
        <w:bidi w:val="0"/>
        <w:spacing w:before="0" w:line="312" w:lineRule="exact"/>
        <w:ind w:left="0" w:right="0" w:firstLine="440"/>
        <w:jc w:val="left"/>
      </w:pPr>
      <w:r>
        <w:rPr>
          <w:color w:val="000000"/>
          <w:spacing w:val="0"/>
          <w:w w:val="100"/>
          <w:position w:val="0"/>
        </w:rPr>
        <w:t>计量租赁负债时，具有相似特征的租赁采用同一折现率；</w:t>
      </w:r>
    </w:p>
    <w:p>
      <w:pPr>
        <w:pStyle w:val="Style31"/>
        <w:keepNext w:val="0"/>
        <w:keepLines w:val="0"/>
        <w:widowControl w:val="0"/>
        <w:shd w:val="clear" w:color="auto" w:fill="auto"/>
        <w:bidi w:val="0"/>
        <w:spacing w:before="0" w:line="312" w:lineRule="exact"/>
        <w:ind w:left="0" w:right="0" w:firstLine="440"/>
        <w:jc w:val="left"/>
      </w:pPr>
      <w:r>
        <w:rPr>
          <w:color w:val="000000"/>
          <w:spacing w:val="0"/>
          <w:w w:val="100"/>
          <w:position w:val="0"/>
        </w:rPr>
        <w:t>使用权资产的计量不包含初始直接费用；</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存在续约选择权或终止租赁选择权的，本集团根据首次执行日前选择权的实际行使及其他最新情况确 定租赁期；</w:t>
      </w:r>
    </w:p>
    <w:p>
      <w:pPr>
        <w:pStyle w:val="Style31"/>
        <w:keepNext w:val="0"/>
        <w:keepLines w:val="0"/>
        <w:widowControl w:val="0"/>
        <w:shd w:val="clear" w:color="auto" w:fill="auto"/>
        <w:bidi w:val="0"/>
        <w:spacing w:before="0" w:line="310" w:lineRule="exact"/>
        <w:ind w:left="0" w:right="0" w:firstLine="440"/>
        <w:jc w:val="both"/>
      </w:pPr>
      <w:r>
        <w:rPr>
          <w:color w:val="000000"/>
          <w:spacing w:val="0"/>
          <w:w w:val="100"/>
          <w:position w:val="0"/>
        </w:rPr>
        <w:t>作为使用权资产减值测试的替代，本集团根据《企业会计准则第</w:t>
      </w:r>
      <w:r>
        <w:rPr>
          <w:rFonts w:ascii="Times New Roman" w:eastAsia="Times New Roman" w:hAnsi="Times New Roman" w:cs="Times New Roman"/>
          <w:color w:val="000000"/>
          <w:spacing w:val="0"/>
          <w:w w:val="100"/>
          <w:position w:val="0"/>
        </w:rPr>
        <w:t>13</w:t>
      </w:r>
      <w:r>
        <w:rPr>
          <w:color w:val="000000"/>
          <w:spacing w:val="0"/>
          <w:w w:val="100"/>
          <w:position w:val="0"/>
        </w:rPr>
        <w:t>号——或有事项》评估包含租赁的 合同在首次执行日前是否为亏损合同，并根据首次执行日前计入资产负债表的亏损准备金额调整使用权资 产；</w:t>
      </w:r>
    </w:p>
    <w:p>
      <w:pPr>
        <w:pStyle w:val="Style31"/>
        <w:keepNext w:val="0"/>
        <w:keepLines w:val="0"/>
        <w:widowControl w:val="0"/>
        <w:shd w:val="clear" w:color="auto" w:fill="auto"/>
        <w:bidi w:val="0"/>
        <w:spacing w:before="0" w:line="312" w:lineRule="exact"/>
        <w:ind w:left="0" w:right="0" w:firstLine="440"/>
        <w:jc w:val="left"/>
      </w:pPr>
      <w:r>
        <w:rPr>
          <w:color w:val="000000"/>
          <w:spacing w:val="0"/>
          <w:w w:val="100"/>
          <w:position w:val="0"/>
        </w:rPr>
        <w:t>首次执行日之前发生租赁变更的，本集团根据租赁变更的最终安排进行会计处理。</w:t>
      </w:r>
    </w:p>
    <w:p>
      <w:pPr>
        <w:pStyle w:val="Style31"/>
        <w:keepNext w:val="0"/>
        <w:keepLines w:val="0"/>
        <w:widowControl w:val="0"/>
        <w:shd w:val="clear" w:color="auto" w:fill="auto"/>
        <w:tabs>
          <w:tab w:pos="861" w:val="left"/>
        </w:tabs>
        <w:bidi w:val="0"/>
        <w:spacing w:before="0" w:line="312" w:lineRule="exact"/>
        <w:ind w:left="0" w:right="0" w:firstLine="440"/>
        <w:jc w:val="left"/>
      </w:pPr>
      <w:bookmarkStart w:id="994" w:name="bookmark994"/>
      <w:r>
        <w:rPr>
          <w:rFonts w:ascii="Times New Roman" w:eastAsia="Times New Roman" w:hAnsi="Times New Roman" w:cs="Times New Roman"/>
          <w:color w:val="000000"/>
          <w:spacing w:val="0"/>
          <w:w w:val="100"/>
          <w:position w:val="0"/>
        </w:rPr>
        <w:t>B</w:t>
      </w:r>
      <w:bookmarkEnd w:id="994"/>
      <w:r>
        <w:rPr>
          <w:color w:val="000000"/>
          <w:spacing w:val="0"/>
          <w:w w:val="100"/>
          <w:position w:val="0"/>
        </w:rPr>
        <w:t>、</w:t>
        <w:tab/>
      </w:r>
      <w:r>
        <w:rPr>
          <w:color w:val="000000"/>
          <w:spacing w:val="0"/>
          <w:w w:val="100"/>
          <w:position w:val="0"/>
        </w:rPr>
        <w:t>本集团作为出租人</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对于首次执行日前划分为经营租赁且在首次执行日后仍存续的转租赁，本集团作为转租出租人在首次 执行日基于原租赁和转租赁的剩余合同期限和条款进行重新评估和分类。重分类为融资租赁的，将其作为 一项新的融资租赁进行会计处理。</w:t>
      </w:r>
    </w:p>
    <w:p>
      <w:pPr>
        <w:pStyle w:val="Style31"/>
        <w:keepNext w:val="0"/>
        <w:keepLines w:val="0"/>
        <w:widowControl w:val="0"/>
        <w:shd w:val="clear" w:color="auto" w:fill="auto"/>
        <w:tabs>
          <w:tab w:pos="861" w:val="left"/>
        </w:tabs>
        <w:bidi w:val="0"/>
        <w:spacing w:before="0" w:line="312" w:lineRule="exact"/>
        <w:ind w:left="0" w:right="0" w:firstLine="440"/>
        <w:jc w:val="both"/>
      </w:pPr>
      <w:bookmarkStart w:id="995" w:name="bookmark995"/>
      <w:r>
        <w:rPr>
          <w:rFonts w:ascii="Times New Roman" w:eastAsia="Times New Roman" w:hAnsi="Times New Roman" w:cs="Times New Roman"/>
          <w:color w:val="000000"/>
          <w:spacing w:val="0"/>
          <w:w w:val="100"/>
          <w:position w:val="0"/>
        </w:rPr>
        <w:t>C</w:t>
      </w:r>
      <w:bookmarkEnd w:id="995"/>
      <w:r>
        <w:rPr>
          <w:color w:val="000000"/>
          <w:spacing w:val="0"/>
          <w:w w:val="100"/>
          <w:position w:val="0"/>
        </w:rPr>
        <w:t>、</w:t>
        <w:tab/>
      </w:r>
      <w:r>
        <w:rPr>
          <w:color w:val="000000"/>
          <w:spacing w:val="0"/>
          <w:w w:val="100"/>
          <w:position w:val="0"/>
        </w:rPr>
        <w:t>执行新租赁准则的主要变化和影响如下：</w:t>
      </w:r>
    </w:p>
    <w:p>
      <w:pPr>
        <w:pStyle w:val="Style31"/>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—本集团承租房屋，租赁期为</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2—68</w:t>
      </w:r>
      <w:r>
        <w:rPr>
          <w:color w:val="000000"/>
          <w:spacing w:val="0"/>
          <w:w w:val="100"/>
          <w:position w:val="0"/>
        </w:rPr>
        <w:t>个月，原作为经营租赁处理，根据新租赁准则，于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日确认使用权资产</w:t>
      </w:r>
      <w:r>
        <w:rPr>
          <w:rFonts w:ascii="Times New Roman" w:eastAsia="Times New Roman" w:hAnsi="Times New Roman" w:cs="Times New Roman"/>
          <w:color w:val="000000"/>
          <w:spacing w:val="0"/>
          <w:w w:val="100"/>
          <w:position w:val="0"/>
        </w:rPr>
        <w:t>13,520,775.71</w:t>
      </w:r>
      <w:r>
        <w:rPr>
          <w:color w:val="000000"/>
          <w:spacing w:val="0"/>
          <w:w w:val="100"/>
          <w:position w:val="0"/>
        </w:rPr>
        <w:t>元，租赁负债</w:t>
      </w:r>
      <w:r>
        <w:rPr>
          <w:rFonts w:ascii="Times New Roman" w:eastAsia="Times New Roman" w:hAnsi="Times New Roman" w:cs="Times New Roman"/>
          <w:color w:val="000000"/>
          <w:spacing w:val="0"/>
          <w:w w:val="100"/>
          <w:position w:val="0"/>
        </w:rPr>
        <w:t>13,286,456.98</w:t>
      </w:r>
      <w:r>
        <w:rPr>
          <w:color w:val="000000"/>
          <w:spacing w:val="0"/>
          <w:w w:val="100"/>
          <w:position w:val="0"/>
        </w:rPr>
        <w:t>元。</w:t>
      </w:r>
    </w:p>
    <w:p>
      <w:pPr>
        <w:pStyle w:val="Style35"/>
        <w:keepNext/>
        <w:keepLines/>
        <w:widowControl w:val="0"/>
        <w:shd w:val="clear" w:color="auto" w:fill="auto"/>
        <w:tabs>
          <w:tab w:pos="493" w:val="left"/>
        </w:tabs>
        <w:bidi w:val="0"/>
        <w:spacing w:before="0" w:after="300" w:line="312" w:lineRule="exact"/>
        <w:ind w:left="0" w:right="0" w:firstLine="0"/>
        <w:jc w:val="left"/>
      </w:pPr>
      <w:bookmarkStart w:id="996" w:name="bookmark996"/>
      <w:bookmarkStart w:id="997" w:name="bookmark997"/>
      <w:bookmarkStart w:id="998" w:name="bookmark998"/>
      <w:bookmarkStart w:id="999" w:name="bookmark999"/>
      <w:r>
        <w:rPr>
          <w:color w:val="000000"/>
          <w:spacing w:val="0"/>
          <w:w w:val="100"/>
          <w:position w:val="0"/>
        </w:rPr>
        <w:t>（</w:t>
      </w:r>
      <w:bookmarkEnd w:id="998"/>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96"/>
      <w:bookmarkEnd w:id="997"/>
      <w:bookmarkEnd w:id="999"/>
    </w:p>
    <w:p>
      <w:pPr>
        <w:pStyle w:val="Style31"/>
        <w:keepNext w:val="0"/>
        <w:keepLines w:val="0"/>
        <w:widowControl w:val="0"/>
        <w:shd w:val="clear" w:color="auto" w:fill="auto"/>
        <w:bidi w:val="0"/>
        <w:spacing w:before="0" w:after="30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5"/>
        <w:keepNext/>
        <w:keepLines/>
        <w:widowControl w:val="0"/>
        <w:shd w:val="clear" w:color="auto" w:fill="auto"/>
        <w:tabs>
          <w:tab w:pos="493" w:val="left"/>
        </w:tabs>
        <w:bidi w:val="0"/>
        <w:spacing w:before="0" w:after="300" w:line="312" w:lineRule="exact"/>
        <w:ind w:left="0" w:right="0" w:firstLine="0"/>
        <w:jc w:val="left"/>
      </w:pPr>
      <w:bookmarkStart w:id="1000" w:name="bookmark1000"/>
      <w:bookmarkStart w:id="1001" w:name="bookmark1001"/>
      <w:bookmarkStart w:id="1002" w:name="bookmark1002"/>
      <w:bookmarkStart w:id="1003" w:name="bookmark1003"/>
      <w:r>
        <w:rPr>
          <w:color w:val="000000"/>
          <w:spacing w:val="0"/>
          <w:w w:val="100"/>
          <w:position w:val="0"/>
        </w:rPr>
        <w:t>（</w:t>
      </w:r>
      <w:bookmarkEnd w:id="1002"/>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00"/>
      <w:bookmarkEnd w:id="1001"/>
      <w:bookmarkEnd w:id="1003"/>
    </w:p>
    <w:p>
      <w:pPr>
        <w:pStyle w:val="Style31"/>
        <w:keepNext w:val="0"/>
        <w:keepLines w:val="0"/>
        <w:widowControl w:val="0"/>
        <w:shd w:val="clear" w:color="auto" w:fill="auto"/>
        <w:bidi w:val="0"/>
        <w:spacing w:before="0" w:line="312" w:lineRule="exact"/>
        <w:ind w:left="0" w:right="0" w:firstLine="0"/>
        <w:jc w:val="left"/>
      </w:pP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line="312" w:lineRule="exact"/>
        <w:ind w:left="0" w:right="0" w:firstLine="0"/>
        <w:jc w:val="left"/>
      </w:pPr>
      <w:r>
        <w:rPr>
          <w:color w:val="000000"/>
          <w:spacing w:val="0"/>
          <w:w w:val="100"/>
          <w:position w:val="0"/>
        </w:rPr>
        <w:t>是否需要调整年初资产负债表科目</w:t>
      </w:r>
    </w:p>
    <w:p>
      <w:pPr>
        <w:pStyle w:val="Style31"/>
        <w:keepNext w:val="0"/>
        <w:keepLines w:val="0"/>
        <w:widowControl w:val="0"/>
        <w:shd w:val="clear" w:color="auto" w:fill="auto"/>
        <w:bidi w:val="0"/>
        <w:spacing w:before="0" w:line="312" w:lineRule="exact"/>
        <w:ind w:left="0" w:right="0" w:firstLine="0"/>
        <w:jc w:val="left"/>
      </w:pPr>
      <w:r>
        <w:rPr>
          <w:color w:val="000000"/>
          <w:spacing w:val="0"/>
          <w:w w:val="100"/>
          <w:position w:val="0"/>
        </w:rPr>
        <w:t>寸</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31"/>
        <w:keepNext w:val="0"/>
        <w:keepLines w:val="0"/>
        <w:widowControl w:val="0"/>
        <w:shd w:val="clear" w:color="auto" w:fill="auto"/>
        <w:bidi w:val="0"/>
        <w:spacing w:before="0" w:line="312" w:lineRule="exact"/>
        <w:ind w:left="0" w:right="0" w:firstLine="0"/>
        <w:jc w:val="left"/>
      </w:pPr>
      <w:r>
        <w:rPr>
          <w:color w:val="000000"/>
          <w:spacing w:val="0"/>
          <w:w w:val="100"/>
          <w:position w:val="0"/>
        </w:rPr>
        <w:t>合并资产负债表</w:t>
      </w:r>
      <w:r>
        <w:br w:type="page"/>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2251"/>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182,800,994.31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182,800,994.31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113,560,403.23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113,560,403.23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7,330,925.89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7,096,607.16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-234,318.73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3,715,334.47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3,715,334.47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26,093,371.17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26,093,371.17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2,680,711.05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2,680,711.05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30,368,708.86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30,368,708.86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1,522,674.27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1,522,674.27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368,073,123.25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367,838,804.52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-234,318.73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44,590,756.39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44,590,756.39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14"/>
        <w:gridCol w:w="2251"/>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4,998,622.83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4,998,622.83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13,520,775.71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13,520,775.71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4,445,196.48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4,445,196.48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2,682,094.38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2,682,094.38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2,692,776.87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2,692,776.87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11,370,723.05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11,370,723.05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2,329,485.85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2,329,485.85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78,109,655.85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91,630,431.56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13,520,775.71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446,182,779.10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459,469,236.08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13,286,456.98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5,012,423.61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5,012,423.61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4,617,986.00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4,617,986.00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73,157,771.48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73,157,771.48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56,257,516.59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56,257,516.59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7,547,925.73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7,547,925.73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33,856,320.95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33,856,320.95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1,790,885.99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1,790,885.99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14"/>
        <w:gridCol w:w="2251"/>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4,211,746.20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4,211,746.20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182,240,830.35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186,452,576.55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4,211,746.20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9,074,710.78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9,074,710.78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11,257,192.16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11,257,192.16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11,257,192.16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20,331,902.94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9,074,710.78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193,498,022.51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206,784,479.49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13,286,456.98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35,334,000.00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92,581,864.72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92,581,864.72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193,106.21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193,106.21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17,660,232.88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17,660,232.88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107,203,208.28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107,203,208.28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252,972,412.09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252,972,412.09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414"/>
        <w:gridCol w:w="2251"/>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-287,655.50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-287,655.50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252,684,756.59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252,684,756.59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446,182,779.10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459,469,236.08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13,286,456.98</w:t>
            </w:r>
          </w:p>
        </w:tc>
      </w:tr>
    </w:tbl>
    <w:p>
      <w:pPr>
        <w:widowControl w:val="0"/>
        <w:spacing w:after="199" w:line="1" w:lineRule="exact"/>
      </w:pPr>
    </w:p>
    <w:p>
      <w:pPr>
        <w:pStyle w:val="Style31"/>
        <w:keepNext w:val="0"/>
        <w:keepLines w:val="0"/>
        <w:widowControl w:val="0"/>
        <w:shd w:val="clear" w:color="auto" w:fill="auto"/>
        <w:bidi w:val="0"/>
        <w:spacing w:before="0" w:after="200" w:line="240" w:lineRule="auto"/>
        <w:ind w:left="0" w:right="0" w:firstLine="0"/>
        <w:jc w:val="both"/>
      </w:pPr>
      <w:r>
        <w:rPr>
          <w:color w:val="000000"/>
          <w:spacing w:val="0"/>
          <w:w w:val="100"/>
          <w:position w:val="0"/>
        </w:rPr>
        <w:t>调整情况说明</w:t>
      </w: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母公司资产负债表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2251"/>
        <w:gridCol w:w="2453"/>
        <w:gridCol w:w="246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163,144,745.95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163,144,745.95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111,134,703.40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111,134,703.40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7,033,874.11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6,801,644.52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-232,229.59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4,170,591.93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4,170,591.93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24,478,476.25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24,478,476.25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2,680,711.05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2,680,711.05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30,368,708.86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30,368,708.86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816,172.21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816,172.21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343,827,983.76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343,595,754.17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-232,229.59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34,576,012.96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34,576,012.96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58,517,111.42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58,517,111.42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4,453,222.00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4,453,222.00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2414"/>
        <w:gridCol w:w="2251"/>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12,163,460.91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12,163,460.91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4,445,196.48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4,445,196.48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2,453,635.79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2,453,635.79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7,952,039.70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7,952,039.70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2,010,822.17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2,010,822.17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119,408,040.52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131,571,501.43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12,163,460.91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463,236,024.28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475,167,255.60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11,931,231.32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5,012,423.61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5,012,423.61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4,617,986.00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4,617,986.00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73,575,462.28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73,575,462.28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56,007,516.59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56,007,516.59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5,995,826.69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5,995,826.69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31,127,864.07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31,127,864.07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36,532,736.27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36,532,736.27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3,748,171.20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3,748,171.20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212,869,815.51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216,617,986.71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3,748,171.20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14"/>
        <w:gridCol w:w="2251"/>
        <w:gridCol w:w="2453"/>
        <w:gridCol w:w="24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8,183,060.12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8,183,060.12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9,037,944.23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9,037,944.23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9,037,944.23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17,221,004.35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8,183,060.12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221,907,759.74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233,838,991.06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11,931,231.32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35,334,000.00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35,334,000.00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92,588,975.34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92,588,975.34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17,660,232.88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17,660,232.88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95,235,056.32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95,235,056.32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241,328,264.54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241,328,264.54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463,236,024.28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475,167,255.60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11,931,231.32</w:t>
            </w:r>
          </w:p>
        </w:tc>
      </w:tr>
    </w:tbl>
    <w:p>
      <w:pPr>
        <w:widowControl w:val="0"/>
        <w:spacing w:after="199" w:line="1" w:lineRule="exact"/>
      </w:pPr>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rPr>
        <w:t>调整情况说明</w:t>
      </w:r>
    </w:p>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上述会计政策变更对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日财务报表的影响如下:</w:t>
      </w:r>
    </w:p>
    <w:tbl>
      <w:tblPr>
        <w:tblOverlap w:val="never"/>
        <w:jc w:val="center"/>
        <w:tblLayout w:type="fixed"/>
      </w:tblPr>
      <w:tblGrid>
        <w:gridCol w:w="2870"/>
        <w:gridCol w:w="1810"/>
        <w:gridCol w:w="1814"/>
        <w:gridCol w:w="1685"/>
        <w:gridCol w:w="1699"/>
      </w:tblGrid>
      <w:tr>
        <w:trPr>
          <w:trHeight w:val="336"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报表项目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日（变更前）金额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日（变更后）金额</w:t>
            </w:r>
          </w:p>
        </w:tc>
      </w:tr>
      <w:tr>
        <w:trPr>
          <w:trHeight w:val="317" w:hRule="exact"/>
        </w:trPr>
        <w:tc>
          <w:tcPr>
            <w:vMerge/>
            <w:tcBorders>
              <w:left w:val="single" w:sz="4"/>
            </w:tcBorders>
            <w:shd w:val="clear" w:color="auto" w:fill="D3D3D3"/>
            <w:vAlign w:val="top"/>
          </w:tcPr>
          <w:p>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合并报表</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公司报表</w:t>
            </w: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合并报表</w:t>
            </w: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公司报表</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7,330,925.89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7,033,874.11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7,096,607.16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6,801,644.52</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13,520,775.71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12,163,460.91</w:t>
            </w:r>
          </w:p>
        </w:tc>
      </w:tr>
      <w:tr>
        <w:trPr>
          <w:trHeight w:val="33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4,211,746.20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3,748,171.20</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9,074,710.78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8,183,060.12</w:t>
            </w:r>
          </w:p>
        </w:tc>
      </w:tr>
    </w:tbl>
    <w:p>
      <w:pPr>
        <w:widowControl w:val="0"/>
        <w:spacing w:after="199" w:line="1" w:lineRule="exact"/>
      </w:pPr>
    </w:p>
    <w:p>
      <w:pPr>
        <w:pStyle w:val="Style31"/>
        <w:keepNext w:val="0"/>
        <w:keepLines w:val="0"/>
        <w:widowControl w:val="0"/>
        <w:shd w:val="clear" w:color="auto" w:fill="auto"/>
        <w:bidi w:val="0"/>
        <w:spacing w:before="0" w:after="200" w:line="240" w:lineRule="auto"/>
        <w:ind w:left="0" w:right="0" w:firstLine="540"/>
        <w:jc w:val="left"/>
      </w:pPr>
      <w:r>
        <w:rPr>
          <w:color w:val="000000"/>
          <w:spacing w:val="0"/>
          <w:w w:val="100"/>
          <w:position w:val="0"/>
        </w:rPr>
        <w:t>本集团于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日计入资产负债表的租赁负债所采用的增量借款利率的加权平均值为</w:t>
      </w:r>
      <w:r>
        <w:rPr>
          <w:rFonts w:ascii="Times New Roman" w:eastAsia="Times New Roman" w:hAnsi="Times New Roman" w:cs="Times New Roman"/>
          <w:color w:val="000000"/>
          <w:spacing w:val="0"/>
          <w:w w:val="100"/>
          <w:position w:val="0"/>
        </w:rPr>
        <w:t>4.80%</w:t>
      </w:r>
      <w:r>
        <w:rPr>
          <w:color w:val="000000"/>
          <w:spacing w:val="0"/>
          <w:w w:val="100"/>
          <w:position w:val="0"/>
        </w:rPr>
        <w:t>。</w:t>
      </w:r>
    </w:p>
    <w:p>
      <w:pPr>
        <w:pStyle w:val="Style35"/>
        <w:keepNext/>
        <w:keepLines/>
        <w:widowControl w:val="0"/>
        <w:shd w:val="clear" w:color="auto" w:fill="auto"/>
        <w:tabs>
          <w:tab w:pos="482" w:val="left"/>
        </w:tabs>
        <w:bidi w:val="0"/>
        <w:spacing w:before="0" w:after="280" w:line="312" w:lineRule="exact"/>
        <w:ind w:left="0" w:right="0" w:firstLine="0"/>
        <w:jc w:val="left"/>
      </w:pPr>
      <w:bookmarkStart w:id="1004" w:name="bookmark1004"/>
      <w:bookmarkStart w:id="1005" w:name="bookmark1005"/>
      <w:bookmarkStart w:id="1006" w:name="bookmark1006"/>
      <w:bookmarkStart w:id="1007" w:name="bookmark1007"/>
      <w:r>
        <w:rPr>
          <w:color w:val="000000"/>
          <w:spacing w:val="0"/>
          <w:w w:val="100"/>
          <w:position w:val="0"/>
          <w:shd w:val="clear" w:color="auto" w:fill="FFFFFF"/>
        </w:rPr>
        <w:t>（</w:t>
      </w:r>
      <w:bookmarkEnd w:id="1006"/>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04"/>
      <w:bookmarkEnd w:id="1005"/>
      <w:bookmarkEnd w:id="1007"/>
    </w:p>
    <w:p>
      <w:pPr>
        <w:pStyle w:val="Style31"/>
        <w:keepNext w:val="0"/>
        <w:keepLines w:val="0"/>
        <w:widowControl w:val="0"/>
        <w:shd w:val="clear" w:color="auto" w:fill="auto"/>
        <w:bidi w:val="0"/>
        <w:spacing w:before="0" w:after="28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8"/>
        <w:keepNext/>
        <w:keepLines/>
        <w:widowControl w:val="0"/>
        <w:shd w:val="clear" w:color="auto" w:fill="auto"/>
        <w:bidi w:val="0"/>
        <w:spacing w:before="0" w:after="280" w:line="312" w:lineRule="exact"/>
        <w:ind w:left="0" w:right="0" w:firstLine="0"/>
        <w:jc w:val="left"/>
      </w:pPr>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36</w:t>
      </w:r>
      <w:r>
        <w:rPr>
          <w:color w:val="000000"/>
          <w:spacing w:val="0"/>
          <w:w w:val="100"/>
          <w:position w:val="0"/>
        </w:rPr>
        <w:t>、重大会计判断和估计</w:t>
      </w:r>
      <w:bookmarkEnd w:id="1008"/>
      <w:bookmarkEnd w:id="1009"/>
      <w:bookmarkEnd w:id="1010"/>
    </w:p>
    <w:p>
      <w:pPr>
        <w:pStyle w:val="Style31"/>
        <w:keepNext w:val="0"/>
        <w:keepLines w:val="0"/>
        <w:widowControl w:val="0"/>
        <w:shd w:val="clear" w:color="auto" w:fill="auto"/>
        <w:bidi w:val="0"/>
        <w:spacing w:before="0" w:line="313" w:lineRule="exact"/>
        <w:ind w:left="0" w:right="0" w:firstLine="440"/>
        <w:jc w:val="both"/>
      </w:pPr>
      <w:r>
        <w:rPr>
          <w:color w:val="000000"/>
          <w:spacing w:val="0"/>
          <w:w w:val="100"/>
          <w:position w:val="0"/>
        </w:rPr>
        <w:t>本集团在运用会计政策过程中，由于经营活动内在的不确定性，需要对无法准确计量的报表项目的账 面价值进行判断、估计和假设。这些判断、估计和假设是基于本集团管理层过去的历史经验，并在考虑其 他相关因素的基础上做出的。这些判断、估计和假设会影响收入、费用、资产和负债的报告金额以及资产 负债表日或有负债的披露。然而，这些估计的不确定性所导致的实际结果可能与本集团管理层当前的估计 存在差异，进而造成对未来受影响的资产或负债的账面金额进行重大调整。</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本集团对前述判断、估计和假设在持续经营的基础上进行定期复核，会计估计的变更仅影响变更当期 的，其影响数在变更当期予以确认；既影响变更当期又影响未来期间的，其影响数在变更当期和未来期间 予以确认。</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于资产负债表日，本集团需对财务报表项目金额进行判断、估计和假设的重要领域如下：</w:t>
      </w:r>
    </w:p>
    <w:p>
      <w:pPr>
        <w:pStyle w:val="Style31"/>
        <w:keepNext w:val="0"/>
        <w:keepLines w:val="0"/>
        <w:widowControl w:val="0"/>
        <w:shd w:val="clear" w:color="auto" w:fill="auto"/>
        <w:tabs>
          <w:tab w:pos="477" w:val="left"/>
        </w:tabs>
        <w:bidi w:val="0"/>
        <w:spacing w:before="0" w:line="312" w:lineRule="exact"/>
        <w:ind w:left="0" w:right="0" w:firstLine="0"/>
        <w:jc w:val="both"/>
      </w:pPr>
      <w:bookmarkStart w:id="1011" w:name="bookmark1011"/>
      <w:r>
        <w:rPr>
          <w:color w:val="000000"/>
          <w:spacing w:val="0"/>
          <w:w w:val="100"/>
          <w:position w:val="0"/>
        </w:rPr>
        <w:t>（</w:t>
      </w:r>
      <w:bookmarkEnd w:id="1011"/>
      <w:r>
        <w:rPr>
          <w:rFonts w:ascii="Times New Roman" w:eastAsia="Times New Roman" w:hAnsi="Times New Roman" w:cs="Times New Roman"/>
          <w:color w:val="000000"/>
          <w:spacing w:val="0"/>
          <w:w w:val="100"/>
          <w:position w:val="0"/>
        </w:rPr>
        <w:t>1</w:t>
      </w:r>
      <w:r>
        <w:rPr>
          <w:color w:val="000000"/>
          <w:spacing w:val="0"/>
          <w:w w:val="100"/>
          <w:position w:val="0"/>
        </w:rPr>
        <w:t>）</w:t>
        <w:tab/>
        <w:t>收入确认</w:t>
      </w:r>
    </w:p>
    <w:p>
      <w:pPr>
        <w:pStyle w:val="Style31"/>
        <w:keepNext w:val="0"/>
        <w:keepLines w:val="0"/>
        <w:widowControl w:val="0"/>
        <w:shd w:val="clear" w:color="auto" w:fill="auto"/>
        <w:bidi w:val="0"/>
        <w:spacing w:before="0" w:line="314" w:lineRule="exact"/>
        <w:ind w:left="0" w:right="0" w:firstLine="440"/>
        <w:jc w:val="both"/>
      </w:pPr>
      <w:r>
        <w:rPr>
          <w:color w:val="000000"/>
          <w:spacing w:val="0"/>
          <w:w w:val="100"/>
          <w:position w:val="0"/>
        </w:rPr>
        <w:t>如本节五、</w:t>
      </w:r>
      <w:r>
        <w:rPr>
          <w:rFonts w:ascii="Times New Roman" w:eastAsia="Times New Roman" w:hAnsi="Times New Roman" w:cs="Times New Roman"/>
          <w:color w:val="000000"/>
          <w:spacing w:val="0"/>
          <w:w w:val="100"/>
          <w:position w:val="0"/>
        </w:rPr>
        <w:t>30</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所述，本集团在收入确认方面涉及到如下重大的会计判断和估计：识别客户合 同；估计因向客户转让商品而有权取得的对价的可收回性；识别合同中的履约义务；估计合同中存在的可 变对价以及在相关不确定性消除时累计已确认收入极可能不会发生重大转回的金额；合同中是否存在重大 融资成分；估计合同中单项履约义务的单独售价；确定履约义务是在某一时段内履行还是在某一时点履行； 履约进度的确定，等等。</w:t>
      </w:r>
    </w:p>
    <w:p>
      <w:pPr>
        <w:pStyle w:val="Style31"/>
        <w:keepNext w:val="0"/>
        <w:keepLines w:val="0"/>
        <w:widowControl w:val="0"/>
        <w:shd w:val="clear" w:color="auto" w:fill="auto"/>
        <w:bidi w:val="0"/>
        <w:spacing w:before="0" w:line="307" w:lineRule="exact"/>
        <w:ind w:left="0" w:right="0" w:firstLine="440"/>
        <w:jc w:val="both"/>
      </w:pPr>
      <w:r>
        <w:rPr>
          <w:color w:val="000000"/>
          <w:spacing w:val="0"/>
          <w:w w:val="100"/>
          <w:position w:val="0"/>
        </w:rPr>
        <w:t>本集团主要依靠过去的经验和工作作出判断，这些重大判断和估计变更都可能对变更当期或以后期间 的营业收入、营业成本，以及期间损益产生影响，且可能构成重大影响。</w:t>
      </w:r>
    </w:p>
    <w:p>
      <w:pPr>
        <w:pStyle w:val="Style31"/>
        <w:keepNext w:val="0"/>
        <w:keepLines w:val="0"/>
        <w:widowControl w:val="0"/>
        <w:shd w:val="clear" w:color="auto" w:fill="auto"/>
        <w:tabs>
          <w:tab w:pos="477" w:val="left"/>
        </w:tabs>
        <w:bidi w:val="0"/>
        <w:spacing w:before="0" w:line="312" w:lineRule="exact"/>
        <w:ind w:left="0" w:right="0" w:firstLine="0"/>
        <w:jc w:val="left"/>
      </w:pPr>
      <w:bookmarkStart w:id="1012" w:name="bookmark1012"/>
      <w:r>
        <w:rPr>
          <w:color w:val="000000"/>
          <w:spacing w:val="0"/>
          <w:w w:val="100"/>
          <w:position w:val="0"/>
        </w:rPr>
        <w:t>（</w:t>
      </w:r>
      <w:bookmarkEnd w:id="1012"/>
      <w:r>
        <w:rPr>
          <w:rFonts w:ascii="Times New Roman" w:eastAsia="Times New Roman" w:hAnsi="Times New Roman" w:cs="Times New Roman"/>
          <w:color w:val="000000"/>
          <w:spacing w:val="0"/>
          <w:w w:val="100"/>
          <w:position w:val="0"/>
        </w:rPr>
        <w:t>2</w:t>
      </w:r>
      <w:r>
        <w:rPr>
          <w:color w:val="000000"/>
          <w:spacing w:val="0"/>
          <w:w w:val="100"/>
          <w:position w:val="0"/>
        </w:rPr>
        <w:t>）</w:t>
        <w:tab/>
        <w:t>租赁</w:t>
      </w:r>
    </w:p>
    <w:p>
      <w:pPr>
        <w:pStyle w:val="Style31"/>
        <w:keepNext w:val="0"/>
        <w:keepLines w:val="0"/>
        <w:widowControl w:val="0"/>
        <w:numPr>
          <w:ilvl w:val="0"/>
          <w:numId w:val="149"/>
        </w:numPr>
        <w:shd w:val="clear" w:color="auto" w:fill="auto"/>
        <w:tabs>
          <w:tab w:pos="821" w:val="left"/>
        </w:tabs>
        <w:bidi w:val="0"/>
        <w:spacing w:before="0" w:line="312" w:lineRule="exact"/>
        <w:ind w:left="0" w:right="0" w:firstLine="440"/>
        <w:jc w:val="both"/>
      </w:pPr>
      <w:bookmarkStart w:id="1013" w:name="bookmark1013"/>
      <w:bookmarkEnd w:id="1013"/>
      <w:r>
        <w:rPr>
          <w:color w:val="000000"/>
          <w:spacing w:val="0"/>
          <w:w w:val="100"/>
          <w:position w:val="0"/>
        </w:rPr>
        <w:t>租赁的识别</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本集团在识别一项合同是否为租赁或包含租赁时，需要评估是否存在一项已识别资产，且客户控制了 该资产在一定期间内的使用权。在评估时，需要考虑资产的性质、实质性替换权、以及客户是否有权获得 因在该期间使用该资产所产生的几乎全部经济利益，并能够主导该资产的使用。</w:t>
      </w:r>
    </w:p>
    <w:p>
      <w:pPr>
        <w:pStyle w:val="Style31"/>
        <w:keepNext w:val="0"/>
        <w:keepLines w:val="0"/>
        <w:widowControl w:val="0"/>
        <w:numPr>
          <w:ilvl w:val="0"/>
          <w:numId w:val="149"/>
        </w:numPr>
        <w:shd w:val="clear" w:color="auto" w:fill="auto"/>
        <w:tabs>
          <w:tab w:pos="826" w:val="left"/>
        </w:tabs>
        <w:bidi w:val="0"/>
        <w:spacing w:before="0" w:line="312" w:lineRule="exact"/>
        <w:ind w:left="0" w:right="0" w:firstLine="440"/>
        <w:jc w:val="both"/>
      </w:pPr>
      <w:bookmarkStart w:id="1014" w:name="bookmark1014"/>
      <w:bookmarkEnd w:id="1014"/>
      <w:r>
        <w:rPr>
          <w:color w:val="000000"/>
          <w:spacing w:val="0"/>
          <w:w w:val="100"/>
          <w:position w:val="0"/>
        </w:rPr>
        <w:t>租赁的分类</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本集团作为出租人时，将租赁分类为经营租赁和融资租赁。在进行分类时，管理层需要对是否已将与 租出资产所有权有关的全部风险和报酬实质上转移给承租人作出分析和判断。</w:t>
      </w:r>
    </w:p>
    <w:p>
      <w:pPr>
        <w:pStyle w:val="Style31"/>
        <w:keepNext w:val="0"/>
        <w:keepLines w:val="0"/>
        <w:widowControl w:val="0"/>
        <w:numPr>
          <w:ilvl w:val="0"/>
          <w:numId w:val="149"/>
        </w:numPr>
        <w:shd w:val="clear" w:color="auto" w:fill="auto"/>
        <w:tabs>
          <w:tab w:pos="826" w:val="left"/>
        </w:tabs>
        <w:bidi w:val="0"/>
        <w:spacing w:before="0" w:line="312" w:lineRule="exact"/>
        <w:ind w:left="0" w:right="0" w:firstLine="440"/>
        <w:jc w:val="both"/>
      </w:pPr>
      <w:bookmarkStart w:id="1015" w:name="bookmark1015"/>
      <w:bookmarkEnd w:id="1015"/>
      <w:r>
        <w:rPr>
          <w:color w:val="000000"/>
          <w:spacing w:val="0"/>
          <w:w w:val="100"/>
          <w:position w:val="0"/>
        </w:rPr>
        <w:t>租赁负债</w:t>
      </w:r>
    </w:p>
    <w:p>
      <w:pPr>
        <w:pStyle w:val="Style31"/>
        <w:keepNext w:val="0"/>
        <w:keepLines w:val="0"/>
        <w:widowControl w:val="0"/>
        <w:shd w:val="clear" w:color="auto" w:fill="auto"/>
        <w:bidi w:val="0"/>
        <w:spacing w:before="0" w:after="220" w:line="311" w:lineRule="exact"/>
        <w:ind w:left="0" w:right="0" w:firstLine="440"/>
        <w:jc w:val="both"/>
      </w:pPr>
      <w:r>
        <w:rPr>
          <w:color w:val="000000"/>
          <w:spacing w:val="0"/>
          <w:w w:val="100"/>
          <w:position w:val="0"/>
        </w:rPr>
        <w:t>本集团作为承租人时，租赁负债按照租赁期开始日尚未支付的租赁付款额的现值进行初始计量。在计 量租赁付款额的现值时，本集团对使用的折现率以及存在续租选择权或终止选择权的租赁合同的租赁期进 行估计。在评估租赁期时，本集团综合考虑与本集团行使选择权带来经济利益的所有相关事实和情况，包 括自租赁期开始日至选择权行使日之间的事实和情况的预期变化等。不同的判断及估计可能会影响租赁负 债和使用权资产的确认，并将影响后续期间的损益。</w:t>
      </w:r>
    </w:p>
    <w:p>
      <w:pPr>
        <w:pStyle w:val="Style31"/>
        <w:keepNext w:val="0"/>
        <w:keepLines w:val="0"/>
        <w:widowControl w:val="0"/>
        <w:shd w:val="clear" w:color="auto" w:fill="auto"/>
        <w:bidi w:val="0"/>
        <w:spacing w:before="0" w:line="240" w:lineRule="auto"/>
        <w:ind w:left="0" w:right="0" w:firstLine="0"/>
        <w:jc w:val="left"/>
      </w:pPr>
      <w:bookmarkStart w:id="1016" w:name="bookmark1016"/>
      <w:r>
        <w:rPr>
          <w:color w:val="000000"/>
          <w:spacing w:val="0"/>
          <w:w w:val="100"/>
          <w:position w:val="0"/>
        </w:rPr>
        <w:t>（</w:t>
      </w:r>
      <w:bookmarkEnd w:id="1016"/>
      <w:r>
        <w:rPr>
          <w:rFonts w:ascii="Times New Roman" w:eastAsia="Times New Roman" w:hAnsi="Times New Roman" w:cs="Times New Roman"/>
          <w:color w:val="000000"/>
          <w:spacing w:val="0"/>
          <w:w w:val="100"/>
          <w:position w:val="0"/>
        </w:rPr>
        <w:t>3</w:t>
      </w:r>
      <w:r>
        <w:rPr>
          <w:color w:val="000000"/>
          <w:spacing w:val="0"/>
          <w:w w:val="100"/>
          <w:position w:val="0"/>
        </w:rPr>
        <w:t>）金融资产减值</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本集团采用预期信用损失模型对金融工具的减值进行评估，应用预期信用损失模型需要做出重大判断 和估计，需考虑所有合理且有依据的信息，包括前瞻性信息。在做出该等判断和估计时，本集团根据历史 数据结合经济政策、宏观经济指标、行业风险、外部市场环境、技术环境、客户情况的变化等因素推断债 务人信用风险的预期变动。</w:t>
      </w:r>
    </w:p>
    <w:p>
      <w:pPr>
        <w:pStyle w:val="Style31"/>
        <w:keepNext w:val="0"/>
        <w:keepLines w:val="0"/>
        <w:widowControl w:val="0"/>
        <w:shd w:val="clear" w:color="auto" w:fill="auto"/>
        <w:tabs>
          <w:tab w:pos="444" w:val="left"/>
        </w:tabs>
        <w:bidi w:val="0"/>
        <w:spacing w:before="0" w:line="312" w:lineRule="exact"/>
        <w:ind w:left="0" w:right="0" w:firstLine="0"/>
        <w:jc w:val="left"/>
      </w:pPr>
      <w:bookmarkStart w:id="1017" w:name="bookmark1017"/>
      <w:r>
        <w:rPr>
          <w:color w:val="000000"/>
          <w:spacing w:val="0"/>
          <w:w w:val="100"/>
          <w:position w:val="0"/>
        </w:rPr>
        <w:t>（</w:t>
      </w:r>
      <w:bookmarkEnd w:id="1017"/>
      <w:r>
        <w:rPr>
          <w:rFonts w:ascii="Times New Roman" w:eastAsia="Times New Roman" w:hAnsi="Times New Roman" w:cs="Times New Roman"/>
          <w:color w:val="000000"/>
          <w:spacing w:val="0"/>
          <w:w w:val="100"/>
          <w:position w:val="0"/>
        </w:rPr>
        <w:t>4</w:t>
      </w:r>
      <w:r>
        <w:rPr>
          <w:color w:val="000000"/>
          <w:spacing w:val="0"/>
          <w:w w:val="100"/>
          <w:position w:val="0"/>
        </w:rPr>
        <w:t>）</w:t>
        <w:tab/>
        <w:t>存货跌价准备</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本集团根据存货会计政策，按照成本与可变现净值孰低计量，对成本高于可变现净值及陈旧和滞销的 存货，计提存货跌价准备。存货减值至可变现净值是基于评估存货的可售性及其可变现净值。鉴定存货减 值要求管理层在取得确凿证据，并且考虑持有存货的目的、资产负债表日后事项的影响等因素的基础上作 出判断和估计。实际的结果与原先估计的差异将在估计被改变的期间影响存货的账面价值及存货跌价准备 的计提或转回。</w:t>
      </w:r>
    </w:p>
    <w:p>
      <w:pPr>
        <w:pStyle w:val="Style31"/>
        <w:keepNext w:val="0"/>
        <w:keepLines w:val="0"/>
        <w:widowControl w:val="0"/>
        <w:shd w:val="clear" w:color="auto" w:fill="auto"/>
        <w:tabs>
          <w:tab w:pos="444" w:val="left"/>
        </w:tabs>
        <w:bidi w:val="0"/>
        <w:spacing w:before="0" w:line="312" w:lineRule="exact"/>
        <w:ind w:left="0" w:right="0" w:firstLine="0"/>
        <w:jc w:val="left"/>
      </w:pPr>
      <w:bookmarkStart w:id="1018" w:name="bookmark1018"/>
      <w:r>
        <w:rPr>
          <w:color w:val="000000"/>
          <w:spacing w:val="0"/>
          <w:w w:val="100"/>
          <w:position w:val="0"/>
        </w:rPr>
        <w:t>（</w:t>
      </w:r>
      <w:bookmarkEnd w:id="1018"/>
      <w:r>
        <w:rPr>
          <w:rFonts w:ascii="Times New Roman" w:eastAsia="Times New Roman" w:hAnsi="Times New Roman" w:cs="Times New Roman"/>
          <w:color w:val="000000"/>
          <w:spacing w:val="0"/>
          <w:w w:val="100"/>
          <w:position w:val="0"/>
        </w:rPr>
        <w:t>5</w:t>
      </w:r>
      <w:r>
        <w:rPr>
          <w:color w:val="000000"/>
          <w:spacing w:val="0"/>
          <w:w w:val="100"/>
          <w:position w:val="0"/>
        </w:rPr>
        <w:t>）</w:t>
        <w:tab/>
        <w:t>金融工具公允价值</w:t>
      </w:r>
    </w:p>
    <w:p>
      <w:pPr>
        <w:pStyle w:val="Style31"/>
        <w:keepNext w:val="0"/>
        <w:keepLines w:val="0"/>
        <w:widowControl w:val="0"/>
        <w:shd w:val="clear" w:color="auto" w:fill="auto"/>
        <w:bidi w:val="0"/>
        <w:spacing w:before="0" w:line="314" w:lineRule="exact"/>
        <w:ind w:left="0" w:right="0" w:firstLine="440"/>
        <w:jc w:val="both"/>
      </w:pPr>
      <w:r>
        <w:rPr>
          <w:color w:val="000000"/>
          <w:spacing w:val="0"/>
          <w:w w:val="100"/>
          <w:position w:val="0"/>
        </w:rPr>
        <w:t>对不存在活跃交易市场的金融工具，本集团通过各种估值方法确定其公允价值。这些估值方法包括贴 现现金流模型分析等。估值时本集团需对未来现金流量、信用风险、市场波动率和相关性等方面进行估计， 并选择适当的折现率。这些相关假设具有不确定性，其变化会对金融工具的公允价值产生影响。权益工具 投资或合同有公开报价的，本集团不将成本作为其公允价值的最佳估计。</w:t>
      </w:r>
    </w:p>
    <w:p>
      <w:pPr>
        <w:pStyle w:val="Style31"/>
        <w:keepNext w:val="0"/>
        <w:keepLines w:val="0"/>
        <w:widowControl w:val="0"/>
        <w:shd w:val="clear" w:color="auto" w:fill="auto"/>
        <w:tabs>
          <w:tab w:pos="444" w:val="left"/>
        </w:tabs>
        <w:bidi w:val="0"/>
        <w:spacing w:before="0" w:line="312" w:lineRule="exact"/>
        <w:ind w:left="0" w:right="0" w:firstLine="0"/>
        <w:jc w:val="left"/>
      </w:pPr>
      <w:bookmarkStart w:id="1019" w:name="bookmark1019"/>
      <w:r>
        <w:rPr>
          <w:color w:val="000000"/>
          <w:spacing w:val="0"/>
          <w:w w:val="100"/>
          <w:position w:val="0"/>
        </w:rPr>
        <w:t>（</w:t>
      </w:r>
      <w:bookmarkEnd w:id="1019"/>
      <w:r>
        <w:rPr>
          <w:rFonts w:ascii="Times New Roman" w:eastAsia="Times New Roman" w:hAnsi="Times New Roman" w:cs="Times New Roman"/>
          <w:color w:val="000000"/>
          <w:spacing w:val="0"/>
          <w:w w:val="100"/>
          <w:position w:val="0"/>
        </w:rPr>
        <w:t>6</w:t>
      </w:r>
      <w:r>
        <w:rPr>
          <w:color w:val="000000"/>
          <w:spacing w:val="0"/>
          <w:w w:val="100"/>
          <w:position w:val="0"/>
        </w:rPr>
        <w:t>）</w:t>
        <w:tab/>
        <w:t>长期资产减值准备</w:t>
      </w:r>
    </w:p>
    <w:p>
      <w:pPr>
        <w:pStyle w:val="Style31"/>
        <w:keepNext w:val="0"/>
        <w:keepLines w:val="0"/>
        <w:widowControl w:val="0"/>
        <w:shd w:val="clear" w:color="auto" w:fill="auto"/>
        <w:bidi w:val="0"/>
        <w:spacing w:before="0" w:line="310" w:lineRule="exact"/>
        <w:ind w:left="0" w:right="0" w:firstLine="440"/>
        <w:jc w:val="both"/>
      </w:pPr>
      <w:r>
        <w:rPr>
          <w:color w:val="000000"/>
          <w:spacing w:val="0"/>
          <w:w w:val="100"/>
          <w:position w:val="0"/>
        </w:rPr>
        <w:t>本集团于资产负债表日对除金融资产之外的非流动资产判断是否存在可能发生减值的迹象。对使用寿 命不确定的无形资产，除每年进行的减值测试外，当其存在减值迹象时，也进行减值测试。其他除金融资 产之外的非流动资产，当存在迹象表明其账面金额不可收回时，进行减值测试。</w:t>
      </w:r>
    </w:p>
    <w:p>
      <w:pPr>
        <w:pStyle w:val="Style31"/>
        <w:keepNext w:val="0"/>
        <w:keepLines w:val="0"/>
        <w:widowControl w:val="0"/>
        <w:shd w:val="clear" w:color="auto" w:fill="auto"/>
        <w:bidi w:val="0"/>
        <w:spacing w:before="0" w:line="307" w:lineRule="exact"/>
        <w:ind w:left="0" w:right="0" w:firstLine="440"/>
        <w:jc w:val="both"/>
      </w:pPr>
      <w:r>
        <w:rPr>
          <w:color w:val="000000"/>
          <w:spacing w:val="0"/>
          <w:w w:val="100"/>
          <w:position w:val="0"/>
        </w:rPr>
        <w:t>当资产或资产组的账面价值高于可收回金额，即公允价值减去处置费用后的净额和预计未来现金流量 的现值中的较高者，表明发生了减值。</w:t>
      </w:r>
    </w:p>
    <w:p>
      <w:pPr>
        <w:pStyle w:val="Style31"/>
        <w:keepNext w:val="0"/>
        <w:keepLines w:val="0"/>
        <w:widowControl w:val="0"/>
        <w:shd w:val="clear" w:color="auto" w:fill="auto"/>
        <w:bidi w:val="0"/>
        <w:spacing w:before="0" w:line="302" w:lineRule="exact"/>
        <w:ind w:left="0" w:right="0" w:firstLine="440"/>
        <w:jc w:val="both"/>
      </w:pPr>
      <w:r>
        <w:rPr>
          <w:color w:val="000000"/>
          <w:spacing w:val="0"/>
          <w:w w:val="100"/>
          <w:position w:val="0"/>
        </w:rPr>
        <w:t>公允价值减去处置费用后的净额，参考公平交易中类似资产的销售协议价格或可观察到的市场价格， 减去可直接归属于该资产处置的增量成本确定。</w:t>
      </w:r>
    </w:p>
    <w:p>
      <w:pPr>
        <w:pStyle w:val="Style31"/>
        <w:keepNext w:val="0"/>
        <w:keepLines w:val="0"/>
        <w:widowControl w:val="0"/>
        <w:shd w:val="clear" w:color="auto" w:fill="auto"/>
        <w:bidi w:val="0"/>
        <w:spacing w:before="0" w:line="310" w:lineRule="exact"/>
        <w:ind w:left="0" w:right="0" w:firstLine="440"/>
        <w:jc w:val="both"/>
      </w:pPr>
      <w:r>
        <w:rPr>
          <w:color w:val="000000"/>
          <w:spacing w:val="0"/>
          <w:w w:val="100"/>
          <w:position w:val="0"/>
        </w:rPr>
        <w:t>在预计未来现金流量现值时，需要对该资产（或资产组）的产量、售价、相关经营成本以及计算现值 时使用的折现率等作出重大判断。本集团在估计可收回金额时会采用所有能够获得的相关资料，包括根据 合理和可支持的假设所作出有关产量、售价和相关经营成本的预测。</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本集团至少每年测试商誉是否发生减值。这要求对分配了商誉的资产组或者资产组组合的未来现金流 量的现值进行预计。对未来现金流量的现值进行预计时，本集团需要预计未来资产组或者资产组组合产生 的现金流量，同时选择恰当的折现率确定未来现金流量的现值。</w:t>
      </w:r>
    </w:p>
    <w:p>
      <w:pPr>
        <w:pStyle w:val="Style31"/>
        <w:keepNext w:val="0"/>
        <w:keepLines w:val="0"/>
        <w:widowControl w:val="0"/>
        <w:shd w:val="clear" w:color="auto" w:fill="auto"/>
        <w:tabs>
          <w:tab w:pos="444" w:val="left"/>
        </w:tabs>
        <w:bidi w:val="0"/>
        <w:spacing w:before="0" w:line="312" w:lineRule="exact"/>
        <w:ind w:left="0" w:right="0" w:firstLine="0"/>
        <w:jc w:val="left"/>
      </w:pPr>
      <w:bookmarkStart w:id="1020" w:name="bookmark1020"/>
      <w:r>
        <w:rPr>
          <w:color w:val="000000"/>
          <w:spacing w:val="0"/>
          <w:w w:val="100"/>
          <w:position w:val="0"/>
        </w:rPr>
        <w:t>（</w:t>
      </w:r>
      <w:bookmarkEnd w:id="1020"/>
      <w:r>
        <w:rPr>
          <w:rFonts w:ascii="Times New Roman" w:eastAsia="Times New Roman" w:hAnsi="Times New Roman" w:cs="Times New Roman"/>
          <w:color w:val="000000"/>
          <w:spacing w:val="0"/>
          <w:w w:val="100"/>
          <w:position w:val="0"/>
        </w:rPr>
        <w:t>7</w:t>
      </w:r>
      <w:r>
        <w:rPr>
          <w:color w:val="000000"/>
          <w:spacing w:val="0"/>
          <w:w w:val="100"/>
          <w:position w:val="0"/>
        </w:rPr>
        <w:t>）</w:t>
        <w:tab/>
        <w:t>折旧和摊销</w:t>
      </w:r>
    </w:p>
    <w:p>
      <w:pPr>
        <w:pStyle w:val="Style31"/>
        <w:keepNext w:val="0"/>
        <w:keepLines w:val="0"/>
        <w:widowControl w:val="0"/>
        <w:shd w:val="clear" w:color="auto" w:fill="auto"/>
        <w:bidi w:val="0"/>
        <w:spacing w:before="0" w:line="310" w:lineRule="exact"/>
        <w:ind w:left="0" w:right="0" w:firstLine="440"/>
        <w:jc w:val="both"/>
      </w:pPr>
      <w:r>
        <w:rPr>
          <w:color w:val="000000"/>
          <w:spacing w:val="0"/>
          <w:w w:val="100"/>
          <w:position w:val="0"/>
        </w:rPr>
        <w:t>本集团对投资性房地产、固定资产和无形资产在考虑其残值后，在使用寿命内按直线法计提折旧和摊 销。本集团定期复核使用寿命，以决定将计入每个报告期的折旧和摊销费用数额。使用寿命是本集团根据 对同类资产的以往经验并结合预期的技术更新而确定的。如果以前的估计发生重大变化，则会在未来期间 对折旧和摊销费用进行调整。</w:t>
      </w:r>
    </w:p>
    <w:p>
      <w:pPr>
        <w:pStyle w:val="Style31"/>
        <w:keepNext w:val="0"/>
        <w:keepLines w:val="0"/>
        <w:widowControl w:val="0"/>
        <w:shd w:val="clear" w:color="auto" w:fill="auto"/>
        <w:tabs>
          <w:tab w:pos="444" w:val="left"/>
        </w:tabs>
        <w:bidi w:val="0"/>
        <w:spacing w:before="0" w:line="312" w:lineRule="exact"/>
        <w:ind w:left="0" w:right="0" w:firstLine="0"/>
        <w:jc w:val="left"/>
      </w:pPr>
      <w:bookmarkStart w:id="1021" w:name="bookmark1021"/>
      <w:r>
        <w:rPr>
          <w:color w:val="000000"/>
          <w:spacing w:val="0"/>
          <w:w w:val="100"/>
          <w:position w:val="0"/>
        </w:rPr>
        <w:t>（</w:t>
      </w:r>
      <w:bookmarkEnd w:id="1021"/>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 xml:space="preserve">在很有可能有足够的应纳税利润来抵扣亏损的限度内，本集团就所有未利用的税务亏损确认递延所得 税资产。这需要本集团管理层运用大量的判断来估计未来应纳税利润发生的时间和金额，结合纳税筹划策 </w:t>
      </w:r>
      <w:r>
        <w:rPr>
          <w:color w:val="000000"/>
          <w:spacing w:val="0"/>
          <w:w w:val="100"/>
          <w:position w:val="0"/>
        </w:rPr>
        <w:t>略，以决定应确认的递延所得税资产的金额。</w:t>
      </w:r>
    </w:p>
    <w:p>
      <w:pPr>
        <w:pStyle w:val="Style31"/>
        <w:keepNext w:val="0"/>
        <w:keepLines w:val="0"/>
        <w:widowControl w:val="0"/>
        <w:shd w:val="clear" w:color="auto" w:fill="auto"/>
        <w:tabs>
          <w:tab w:pos="488" w:val="left"/>
        </w:tabs>
        <w:bidi w:val="0"/>
        <w:spacing w:before="0" w:line="312" w:lineRule="exact"/>
        <w:ind w:left="0" w:right="0" w:firstLine="0"/>
        <w:jc w:val="left"/>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rPr>
        <w:t>9</w:t>
      </w:r>
      <w:r>
        <w:rPr>
          <w:color w:val="000000"/>
          <w:spacing w:val="0"/>
          <w:w w:val="100"/>
          <w:position w:val="0"/>
        </w:rPr>
        <w:t>）</w:t>
        <w:tab/>
        <w:t>所得税</w:t>
      </w:r>
    </w:p>
    <w:p>
      <w:pPr>
        <w:pStyle w:val="Style31"/>
        <w:keepNext w:val="0"/>
        <w:keepLines w:val="0"/>
        <w:widowControl w:val="0"/>
        <w:shd w:val="clear" w:color="auto" w:fill="auto"/>
        <w:bidi w:val="0"/>
        <w:spacing w:before="0" w:line="314" w:lineRule="exact"/>
        <w:ind w:left="0" w:right="0" w:firstLine="440"/>
        <w:jc w:val="both"/>
      </w:pPr>
      <w:r>
        <w:rPr>
          <w:color w:val="000000"/>
          <w:spacing w:val="0"/>
          <w:w w:val="100"/>
          <w:position w:val="0"/>
        </w:rPr>
        <w:t>本集团在正常的经营活动中，有部分交易其最终的税务处理和计算存在一定的不确定性。部分项目是 否能够在税前列支需要税收主管机关的审批。如果这些税务事项的最终认定结果同最初估计的金额存在差 异，则该差异将对其最终认定期间的当期所得税和递延所得税产生影响。</w:t>
      </w:r>
    </w:p>
    <w:p>
      <w:pPr>
        <w:pStyle w:val="Style31"/>
        <w:keepNext w:val="0"/>
        <w:keepLines w:val="0"/>
        <w:widowControl w:val="0"/>
        <w:shd w:val="clear" w:color="auto" w:fill="auto"/>
        <w:tabs>
          <w:tab w:pos="594" w:val="left"/>
        </w:tabs>
        <w:bidi w:val="0"/>
        <w:spacing w:before="0" w:line="312" w:lineRule="exact"/>
        <w:ind w:left="0" w:right="0" w:firstLine="0"/>
        <w:jc w:val="left"/>
      </w:pPr>
      <w:bookmarkStart w:id="1023" w:name="bookmark1023"/>
      <w:r>
        <w:rPr>
          <w:color w:val="000000"/>
          <w:spacing w:val="0"/>
          <w:w w:val="100"/>
          <w:position w:val="0"/>
        </w:rPr>
        <w:t>（</w:t>
      </w:r>
      <w:bookmarkEnd w:id="1023"/>
      <w:r>
        <w:rPr>
          <w:rFonts w:ascii="Times New Roman" w:eastAsia="Times New Roman" w:hAnsi="Times New Roman" w:cs="Times New Roman"/>
          <w:color w:val="000000"/>
          <w:spacing w:val="0"/>
          <w:w w:val="100"/>
          <w:position w:val="0"/>
        </w:rPr>
        <w:t>10</w:t>
      </w:r>
      <w:r>
        <w:rPr>
          <w:color w:val="000000"/>
          <w:spacing w:val="0"/>
          <w:w w:val="100"/>
          <w:position w:val="0"/>
        </w:rPr>
        <w:t>）</w:t>
        <w:tab/>
        <w:t>公允价值计量</w:t>
      </w:r>
    </w:p>
    <w:p>
      <w:pPr>
        <w:pStyle w:val="Style31"/>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本集团的某些资产和负债在财务报表中按公允价值计量。在对某项资产或负债的公允价值作出估计 时，本集团采用可获得的可观察市场数据。如果无法获得第一层次输入值，本集团会聘用第三方有资质的 评估师来执行估价。估价委员会与有资质的外部估价师紧密合作，以确定适当的估值技术和相关模型的输 入值。首席财务官每季度向本集团董事会呈报估价委员会的发现，以说明导致相关资产和负债的公允价值 发生波动的原因。在确定各类资产和负债的公允价值的过程中所采用的估值技术和输入值的相关信息在本 节十一、“公允价值的披露”中披露。</w:t>
      </w:r>
    </w:p>
    <w:p>
      <w:pPr>
        <w:pStyle w:val="Style25"/>
        <w:keepNext/>
        <w:keepLines/>
        <w:widowControl w:val="0"/>
        <w:shd w:val="clear" w:color="auto" w:fill="auto"/>
        <w:bidi w:val="0"/>
        <w:spacing w:before="0" w:after="340" w:line="240" w:lineRule="auto"/>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rPr>
        <w:t>六</w:t>
      </w:r>
      <w:bookmarkEnd w:id="1026"/>
      <w:r>
        <w:rPr>
          <w:color w:val="000000"/>
          <w:spacing w:val="0"/>
          <w:w w:val="100"/>
          <w:position w:val="0"/>
        </w:rPr>
        <w:t>、税项</w:t>
      </w:r>
      <w:bookmarkEnd w:id="1024"/>
      <w:bookmarkEnd w:id="1025"/>
      <w:bookmarkEnd w:id="1027"/>
    </w:p>
    <w:p>
      <w:pPr>
        <w:pStyle w:val="Style28"/>
        <w:keepNext/>
        <w:keepLines/>
        <w:widowControl w:val="0"/>
        <w:shd w:val="clear" w:color="auto" w:fill="auto"/>
        <w:bidi w:val="0"/>
        <w:spacing w:before="0" w:after="340" w:line="240" w:lineRule="auto"/>
        <w:ind w:left="0" w:right="0" w:firstLine="0"/>
        <w:jc w:val="left"/>
      </w:pPr>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28"/>
      <w:bookmarkEnd w:id="1029"/>
      <w:bookmarkEnd w:id="1030"/>
    </w:p>
    <w:tbl>
      <w:tblPr>
        <w:tblOverlap w:val="never"/>
        <w:jc w:val="center"/>
        <w:tblLayout w:type="fixed"/>
      </w:tblPr>
      <w:tblGrid>
        <w:gridCol w:w="2021"/>
        <w:gridCol w:w="5525"/>
        <w:gridCol w:w="216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应税收入按适用的税率计算销项税，并按扣除当期允许抵扣的进项税 额后的差额计缴增值税。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按实际缴纳的流转税计缴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城镇土地使用税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按取得使用权的土地面积计缴。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平方米</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从价计征，按房产原值一次减除</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后的余值</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r>
    </w:tbl>
    <w:p>
      <w:pPr>
        <w:widowControl w:val="0"/>
        <w:spacing w:after="59" w:line="1" w:lineRule="exact"/>
      </w:pPr>
    </w:p>
    <w:p>
      <w:pPr>
        <w:widowControl w:val="0"/>
        <w:spacing w:line="1" w:lineRule="exact"/>
      </w:pPr>
    </w:p>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存在不同企业所得税税率纳税主体的，披露情况说明</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深圳市互联精英信息技术有限公司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天亿马（香港）信息产业有限公司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重庆天亿马信息技术有限公司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天亿马信息技术有限公司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广东天亿马信息科技有限公司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0"/>
        <w:jc w:val="left"/>
      </w:pPr>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31"/>
      <w:bookmarkEnd w:id="1032"/>
      <w:bookmarkEnd w:id="1033"/>
    </w:p>
    <w:p>
      <w:pPr>
        <w:pStyle w:val="Style31"/>
        <w:keepNext w:val="0"/>
        <w:keepLines w:val="0"/>
        <w:widowControl w:val="0"/>
        <w:shd w:val="clear" w:color="auto" w:fill="auto"/>
        <w:bidi w:val="0"/>
        <w:spacing w:before="0" w:line="240" w:lineRule="auto"/>
        <w:ind w:left="0" w:right="0" w:firstLine="440"/>
        <w:jc w:val="both"/>
      </w:pPr>
      <w:r>
        <w:rPr>
          <w:color w:val="000000"/>
          <w:spacing w:val="0"/>
          <w:w w:val="100"/>
          <w:position w:val="0"/>
        </w:rPr>
        <w:t>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 xml:space="preserve">日取得广东省科学技术厅、广东省财政厅、国家税务总局广东省税务局联合下 </w:t>
      </w:r>
      <w:r>
        <w:rPr>
          <w:color w:val="000000"/>
          <w:spacing w:val="0"/>
          <w:w w:val="100"/>
          <w:position w:val="0"/>
        </w:rPr>
        <w:t>发的编号</w:t>
      </w:r>
      <w:r>
        <w:rPr>
          <w:rFonts w:ascii="Times New Roman" w:eastAsia="Times New Roman" w:hAnsi="Times New Roman" w:cs="Times New Roman"/>
          <w:color w:val="000000"/>
          <w:spacing w:val="0"/>
          <w:w w:val="100"/>
          <w:position w:val="0"/>
        </w:rPr>
        <w:t>GR202044003772</w:t>
      </w:r>
      <w:r>
        <w:rPr>
          <w:color w:val="000000"/>
          <w:spacing w:val="0"/>
          <w:w w:val="100"/>
          <w:position w:val="0"/>
        </w:rPr>
        <w:t>的高新技术企业证书，证书有效期为三年</w:t>
      </w:r>
      <w:r>
        <w:rPr>
          <w:color w:val="000000"/>
          <w:spacing w:val="0"/>
          <w:w w:val="100"/>
          <w:position w:val="0"/>
        </w:rPr>
        <w:t>（</w:t>
      </w:r>
      <w:r>
        <w:rPr>
          <w:rFonts w:ascii="Times New Roman" w:eastAsia="Times New Roman" w:hAnsi="Times New Roman" w:cs="Times New Roman"/>
          <w:color w:val="000000"/>
          <w:spacing w:val="0"/>
          <w:w w:val="100"/>
          <w:position w:val="0"/>
        </w:rPr>
        <w:t>2020—2022</w:t>
      </w:r>
      <w:r>
        <w:rPr>
          <w:color w:val="000000"/>
          <w:spacing w:val="0"/>
          <w:w w:val="100"/>
          <w:position w:val="0"/>
        </w:rPr>
        <w:t>年）。根据企业所得税法 第二十八条规定：“国家需要重点扶持的高新技术企业，减按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年度至 </w:t>
      </w:r>
      <w:r>
        <w:rPr>
          <w:rFonts w:ascii="Times New Roman" w:eastAsia="Times New Roman" w:hAnsi="Times New Roman" w:cs="Times New Roman"/>
          <w:color w:val="000000"/>
          <w:spacing w:val="0"/>
          <w:w w:val="100"/>
          <w:position w:val="0"/>
        </w:rPr>
        <w:t>2022</w:t>
      </w:r>
      <w:r>
        <w:rPr>
          <w:color w:val="000000"/>
          <w:spacing w:val="0"/>
          <w:w w:val="100"/>
          <w:position w:val="0"/>
        </w:rPr>
        <w:t>年度，本公司适用</w:t>
      </w:r>
      <w:r>
        <w:rPr>
          <w:rFonts w:ascii="Times New Roman" w:eastAsia="Times New Roman" w:hAnsi="Times New Roman" w:cs="Times New Roman"/>
          <w:color w:val="000000"/>
          <w:spacing w:val="0"/>
          <w:w w:val="100"/>
          <w:position w:val="0"/>
        </w:rPr>
        <w:t>15%</w:t>
      </w:r>
      <w:r>
        <w:rPr>
          <w:color w:val="000000"/>
          <w:spacing w:val="0"/>
          <w:w w:val="100"/>
          <w:position w:val="0"/>
        </w:rPr>
        <w:t>的企业所得税税率。</w:t>
      </w:r>
    </w:p>
    <w:p>
      <w:pPr>
        <w:pStyle w:val="Style31"/>
        <w:keepNext w:val="0"/>
        <w:keepLines w:val="0"/>
        <w:widowControl w:val="0"/>
        <w:shd w:val="clear" w:color="auto" w:fill="auto"/>
        <w:bidi w:val="0"/>
        <w:spacing w:before="0" w:line="314" w:lineRule="exact"/>
        <w:ind w:left="0" w:right="0" w:firstLine="440"/>
        <w:jc w:val="both"/>
      </w:pPr>
      <w:r>
        <w:rPr>
          <w:color w:val="000000"/>
          <w:spacing w:val="0"/>
          <w:w w:val="100"/>
          <w:position w:val="0"/>
        </w:rPr>
        <w:t>子公司深圳市互联精英信息技术有限公司（以下简称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互联精英</w:t>
      </w:r>
      <w:r>
        <w:rPr>
          <w:rFonts w:ascii="Times New Roman" w:eastAsia="Times New Roman" w:hAnsi="Times New Roman" w:cs="Times New Roman"/>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日取得深圳市科技创 新委员会、深圳市财政局、国家税务总局深圳市税务局联合下发的编号</w:t>
      </w:r>
      <w:r>
        <w:rPr>
          <w:rFonts w:ascii="Times New Roman" w:eastAsia="Times New Roman" w:hAnsi="Times New Roman" w:cs="Times New Roman"/>
          <w:color w:val="000000"/>
          <w:spacing w:val="0"/>
          <w:w w:val="100"/>
          <w:position w:val="0"/>
        </w:rPr>
        <w:t>GR201944204127</w:t>
      </w:r>
      <w:r>
        <w:rPr>
          <w:color w:val="000000"/>
          <w:spacing w:val="0"/>
          <w:w w:val="100"/>
          <w:position w:val="0"/>
        </w:rPr>
        <w:t>的高新技术企业证 书，证书有效期为三年</w:t>
      </w:r>
      <w:r>
        <w:rPr>
          <w:color w:val="000000"/>
          <w:spacing w:val="0"/>
          <w:w w:val="100"/>
          <w:position w:val="0"/>
        </w:rPr>
        <w:t>（</w:t>
      </w:r>
      <w:r>
        <w:rPr>
          <w:rFonts w:ascii="Times New Roman" w:eastAsia="Times New Roman" w:hAnsi="Times New Roman" w:cs="Times New Roman"/>
          <w:color w:val="000000"/>
          <w:spacing w:val="0"/>
          <w:w w:val="100"/>
          <w:position w:val="0"/>
        </w:rPr>
        <w:t>2019—2021</w:t>
      </w:r>
      <w:r>
        <w:rPr>
          <w:color w:val="000000"/>
          <w:spacing w:val="0"/>
          <w:w w:val="100"/>
          <w:position w:val="0"/>
        </w:rPr>
        <w:t>年）。根据企业所得税法第二十八条规定：</w:t>
      </w:r>
      <w:r>
        <w:rPr>
          <w:rFonts w:ascii="Times New Roman" w:eastAsia="Times New Roman" w:hAnsi="Times New Roman" w:cs="Times New Roman"/>
          <w:color w:val="000000"/>
          <w:spacing w:val="0"/>
          <w:w w:val="100"/>
          <w:position w:val="0"/>
        </w:rPr>
        <w:t>“</w:t>
      </w:r>
      <w:r>
        <w:rPr>
          <w:color w:val="000000"/>
          <w:spacing w:val="0"/>
          <w:w w:val="100"/>
          <w:position w:val="0"/>
        </w:rPr>
        <w:t>国家需要重点扶持的高 新技术企业，减按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年度至</w:t>
      </w:r>
      <w:r>
        <w:rPr>
          <w:rFonts w:ascii="Times New Roman" w:eastAsia="Times New Roman" w:hAnsi="Times New Roman" w:cs="Times New Roman"/>
          <w:color w:val="000000"/>
          <w:spacing w:val="0"/>
          <w:w w:val="100"/>
          <w:position w:val="0"/>
        </w:rPr>
        <w:t>2021</w:t>
      </w:r>
      <w:r>
        <w:rPr>
          <w:color w:val="000000"/>
          <w:spacing w:val="0"/>
          <w:w w:val="100"/>
          <w:position w:val="0"/>
        </w:rPr>
        <w:t>年度，互联精英适用</w:t>
      </w:r>
      <w:r>
        <w:rPr>
          <w:rFonts w:ascii="Times New Roman" w:eastAsia="Times New Roman" w:hAnsi="Times New Roman" w:cs="Times New Roman"/>
          <w:color w:val="000000"/>
          <w:spacing w:val="0"/>
          <w:w w:val="100"/>
          <w:position w:val="0"/>
        </w:rPr>
        <w:t>15%</w:t>
      </w:r>
      <w:r>
        <w:rPr>
          <w:color w:val="000000"/>
          <w:spacing w:val="0"/>
          <w:w w:val="100"/>
          <w:position w:val="0"/>
        </w:rPr>
        <w:t>的企业所得税税 率。</w:t>
      </w:r>
    </w:p>
    <w:p>
      <w:pPr>
        <w:pStyle w:val="Style31"/>
        <w:keepNext w:val="0"/>
        <w:keepLines w:val="0"/>
        <w:widowControl w:val="0"/>
        <w:shd w:val="clear" w:color="auto" w:fill="auto"/>
        <w:bidi w:val="0"/>
        <w:spacing w:before="0" w:line="314" w:lineRule="exact"/>
        <w:ind w:left="0" w:right="0" w:firstLine="440"/>
        <w:jc w:val="both"/>
      </w:pPr>
      <w:r>
        <w:rPr>
          <w:color w:val="000000"/>
          <w:spacing w:val="0"/>
          <w:w w:val="100"/>
          <w:position w:val="0"/>
        </w:rPr>
        <w:t>根据《财政部、税务总局关于实施小微企业普惠性税收减免政策的通知》（财税</w:t>
      </w:r>
      <w:r>
        <w:rPr>
          <w:rFonts w:ascii="Times New Roman" w:eastAsia="Times New Roman" w:hAnsi="Times New Roman" w:cs="Times New Roman"/>
          <w:color w:val="000000"/>
          <w:spacing w:val="0"/>
          <w:w w:val="100"/>
          <w:position w:val="0"/>
        </w:rPr>
        <w:t>[2019]13</w:t>
      </w:r>
      <w:r>
        <w:rPr>
          <w:color w:val="000000"/>
          <w:spacing w:val="0"/>
          <w:w w:val="100"/>
          <w:position w:val="0"/>
        </w:rPr>
        <w:t>号），对小 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 得税；对年应纳税所得额超过</w:t>
      </w:r>
      <w:r>
        <w:rPr>
          <w:rFonts w:ascii="Times New Roman" w:eastAsia="Times New Roman" w:hAnsi="Times New Roman" w:cs="Times New Roman"/>
          <w:color w:val="000000"/>
          <w:spacing w:val="0"/>
          <w:w w:val="100"/>
          <w:position w:val="0"/>
        </w:rPr>
        <w:t>10 0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 率缴纳企业所得税。</w:t>
      </w:r>
    </w:p>
    <w:p>
      <w:pPr>
        <w:pStyle w:val="Style31"/>
        <w:keepNext w:val="0"/>
        <w:keepLines w:val="0"/>
        <w:widowControl w:val="0"/>
        <w:shd w:val="clear" w:color="auto" w:fill="auto"/>
        <w:bidi w:val="0"/>
        <w:spacing w:before="0" w:line="309" w:lineRule="exact"/>
        <w:ind w:left="0" w:right="0" w:firstLine="440"/>
        <w:jc w:val="both"/>
      </w:pPr>
      <w:r>
        <w:rPr>
          <w:color w:val="000000"/>
          <w:spacing w:val="0"/>
          <w:w w:val="100"/>
          <w:position w:val="0"/>
        </w:rPr>
        <w:t>根据《财政部、税务总局关于实施小微企业和个体工商户所得税优惠政策的公告》（财政部税务总局 公告</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12</w:t>
      </w:r>
      <w:r>
        <w:rPr>
          <w:color w:val="000000"/>
          <w:spacing w:val="0"/>
          <w:w w:val="100"/>
          <w:position w:val="0"/>
        </w:rPr>
        <w:t>号），对小型微利企业应纳税所得额不超过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万元的部分，在《财政部、税务总局关于 实施小微企业普惠性税收减免政策的通知》（财税</w:t>
      </w:r>
      <w:r>
        <w:rPr>
          <w:rFonts w:ascii="Times New Roman" w:eastAsia="Times New Roman" w:hAnsi="Times New Roman" w:cs="Times New Roman"/>
          <w:color w:val="000000"/>
          <w:spacing w:val="0"/>
          <w:w w:val="100"/>
          <w:position w:val="0"/>
        </w:rPr>
        <w:t>[2019]13</w:t>
      </w:r>
      <w:r>
        <w:rPr>
          <w:color w:val="000000"/>
          <w:spacing w:val="0"/>
          <w:w w:val="100"/>
          <w:position w:val="0"/>
        </w:rPr>
        <w:t>号）规定的优惠政策基础上，再减半征收企业 所得税。</w:t>
      </w:r>
      <w:r>
        <w:rPr>
          <w:rFonts w:ascii="Times New Roman" w:eastAsia="Times New Roman" w:hAnsi="Times New Roman" w:cs="Times New Roman"/>
          <w:color w:val="000000"/>
          <w:spacing w:val="0"/>
          <w:w w:val="100"/>
          <w:position w:val="0"/>
        </w:rPr>
        <w:t>2021</w:t>
      </w:r>
      <w:r>
        <w:rPr>
          <w:color w:val="000000"/>
          <w:spacing w:val="0"/>
          <w:w w:val="100"/>
          <w:position w:val="0"/>
        </w:rPr>
        <w:t>年广东天亿马信息科技有限公司（以下简称“天亿马科技”）适用小微企业税务优惠。</w:t>
      </w:r>
    </w:p>
    <w:p>
      <w:pPr>
        <w:pStyle w:val="Style31"/>
        <w:keepNext w:val="0"/>
        <w:keepLines w:val="0"/>
        <w:widowControl w:val="0"/>
        <w:shd w:val="clear" w:color="auto" w:fill="auto"/>
        <w:bidi w:val="0"/>
        <w:spacing w:before="0" w:line="314" w:lineRule="exact"/>
        <w:ind w:left="0" w:right="0" w:firstLine="440"/>
        <w:jc w:val="both"/>
      </w:pPr>
      <w:r>
        <w:rPr>
          <w:color w:val="000000"/>
          <w:spacing w:val="0"/>
          <w:w w:val="100"/>
          <w:position w:val="0"/>
        </w:rPr>
        <w:t>子公司天亿马（香港）信息产业有限公司（以下简称“香港天亿马”）依照香港立法局颁布的《税务 条例》，依据课税年度的应纳税所得额按</w:t>
      </w:r>
      <w:r>
        <w:rPr>
          <w:rFonts w:ascii="Times New Roman" w:eastAsia="Times New Roman" w:hAnsi="Times New Roman" w:cs="Times New Roman"/>
          <w:color w:val="000000"/>
          <w:spacing w:val="0"/>
          <w:w w:val="100"/>
          <w:position w:val="0"/>
        </w:rPr>
        <w:t>16.5%</w:t>
      </w:r>
      <w:r>
        <w:rPr>
          <w:color w:val="000000"/>
          <w:spacing w:val="0"/>
          <w:w w:val="100"/>
          <w:position w:val="0"/>
        </w:rPr>
        <w:t>的税率缴纳利得税。于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日及之后的税务年度采 用“两级税制”，不超过</w:t>
      </w:r>
      <w:r>
        <w:rPr>
          <w:rFonts w:ascii="Times New Roman" w:eastAsia="Times New Roman" w:hAnsi="Times New Roman" w:cs="Times New Roman"/>
          <w:color w:val="000000"/>
          <w:spacing w:val="0"/>
          <w:w w:val="100"/>
          <w:position w:val="0"/>
        </w:rPr>
        <w:t>200</w:t>
      </w:r>
      <w:r>
        <w:rPr>
          <w:color w:val="000000"/>
          <w:spacing w:val="0"/>
          <w:w w:val="100"/>
          <w:position w:val="0"/>
        </w:rPr>
        <w:t>万港币的应评税利润适用</w:t>
      </w:r>
      <w:r>
        <w:rPr>
          <w:rFonts w:ascii="Times New Roman" w:eastAsia="Times New Roman" w:hAnsi="Times New Roman" w:cs="Times New Roman"/>
          <w:color w:val="000000"/>
          <w:spacing w:val="0"/>
          <w:w w:val="100"/>
          <w:position w:val="0"/>
        </w:rPr>
        <w:t>8.25%</w:t>
      </w:r>
      <w:r>
        <w:rPr>
          <w:color w:val="000000"/>
          <w:spacing w:val="0"/>
          <w:w w:val="100"/>
          <w:position w:val="0"/>
        </w:rPr>
        <w:t>税率，超过</w:t>
      </w:r>
      <w:r>
        <w:rPr>
          <w:rFonts w:ascii="Times New Roman" w:eastAsia="Times New Roman" w:hAnsi="Times New Roman" w:cs="Times New Roman"/>
          <w:color w:val="000000"/>
          <w:spacing w:val="0"/>
          <w:w w:val="100"/>
          <w:position w:val="0"/>
        </w:rPr>
        <w:t>200</w:t>
      </w:r>
      <w:r>
        <w:rPr>
          <w:color w:val="000000"/>
          <w:spacing w:val="0"/>
          <w:w w:val="100"/>
          <w:position w:val="0"/>
        </w:rPr>
        <w:t>万港币的应评税利润适用</w:t>
      </w:r>
      <w:r>
        <w:rPr>
          <w:rFonts w:ascii="Times New Roman" w:eastAsia="Times New Roman" w:hAnsi="Times New Roman" w:cs="Times New Roman"/>
          <w:color w:val="000000"/>
          <w:spacing w:val="0"/>
          <w:w w:val="100"/>
          <w:position w:val="0"/>
        </w:rPr>
        <w:t xml:space="preserve">16.5% </w:t>
      </w:r>
      <w:r>
        <w:rPr>
          <w:color w:val="000000"/>
          <w:spacing w:val="0"/>
          <w:w w:val="100"/>
          <w:position w:val="0"/>
        </w:rPr>
        <w:t>税率。</w:t>
      </w:r>
    </w:p>
    <w:p>
      <w:pPr>
        <w:pStyle w:val="Style31"/>
        <w:keepNext w:val="0"/>
        <w:keepLines w:val="0"/>
        <w:widowControl w:val="0"/>
        <w:shd w:val="clear" w:color="auto" w:fill="auto"/>
        <w:bidi w:val="0"/>
        <w:spacing w:before="0" w:line="314" w:lineRule="exact"/>
        <w:ind w:left="0" w:right="0" w:firstLine="440"/>
        <w:jc w:val="both"/>
      </w:pPr>
      <w:r>
        <w:rPr>
          <w:color w:val="000000"/>
          <w:spacing w:val="0"/>
          <w:w w:val="100"/>
          <w:position w:val="0"/>
        </w:rPr>
        <w:t>本集团从事现代服务</w:t>
      </w:r>
      <w:r>
        <w:rPr>
          <w:color w:val="000000"/>
          <w:spacing w:val="0"/>
          <w:w w:val="100"/>
          <w:position w:val="0"/>
        </w:rPr>
        <w:t>一</w:t>
      </w:r>
      <w:r>
        <w:rPr>
          <w:color w:val="000000"/>
          <w:spacing w:val="0"/>
          <w:w w:val="100"/>
          <w:position w:val="0"/>
        </w:rPr>
        <w:t>信息技术服务取得的收入适用</w:t>
      </w:r>
      <w:r>
        <w:rPr>
          <w:rFonts w:ascii="Times New Roman" w:eastAsia="Times New Roman" w:hAnsi="Times New Roman" w:cs="Times New Roman"/>
          <w:color w:val="000000"/>
          <w:spacing w:val="0"/>
          <w:w w:val="100"/>
          <w:position w:val="0"/>
        </w:rPr>
        <w:t>6%</w:t>
      </w:r>
      <w:r>
        <w:rPr>
          <w:color w:val="000000"/>
          <w:spacing w:val="0"/>
          <w:w w:val="100"/>
          <w:position w:val="0"/>
        </w:rPr>
        <w:t>税率。</w:t>
      </w:r>
    </w:p>
    <w:p>
      <w:pPr>
        <w:pStyle w:val="Style31"/>
        <w:keepNext w:val="0"/>
        <w:keepLines w:val="0"/>
        <w:widowControl w:val="0"/>
        <w:shd w:val="clear" w:color="auto" w:fill="auto"/>
        <w:bidi w:val="0"/>
        <w:spacing w:before="0" w:line="317" w:lineRule="exact"/>
        <w:ind w:left="0" w:right="0" w:firstLine="440"/>
        <w:jc w:val="both"/>
      </w:pPr>
      <w:r>
        <w:rPr>
          <w:color w:val="000000"/>
          <w:spacing w:val="0"/>
          <w:w w:val="100"/>
          <w:position w:val="0"/>
        </w:rPr>
        <w:t>根据《财政部、国家税务总局关于软件产品增值税政策的通知》（财税</w:t>
      </w:r>
      <w:r>
        <w:rPr>
          <w:rFonts w:ascii="Times New Roman" w:eastAsia="Times New Roman" w:hAnsi="Times New Roman" w:cs="Times New Roman"/>
          <w:color w:val="000000"/>
          <w:spacing w:val="0"/>
          <w:w w:val="100"/>
          <w:position w:val="0"/>
        </w:rPr>
        <w:t>[2011]100</w:t>
      </w:r>
      <w:r>
        <w:rPr>
          <w:color w:val="000000"/>
          <w:spacing w:val="0"/>
          <w:w w:val="100"/>
          <w:position w:val="0"/>
        </w:rPr>
        <w:t>号），本集团受托开 发软件产品，著作权属于委托方或属于双方共同拥有的不征收增值税；对经过国家版权局注册登记，纳税 人在销售时一并转让著作权、所有权的，不征收增值税。</w:t>
      </w:r>
    </w:p>
    <w:p>
      <w:pPr>
        <w:pStyle w:val="Style31"/>
        <w:keepNext w:val="0"/>
        <w:keepLines w:val="0"/>
        <w:widowControl w:val="0"/>
        <w:shd w:val="clear" w:color="auto" w:fill="auto"/>
        <w:bidi w:val="0"/>
        <w:spacing w:before="0" w:after="300" w:line="322" w:lineRule="exact"/>
        <w:ind w:left="0" w:right="0" w:firstLine="440"/>
        <w:jc w:val="both"/>
      </w:pPr>
      <w:r>
        <w:rPr>
          <w:color w:val="000000"/>
          <w:spacing w:val="0"/>
          <w:w w:val="100"/>
          <w:position w:val="0"/>
        </w:rPr>
        <w:t>根据《财政部、国家税务总局关于全面推开营业税改征增值税试点的通知》（财税</w:t>
      </w:r>
      <w:r>
        <w:rPr>
          <w:rFonts w:ascii="Times New Roman" w:eastAsia="Times New Roman" w:hAnsi="Times New Roman" w:cs="Times New Roman"/>
          <w:color w:val="000000"/>
          <w:spacing w:val="0"/>
          <w:w w:val="100"/>
          <w:position w:val="0"/>
        </w:rPr>
        <w:t>[2016]36</w:t>
      </w:r>
      <w:r>
        <w:rPr>
          <w:color w:val="000000"/>
          <w:spacing w:val="0"/>
          <w:w w:val="100"/>
          <w:position w:val="0"/>
        </w:rPr>
        <w:t>号），本 集团提供技术转让、技术开发和与之相关的技术咨询、技术服务免征增值税。</w:t>
      </w:r>
    </w:p>
    <w:p>
      <w:pPr>
        <w:pStyle w:val="Style28"/>
        <w:keepNext/>
        <w:keepLines/>
        <w:widowControl w:val="0"/>
        <w:shd w:val="clear" w:color="auto" w:fill="auto"/>
        <w:bidi w:val="0"/>
        <w:spacing w:before="0" w:after="300" w:line="314" w:lineRule="exact"/>
        <w:ind w:left="0" w:right="0" w:firstLine="0"/>
        <w:jc w:val="both"/>
      </w:pPr>
      <w:bookmarkStart w:id="1034" w:name="bookmark1034"/>
      <w:bookmarkStart w:id="1035" w:name="bookmark1035"/>
      <w:bookmarkStart w:id="1036" w:name="bookmark1036"/>
      <w:bookmarkStart w:id="1037" w:name="bookmark1037"/>
      <w:r>
        <w:rPr>
          <w:rFonts w:ascii="Times New Roman" w:eastAsia="Times New Roman" w:hAnsi="Times New Roman" w:cs="Times New Roman"/>
          <w:color w:val="000000"/>
          <w:spacing w:val="0"/>
          <w:w w:val="100"/>
          <w:position w:val="0"/>
        </w:rPr>
        <w:t>3</w:t>
      </w:r>
      <w:bookmarkEnd w:id="1036"/>
      <w:r>
        <w:rPr>
          <w:color w:val="000000"/>
          <w:spacing w:val="0"/>
          <w:w w:val="100"/>
          <w:position w:val="0"/>
        </w:rPr>
        <w:t>、其他</w:t>
      </w:r>
      <w:bookmarkEnd w:id="1034"/>
      <w:bookmarkEnd w:id="1035"/>
      <w:bookmarkEnd w:id="1037"/>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根据《中华人民共和国企业所得税法》第三十条第（一）项“开发新技术、新产品、新工艺发生的研 究开发费用”加计扣除、《中华人民共和国企业所得税法实施条例》第九十五条、《财政部、国家税务总 局、科技部关于提高研究开发费用税前加计扣除比例的通知》（财税</w:t>
      </w:r>
      <w:r>
        <w:rPr>
          <w:rFonts w:ascii="Times New Roman" w:eastAsia="Times New Roman" w:hAnsi="Times New Roman" w:cs="Times New Roman"/>
          <w:color w:val="000000"/>
          <w:spacing w:val="0"/>
          <w:w w:val="100"/>
          <w:position w:val="0"/>
        </w:rPr>
        <w:t>[2018]99</w:t>
      </w:r>
      <w:r>
        <w:rPr>
          <w:color w:val="000000"/>
          <w:spacing w:val="0"/>
          <w:w w:val="100"/>
          <w:position w:val="0"/>
        </w:rPr>
        <w:t>号），</w:t>
      </w:r>
      <w:r>
        <w:rPr>
          <w:rFonts w:ascii="Times New Roman" w:eastAsia="Times New Roman" w:hAnsi="Times New Roman" w:cs="Times New Roman"/>
          <w:color w:val="000000"/>
          <w:spacing w:val="0"/>
          <w:w w:val="100"/>
          <w:position w:val="0"/>
        </w:rPr>
        <w:t>2021</w:t>
      </w:r>
      <w:r>
        <w:rPr>
          <w:color w:val="000000"/>
          <w:spacing w:val="0"/>
          <w:w w:val="100"/>
          <w:position w:val="0"/>
        </w:rPr>
        <w:t>年本集团研究开 发费在据实扣除的基础上，按研究开发费的</w:t>
      </w:r>
      <w:r>
        <w:rPr>
          <w:rFonts w:ascii="Times New Roman" w:eastAsia="Times New Roman" w:hAnsi="Times New Roman" w:cs="Times New Roman"/>
          <w:color w:val="000000"/>
          <w:spacing w:val="0"/>
          <w:w w:val="100"/>
          <w:position w:val="0"/>
        </w:rPr>
        <w:t>75%</w:t>
      </w:r>
      <w:r>
        <w:rPr>
          <w:color w:val="000000"/>
          <w:spacing w:val="0"/>
          <w:w w:val="100"/>
          <w:position w:val="0"/>
        </w:rPr>
        <w:t>加计扣除。</w:t>
      </w:r>
    </w:p>
    <w:p>
      <w:pPr>
        <w:pStyle w:val="Style31"/>
        <w:keepNext w:val="0"/>
        <w:keepLines w:val="0"/>
        <w:widowControl w:val="0"/>
        <w:shd w:val="clear" w:color="auto" w:fill="auto"/>
        <w:bidi w:val="0"/>
        <w:spacing w:before="0" w:after="380" w:line="302" w:lineRule="exact"/>
        <w:ind w:left="0" w:right="0" w:firstLine="440"/>
        <w:jc w:val="both"/>
      </w:pPr>
      <w:r>
        <w:rPr>
          <w:color w:val="000000"/>
          <w:spacing w:val="0"/>
          <w:w w:val="100"/>
          <w:position w:val="0"/>
        </w:rPr>
        <w:t>根据《财政部、国家税务总局关于软件产品增值税政策的通知》（财税</w:t>
      </w:r>
      <w:r>
        <w:rPr>
          <w:rFonts w:ascii="Times New Roman" w:eastAsia="Times New Roman" w:hAnsi="Times New Roman" w:cs="Times New Roman"/>
          <w:color w:val="000000"/>
          <w:spacing w:val="0"/>
          <w:w w:val="100"/>
          <w:position w:val="0"/>
        </w:rPr>
        <w:t>[2011]100</w:t>
      </w:r>
      <w:r>
        <w:rPr>
          <w:color w:val="000000"/>
          <w:spacing w:val="0"/>
          <w:w w:val="100"/>
          <w:position w:val="0"/>
        </w:rPr>
        <w:t>号），本公司和互联 精英享受软件产品增值税税负超过</w:t>
      </w:r>
      <w:r>
        <w:rPr>
          <w:rFonts w:ascii="Times New Roman" w:eastAsia="Times New Roman" w:hAnsi="Times New Roman" w:cs="Times New Roman"/>
          <w:color w:val="000000"/>
          <w:spacing w:val="0"/>
          <w:w w:val="100"/>
          <w:position w:val="0"/>
        </w:rPr>
        <w:t>3%</w:t>
      </w:r>
      <w:r>
        <w:rPr>
          <w:color w:val="000000"/>
          <w:spacing w:val="0"/>
          <w:w w:val="100"/>
          <w:position w:val="0"/>
        </w:rPr>
        <w:t>即征即退的税务优惠。</w:t>
      </w:r>
    </w:p>
    <w:p>
      <w:pPr>
        <w:pStyle w:val="Style25"/>
        <w:keepNext/>
        <w:keepLines/>
        <w:widowControl w:val="0"/>
        <w:shd w:val="clear" w:color="auto" w:fill="auto"/>
        <w:bidi w:val="0"/>
        <w:spacing w:before="0" w:after="300" w:line="240" w:lineRule="auto"/>
        <w:ind w:left="0" w:right="0" w:firstLine="0"/>
        <w:jc w:val="both"/>
      </w:pPr>
      <w:bookmarkStart w:id="1038" w:name="bookmark1038"/>
      <w:bookmarkStart w:id="1039" w:name="bookmark1039"/>
      <w:bookmarkStart w:id="1040" w:name="bookmark1040"/>
      <w:bookmarkStart w:id="1041" w:name="bookmark1041"/>
      <w:r>
        <w:rPr>
          <w:color w:val="000000"/>
          <w:spacing w:val="0"/>
          <w:w w:val="100"/>
          <w:position w:val="0"/>
        </w:rPr>
        <w:t>七</w:t>
      </w:r>
      <w:bookmarkEnd w:id="1040"/>
      <w:r>
        <w:rPr>
          <w:color w:val="000000"/>
          <w:spacing w:val="0"/>
          <w:w w:val="100"/>
          <w:position w:val="0"/>
        </w:rPr>
        <w:t>、合并财务报表项目注释</w:t>
      </w:r>
      <w:bookmarkEnd w:id="1038"/>
      <w:bookmarkEnd w:id="1039"/>
      <w:bookmarkEnd w:id="1041"/>
    </w:p>
    <w:p>
      <w:pPr>
        <w:pStyle w:val="Style28"/>
        <w:keepNext/>
        <w:keepLines/>
        <w:widowControl w:val="0"/>
        <w:shd w:val="clear" w:color="auto" w:fill="auto"/>
        <w:bidi w:val="0"/>
        <w:spacing w:before="0" w:after="380" w:line="314" w:lineRule="exact"/>
        <w:ind w:left="0" w:right="0" w:firstLine="0"/>
        <w:jc w:val="both"/>
      </w:pPr>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42"/>
      <w:bookmarkEnd w:id="1043"/>
      <w:bookmarkEnd w:id="1044"/>
    </w:p>
    <w:p>
      <w:pPr>
        <w:pStyle w:val="Style21"/>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650,360,227.47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174,972,861.63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2,914,252.85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7,789,026.18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653,298,458.22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182,800,994.31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763,324.79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795,724.55</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59" w:line="1" w:lineRule="exact"/>
      </w:pPr>
    </w:p>
    <w:p>
      <w:pPr>
        <w:pStyle w:val="Style31"/>
        <w:keepNext w:val="0"/>
        <w:keepLines w:val="0"/>
        <w:widowControl w:val="0"/>
        <w:numPr>
          <w:ilvl w:val="0"/>
          <w:numId w:val="151"/>
        </w:numPr>
        <w:shd w:val="clear" w:color="auto" w:fill="auto"/>
        <w:tabs>
          <w:tab w:pos="814" w:val="left"/>
        </w:tabs>
        <w:bidi w:val="0"/>
        <w:spacing w:before="0" w:after="160" w:line="293" w:lineRule="exact"/>
        <w:ind w:left="0" w:right="0" w:firstLine="440"/>
        <w:jc w:val="both"/>
      </w:pPr>
      <w:bookmarkStart w:id="1045" w:name="bookmark1045"/>
      <w:bookmarkEnd w:id="1045"/>
      <w:r>
        <w:rPr>
          <w:color w:val="000000"/>
          <w:spacing w:val="0"/>
          <w:w w:val="100"/>
          <w:position w:val="0"/>
        </w:rPr>
        <w:t>以上注释项目（含公司财务报表主要项目注释）除非特别指出，“年初”指</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日，“年 末”指</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日，“上年年末”指</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日，“本年”指</w:t>
      </w:r>
      <w:r>
        <w:rPr>
          <w:rFonts w:ascii="Times New Roman" w:eastAsia="Times New Roman" w:hAnsi="Times New Roman" w:cs="Times New Roman"/>
          <w:color w:val="000000"/>
          <w:spacing w:val="0"/>
          <w:w w:val="100"/>
          <w:position w:val="0"/>
        </w:rPr>
        <w:t>2021</w:t>
      </w:r>
      <w:r>
        <w:rPr>
          <w:color w:val="000000"/>
          <w:spacing w:val="0"/>
          <w:w w:val="100"/>
          <w:position w:val="0"/>
        </w:rPr>
        <w:t>年度，“上年”指</w:t>
      </w:r>
      <w:r>
        <w:rPr>
          <w:rFonts w:ascii="Times New Roman" w:eastAsia="Times New Roman" w:hAnsi="Times New Roman" w:cs="Times New Roman"/>
          <w:color w:val="000000"/>
          <w:spacing w:val="0"/>
          <w:w w:val="100"/>
          <w:position w:val="0"/>
        </w:rPr>
        <w:t>2020</w:t>
      </w:r>
      <w:r>
        <w:rPr>
          <w:color w:val="000000"/>
          <w:spacing w:val="0"/>
          <w:w w:val="100"/>
          <w:position w:val="0"/>
        </w:rPr>
        <w:t>年度。</w:t>
      </w:r>
    </w:p>
    <w:p>
      <w:pPr>
        <w:pStyle w:val="Style31"/>
        <w:keepNext w:val="0"/>
        <w:keepLines w:val="0"/>
        <w:widowControl w:val="0"/>
        <w:numPr>
          <w:ilvl w:val="0"/>
          <w:numId w:val="151"/>
        </w:numPr>
        <w:shd w:val="clear" w:color="auto" w:fill="auto"/>
        <w:tabs>
          <w:tab w:pos="805" w:val="left"/>
        </w:tabs>
        <w:bidi w:val="0"/>
        <w:spacing w:before="0" w:after="380" w:line="322" w:lineRule="exact"/>
        <w:ind w:left="0" w:right="0" w:firstLine="440"/>
        <w:jc w:val="both"/>
      </w:pPr>
      <w:bookmarkStart w:id="1046" w:name="bookmark1046"/>
      <w:bookmarkEnd w:id="1046"/>
      <w:r>
        <w:rPr>
          <w:color w:val="000000"/>
          <w:spacing w:val="0"/>
          <w:w w:val="100"/>
          <w:position w:val="0"/>
        </w:rPr>
        <w:t>因抵押、质押或冻结等对使用有限制的货币资金详见本节七、</w:t>
      </w:r>
      <w:r>
        <w:rPr>
          <w:rFonts w:ascii="Times New Roman" w:eastAsia="Times New Roman" w:hAnsi="Times New Roman" w:cs="Times New Roman"/>
          <w:color w:val="000000"/>
          <w:spacing w:val="0"/>
          <w:w w:val="100"/>
          <w:position w:val="0"/>
        </w:rPr>
        <w:t>49</w:t>
      </w:r>
      <w:r>
        <w:rPr>
          <w:color w:val="000000"/>
          <w:spacing w:val="0"/>
          <w:w w:val="100"/>
          <w:position w:val="0"/>
        </w:rPr>
        <w:t>、“所有权和使用权受到限制的 资产”。</w:t>
      </w:r>
    </w:p>
    <w:p>
      <w:pPr>
        <w:pStyle w:val="Style28"/>
        <w:keepNext/>
        <w:keepLines/>
        <w:widowControl w:val="0"/>
        <w:shd w:val="clear" w:color="auto" w:fill="auto"/>
        <w:bidi w:val="0"/>
        <w:spacing w:before="0" w:after="220" w:line="322" w:lineRule="auto"/>
        <w:ind w:left="0" w:right="0" w:firstLine="0"/>
        <w:jc w:val="left"/>
      </w:pPr>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047"/>
      <w:bookmarkEnd w:id="1048"/>
      <w:bookmarkEnd w:id="1049"/>
    </w:p>
    <w:p>
      <w:pPr>
        <w:pStyle w:val="Style35"/>
        <w:keepNext/>
        <w:keepLines/>
        <w:widowControl w:val="0"/>
        <w:shd w:val="clear" w:color="auto" w:fill="auto"/>
        <w:bidi w:val="0"/>
        <w:spacing w:before="0" w:after="380" w:line="307" w:lineRule="exact"/>
        <w:ind w:left="0" w:right="0" w:firstLine="0"/>
        <w:jc w:val="left"/>
      </w:pPr>
      <w:bookmarkStart w:id="1050" w:name="bookmark1050"/>
      <w:bookmarkStart w:id="1051" w:name="bookmark1051"/>
      <w:bookmarkStart w:id="1052" w:name="bookmark1052"/>
      <w:bookmarkStart w:id="1053" w:name="bookmark1053"/>
      <w:r>
        <w:rPr>
          <w:color w:val="000000"/>
          <w:spacing w:val="0"/>
          <w:w w:val="100"/>
          <w:position w:val="0"/>
        </w:rPr>
        <w:t>（</w:t>
      </w:r>
      <w:bookmarkEnd w:id="1052"/>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50"/>
      <w:bookmarkEnd w:id="1051"/>
      <w:bookmarkEnd w:id="1053"/>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109,930.00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104,433.50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869"/>
        <w:gridCol w:w="754"/>
        <w:gridCol w:w="754"/>
        <w:gridCol w:w="754"/>
        <w:gridCol w:w="864"/>
        <w:gridCol w:w="773"/>
        <w:gridCol w:w="792"/>
        <w:gridCol w:w="922"/>
        <w:gridCol w:w="792"/>
        <w:gridCol w:w="797"/>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104,433.50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应收票据组合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应收票据组合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104,433.50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109,930.00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-5,496.50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104,433.50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160" w:line="312" w:lineRule="exact"/>
        <w:ind w:left="0" w:right="0" w:firstLine="0"/>
        <w:jc w:val="both"/>
      </w:pPr>
      <w:r>
        <w:rPr>
          <w:color w:val="000000"/>
          <w:spacing w:val="0"/>
          <w:w w:val="100"/>
          <w:position w:val="0"/>
        </w:rPr>
        <w:t>确定该组合依据的说明：</w:t>
      </w:r>
    </w:p>
    <w:p>
      <w:pPr>
        <w:pStyle w:val="Style31"/>
        <w:keepNext w:val="0"/>
        <w:keepLines w:val="0"/>
        <w:widowControl w:val="0"/>
        <w:shd w:val="clear" w:color="auto" w:fill="auto"/>
        <w:bidi w:val="0"/>
        <w:spacing w:before="0" w:after="160" w:line="312" w:lineRule="exact"/>
        <w:ind w:left="0" w:right="0" w:firstLine="0"/>
        <w:jc w:val="both"/>
      </w:pPr>
      <w:r>
        <w:rPr>
          <w:color w:val="000000"/>
          <w:spacing w:val="0"/>
          <w:w w:val="100"/>
          <w:position w:val="0"/>
        </w:rPr>
        <w:t>如是按照预期信用损失一般模型计提应收票据坏账准备，请参照其他应收款的披露方式披露坏账准备的相 关信息：</w:t>
      </w:r>
      <w:r>
        <w:br w:type="page"/>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1054" w:name="bookmark1054"/>
      <w:bookmarkStart w:id="1055" w:name="bookmark1055"/>
      <w:bookmarkStart w:id="1056" w:name="bookmark1056"/>
      <w:bookmarkStart w:id="1057" w:name="bookmark1057"/>
      <w:r>
        <w:rPr>
          <w:color w:val="000000"/>
          <w:spacing w:val="0"/>
          <w:w w:val="100"/>
          <w:position w:val="0"/>
        </w:rPr>
        <w:t>（</w:t>
      </w:r>
      <w:bookmarkEnd w:id="105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54"/>
      <w:bookmarkEnd w:id="1055"/>
      <w:bookmarkEnd w:id="1057"/>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5,496.50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5,496.50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5,496.50</w:t>
            </w:r>
          </w:p>
        </w:tc>
      </w:tr>
    </w:tbl>
    <w:p>
      <w:pPr>
        <w:widowControl w:val="0"/>
        <w:spacing w:after="139" w:line="1" w:lineRule="exact"/>
      </w:pP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其中本期坏账准备收回或转回金额重要的：</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35"/>
        <w:keepNext/>
        <w:keepLines/>
        <w:widowControl w:val="0"/>
        <w:shd w:val="clear" w:color="auto" w:fill="auto"/>
        <w:bidi w:val="0"/>
        <w:spacing w:before="0" w:after="360" w:line="240" w:lineRule="auto"/>
        <w:ind w:left="0" w:right="0" w:firstLine="0"/>
        <w:jc w:val="left"/>
      </w:pPr>
      <w:bookmarkStart w:id="1058" w:name="bookmark1058"/>
      <w:bookmarkStart w:id="1059" w:name="bookmark1059"/>
      <w:bookmarkStart w:id="1060" w:name="bookmark1060"/>
      <w:bookmarkStart w:id="1061" w:name="bookmark1061"/>
      <w:r>
        <w:rPr>
          <w:color w:val="000000"/>
          <w:spacing w:val="0"/>
          <w:w w:val="100"/>
          <w:position w:val="0"/>
        </w:rPr>
        <w:t>（</w:t>
      </w:r>
      <w:bookmarkEnd w:id="106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）本期实际核销的应收票据情况</w:t>
      </w:r>
      <w:bookmarkEnd w:id="1058"/>
      <w:bookmarkEnd w:id="1059"/>
      <w:bookmarkEnd w:id="1061"/>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应收票据核销说明：</w:t>
      </w:r>
    </w:p>
    <w:p>
      <w:pPr>
        <w:pStyle w:val="Style31"/>
        <w:keepNext w:val="0"/>
        <w:keepLines w:val="0"/>
        <w:widowControl w:val="0"/>
        <w:numPr>
          <w:ilvl w:val="0"/>
          <w:numId w:val="153"/>
        </w:numPr>
        <w:shd w:val="clear" w:color="auto" w:fill="auto"/>
        <w:tabs>
          <w:tab w:pos="832" w:val="left"/>
        </w:tabs>
        <w:bidi w:val="0"/>
        <w:spacing w:before="0" w:after="240" w:line="240" w:lineRule="auto"/>
        <w:ind w:left="0" w:right="0" w:firstLine="440"/>
        <w:jc w:val="left"/>
      </w:pPr>
      <w:bookmarkStart w:id="1062" w:name="bookmark1062"/>
      <w:bookmarkEnd w:id="1062"/>
      <w:r>
        <w:rPr>
          <w:color w:val="000000"/>
          <w:spacing w:val="0"/>
          <w:w w:val="100"/>
          <w:position w:val="0"/>
        </w:rPr>
        <w:t>年末无己质押的应收票据；</w:t>
      </w:r>
    </w:p>
    <w:p>
      <w:pPr>
        <w:pStyle w:val="Style31"/>
        <w:keepNext w:val="0"/>
        <w:keepLines w:val="0"/>
        <w:widowControl w:val="0"/>
        <w:numPr>
          <w:ilvl w:val="0"/>
          <w:numId w:val="153"/>
        </w:numPr>
        <w:shd w:val="clear" w:color="auto" w:fill="auto"/>
        <w:tabs>
          <w:tab w:pos="837" w:val="left"/>
        </w:tabs>
        <w:bidi w:val="0"/>
        <w:spacing w:before="0" w:after="240" w:line="240" w:lineRule="auto"/>
        <w:ind w:left="0" w:right="0" w:firstLine="440"/>
        <w:jc w:val="left"/>
      </w:pPr>
      <w:bookmarkStart w:id="1063" w:name="bookmark1063"/>
      <w:bookmarkEnd w:id="1063"/>
      <w:r>
        <w:rPr>
          <w:color w:val="000000"/>
          <w:spacing w:val="0"/>
          <w:w w:val="100"/>
          <w:position w:val="0"/>
        </w:rPr>
        <w:t>年末无己背书或贴现且在资产负债表日尚未到期的应收票据;</w:t>
      </w:r>
    </w:p>
    <w:p>
      <w:pPr>
        <w:pStyle w:val="Style31"/>
        <w:keepNext w:val="0"/>
        <w:keepLines w:val="0"/>
        <w:widowControl w:val="0"/>
        <w:numPr>
          <w:ilvl w:val="0"/>
          <w:numId w:val="153"/>
        </w:numPr>
        <w:shd w:val="clear" w:color="auto" w:fill="auto"/>
        <w:tabs>
          <w:tab w:pos="837" w:val="left"/>
        </w:tabs>
        <w:bidi w:val="0"/>
        <w:spacing w:before="0" w:after="360" w:line="240" w:lineRule="auto"/>
        <w:ind w:left="0" w:right="0" w:firstLine="440"/>
        <w:jc w:val="left"/>
      </w:pPr>
      <w:bookmarkStart w:id="1064" w:name="bookmark1064"/>
      <w:bookmarkEnd w:id="1064"/>
      <w:r>
        <w:rPr>
          <w:color w:val="000000"/>
          <w:spacing w:val="0"/>
          <w:w w:val="100"/>
          <w:position w:val="0"/>
        </w:rPr>
        <w:t>年末无因出票人未履约而将其转应收账款的票据。</w:t>
      </w:r>
    </w:p>
    <w:p>
      <w:pPr>
        <w:pStyle w:val="Style28"/>
        <w:keepNext/>
        <w:keepLines/>
        <w:widowControl w:val="0"/>
        <w:shd w:val="clear" w:color="auto" w:fill="auto"/>
        <w:bidi w:val="0"/>
        <w:spacing w:before="0" w:line="240" w:lineRule="auto"/>
        <w:ind w:left="0" w:right="0" w:firstLine="0"/>
        <w:jc w:val="left"/>
      </w:pPr>
      <w:bookmarkStart w:id="1065" w:name="bookmark1065"/>
      <w:bookmarkStart w:id="1066" w:name="bookmark1066"/>
      <w:bookmarkStart w:id="1067" w:name="bookmark1067"/>
      <w:bookmarkStart w:id="1068" w:name="bookmark1068"/>
      <w:r>
        <w:rPr>
          <w:rFonts w:ascii="Times New Roman" w:eastAsia="Times New Roman" w:hAnsi="Times New Roman" w:cs="Times New Roman"/>
          <w:color w:val="000000"/>
          <w:spacing w:val="0"/>
          <w:w w:val="100"/>
          <w:position w:val="0"/>
        </w:rPr>
        <w:t>3</w:t>
      </w:r>
      <w:bookmarkEnd w:id="1067"/>
      <w:r>
        <w:rPr>
          <w:color w:val="000000"/>
          <w:spacing w:val="0"/>
          <w:w w:val="100"/>
          <w:position w:val="0"/>
        </w:rPr>
        <w:t>、应收账款</w:t>
      </w:r>
      <w:bookmarkEnd w:id="1065"/>
      <w:bookmarkEnd w:id="1066"/>
      <w:bookmarkEnd w:id="1068"/>
    </w:p>
    <w:p>
      <w:pPr>
        <w:pStyle w:val="Style35"/>
        <w:keepNext/>
        <w:keepLines/>
        <w:widowControl w:val="0"/>
        <w:shd w:val="clear" w:color="auto" w:fill="auto"/>
        <w:bidi w:val="0"/>
        <w:spacing w:before="0" w:after="360" w:line="240" w:lineRule="auto"/>
        <w:ind w:left="0" w:right="0" w:firstLine="0"/>
        <w:jc w:val="left"/>
      </w:pPr>
      <w:bookmarkStart w:id="1069" w:name="bookmark1069"/>
      <w:bookmarkStart w:id="1070" w:name="bookmark1070"/>
      <w:bookmarkStart w:id="1071" w:name="bookmark1071"/>
      <w:bookmarkStart w:id="1072" w:name="bookmark1072"/>
      <w:r>
        <w:rPr>
          <w:color w:val="000000"/>
          <w:spacing w:val="0"/>
          <w:w w:val="100"/>
          <w:position w:val="0"/>
        </w:rPr>
        <w:t>（</w:t>
      </w:r>
      <w:bookmarkEnd w:id="1071"/>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69"/>
      <w:bookmarkEnd w:id="1070"/>
      <w:bookmarkEnd w:id="1072"/>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8"/>
        <w:gridCol w:w="1181"/>
        <w:gridCol w:w="566"/>
        <w:gridCol w:w="1090"/>
        <w:gridCol w:w="566"/>
        <w:gridCol w:w="1186"/>
        <w:gridCol w:w="1176"/>
        <w:gridCol w:w="566"/>
        <w:gridCol w:w="1090"/>
        <w:gridCol w:w="566"/>
        <w:gridCol w:w="11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106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righ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计提 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按组 合计 提坏 账准 备的 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205,748,230.24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25,353,883.02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180,394,347.22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130,017,525.69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16,457,122.46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113,560,403.23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38"/>
        <w:gridCol w:w="1181"/>
        <w:gridCol w:w="566"/>
        <w:gridCol w:w="1090"/>
        <w:gridCol w:w="566"/>
        <w:gridCol w:w="1186"/>
        <w:gridCol w:w="1176"/>
        <w:gridCol w:w="566"/>
        <w:gridCol w:w="1090"/>
        <w:gridCol w:w="566"/>
        <w:gridCol w:w="11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10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60" w:line="240" w:lineRule="auto"/>
              <w:ind w:left="0" w:right="0" w:firstLine="0"/>
              <w:jc w:val="righ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计提 比例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账款</w:t>
            </w:r>
          </w:p>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70,682,093.27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7,381,792.25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63,300,301.02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65,109,238.26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5,757,136.66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59,352,101.60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账款</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135,066,136.97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17,972,090.77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117,094,046.20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64,908,287.43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10,699,985.80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54,208,301.63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205,748,230.24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25,353,883.02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180,394,347.22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130,017,525.69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16,457,122.46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113,560,403.23</w:t>
            </w:r>
          </w:p>
        </w:tc>
      </w:tr>
    </w:tbl>
    <w:p>
      <w:pPr>
        <w:widowControl w:val="0"/>
        <w:spacing w:after="199" w:line="1" w:lineRule="exact"/>
      </w:pPr>
    </w:p>
    <w:p>
      <w:pPr>
        <w:pStyle w:val="Style31"/>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按组合计提坏账准备：应收账款组合</w:t>
      </w:r>
      <w:r>
        <w:rPr>
          <w:rFonts w:ascii="Times New Roman" w:eastAsia="Times New Roman" w:hAnsi="Times New Roman" w:cs="Times New Roman"/>
          <w:color w:val="000000"/>
          <w:spacing w:val="0"/>
          <w:w w:val="100"/>
          <w:position w:val="0"/>
        </w:rPr>
        <w:t>1</w:t>
      </w: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47,530,537.01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2,376,526.85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14,161,660.54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1,416,166.06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7,438,793.58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2,231,638.07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288,833.60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144,416.80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246,120.36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196,896.29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1,016,148.18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1,016,148.18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70,682,093.27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7,381,792.25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99" w:line="1" w:lineRule="exact"/>
      </w:pPr>
    </w:p>
    <w:p>
      <w:pPr>
        <w:pStyle w:val="Style31"/>
        <w:keepNext w:val="0"/>
        <w:keepLines w:val="0"/>
        <w:widowControl w:val="0"/>
        <w:shd w:val="clear" w:color="auto" w:fill="auto"/>
        <w:bidi w:val="0"/>
        <w:spacing w:before="0" w:after="200" w:line="240" w:lineRule="auto"/>
        <w:ind w:left="0" w:right="0" w:firstLine="44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按组合计提坏账准备：应收账款组合</w:t>
      </w:r>
      <w:r>
        <w:rPr>
          <w:rFonts w:ascii="Times New Roman" w:eastAsia="Times New Roman" w:hAnsi="Times New Roman" w:cs="Times New Roman"/>
          <w:color w:val="000000"/>
          <w:spacing w:val="0"/>
          <w:w w:val="100"/>
          <w:position w:val="0"/>
        </w:rPr>
        <w:t>2</w:t>
      </w:r>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91,587,714.62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4,579,385.73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18,480,961.91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1,848,096.19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14,829,966.91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4,448,990.07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6,143,749.52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3,071,874.77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1,465,811.53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1,465,811.53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2,557,932.48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2,557,932.48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135,066,136.97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17,972,090.77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line="312" w:lineRule="exact"/>
        <w:ind w:left="0" w:right="0" w:firstLine="0"/>
        <w:jc w:val="both"/>
      </w:pPr>
      <w:r>
        <w:rPr>
          <w:color w:val="000000"/>
          <w:spacing w:val="0"/>
          <w:w w:val="100"/>
          <w:position w:val="0"/>
        </w:rPr>
        <w:t>确定该组合依据的说明：</w:t>
      </w:r>
    </w:p>
    <w:p>
      <w:pPr>
        <w:pStyle w:val="Style31"/>
        <w:keepNext w:val="0"/>
        <w:keepLines w:val="0"/>
        <w:widowControl w:val="0"/>
        <w:numPr>
          <w:ilvl w:val="0"/>
          <w:numId w:val="155"/>
        </w:numPr>
        <w:shd w:val="clear" w:color="auto" w:fill="auto"/>
        <w:tabs>
          <w:tab w:pos="832" w:val="left"/>
        </w:tabs>
        <w:bidi w:val="0"/>
        <w:spacing w:before="0" w:line="312" w:lineRule="exact"/>
        <w:ind w:left="0" w:right="0" w:firstLine="440"/>
        <w:jc w:val="left"/>
      </w:pPr>
      <w:bookmarkStart w:id="1073" w:name="bookmark1073"/>
      <w:bookmarkEnd w:id="1073"/>
      <w:r>
        <w:rPr>
          <w:color w:val="000000"/>
          <w:spacing w:val="0"/>
          <w:w w:val="100"/>
          <w:position w:val="0"/>
        </w:rPr>
        <w:t>确定应收账款组合的依据详见本节五、</w:t>
      </w:r>
      <w:r>
        <w:rPr>
          <w:rFonts w:ascii="Times New Roman" w:eastAsia="Times New Roman" w:hAnsi="Times New Roman" w:cs="Times New Roman"/>
          <w:color w:val="000000"/>
          <w:spacing w:val="0"/>
          <w:w w:val="100"/>
          <w:position w:val="0"/>
        </w:rPr>
        <w:t>11</w:t>
      </w:r>
      <w:r>
        <w:rPr>
          <w:color w:val="000000"/>
          <w:spacing w:val="0"/>
          <w:w w:val="100"/>
          <w:position w:val="0"/>
        </w:rPr>
        <w:t>、“金融资产减值”。</w:t>
      </w:r>
    </w:p>
    <w:p>
      <w:pPr>
        <w:pStyle w:val="Style31"/>
        <w:keepNext w:val="0"/>
        <w:keepLines w:val="0"/>
        <w:widowControl w:val="0"/>
        <w:numPr>
          <w:ilvl w:val="0"/>
          <w:numId w:val="155"/>
        </w:numPr>
        <w:shd w:val="clear" w:color="auto" w:fill="auto"/>
        <w:tabs>
          <w:tab w:pos="837" w:val="left"/>
        </w:tabs>
        <w:bidi w:val="0"/>
        <w:spacing w:before="0" w:line="312" w:lineRule="exact"/>
        <w:ind w:left="0" w:right="0" w:firstLine="440"/>
        <w:jc w:val="left"/>
      </w:pPr>
      <w:bookmarkStart w:id="1074" w:name="bookmark1074"/>
      <w:bookmarkEnd w:id="1074"/>
      <w:r>
        <w:rPr>
          <w:color w:val="000000"/>
          <w:spacing w:val="0"/>
          <w:w w:val="100"/>
          <w:position w:val="0"/>
        </w:rPr>
        <w:t>合同资产</w:t>
      </w:r>
      <w:r>
        <w:rPr>
          <w:rFonts w:ascii="Times New Roman" w:eastAsia="Times New Roman" w:hAnsi="Times New Roman" w:cs="Times New Roman"/>
          <w:color w:val="000000"/>
          <w:spacing w:val="0"/>
          <w:w w:val="100"/>
          <w:position w:val="0"/>
        </w:rPr>
        <w:t>-</w:t>
      </w:r>
      <w:r>
        <w:rPr>
          <w:color w:val="000000"/>
          <w:spacing w:val="0"/>
          <w:w w:val="100"/>
          <w:position w:val="0"/>
        </w:rPr>
        <w:t>质保金在质保期限届满之后转入应收账款核算，其账龄连续计算。</w:t>
      </w:r>
    </w:p>
    <w:p>
      <w:pPr>
        <w:pStyle w:val="Style31"/>
        <w:keepNext w:val="0"/>
        <w:keepLines w:val="0"/>
        <w:widowControl w:val="0"/>
        <w:shd w:val="clear" w:color="auto" w:fill="auto"/>
        <w:bidi w:val="0"/>
        <w:spacing w:before="0" w:after="220" w:line="312" w:lineRule="exact"/>
        <w:ind w:left="0" w:right="0" w:firstLine="0"/>
        <w:jc w:val="both"/>
      </w:pPr>
      <w:r>
        <w:rPr>
          <w:color w:val="000000"/>
          <w:spacing w:val="0"/>
          <w:w w:val="100"/>
          <w:position w:val="0"/>
        </w:rPr>
        <w:t>如是按照预期信用损失一般模型计提应收账款坏账准备，请参照其他应收款的披露方式披露坏账准备的相 关信息：</w:t>
      </w:r>
    </w:p>
    <w:p>
      <w:pPr>
        <w:pStyle w:val="Style31"/>
        <w:keepNext w:val="0"/>
        <w:keepLines w:val="0"/>
        <w:widowControl w:val="0"/>
        <w:shd w:val="clear" w:color="auto" w:fill="auto"/>
        <w:bidi w:val="0"/>
        <w:spacing w:before="0" w:after="60" w:line="326"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val="0"/>
        <w:keepLines w:val="0"/>
        <w:widowControl w:val="0"/>
        <w:shd w:val="clear" w:color="auto" w:fill="auto"/>
        <w:bidi w:val="0"/>
        <w:spacing w:before="0" w:line="312" w:lineRule="exact"/>
        <w:ind w:left="0" w:right="0" w:firstLine="0"/>
        <w:jc w:val="both"/>
      </w:pPr>
      <w:r>
        <w:rPr>
          <w:color w:val="000000"/>
          <w:spacing w:val="0"/>
          <w:w w:val="100"/>
          <w:position w:val="0"/>
        </w:rPr>
        <w:t>按账龄披露</w:t>
      </w:r>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139,118,251.63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32,642,622.45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22,268,760.49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11,718,595.67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6,432,583.12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1,711,931.89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3,574,080.66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205,748,230.24</w:t>
            </w:r>
          </w:p>
        </w:tc>
      </w:tr>
    </w:tbl>
    <w:p>
      <w:pPr>
        <w:widowControl w:val="0"/>
        <w:spacing w:after="339" w:line="1" w:lineRule="exact"/>
      </w:pPr>
    </w:p>
    <w:p>
      <w:pPr>
        <w:pStyle w:val="Style35"/>
        <w:keepNext/>
        <w:keepLines/>
        <w:widowControl w:val="0"/>
        <w:shd w:val="clear" w:color="auto" w:fill="auto"/>
        <w:bidi w:val="0"/>
        <w:spacing w:before="0" w:after="380" w:line="240" w:lineRule="auto"/>
        <w:ind w:left="0" w:right="0" w:firstLine="0"/>
        <w:jc w:val="both"/>
      </w:pPr>
      <w:bookmarkStart w:id="1075" w:name="bookmark1075"/>
      <w:bookmarkStart w:id="1076" w:name="bookmark1076"/>
      <w:bookmarkStart w:id="1077" w:name="bookmark1077"/>
      <w:bookmarkStart w:id="1078" w:name="bookmark1078"/>
      <w:r>
        <w:rPr>
          <w:color w:val="000000"/>
          <w:spacing w:val="0"/>
          <w:w w:val="100"/>
          <w:position w:val="0"/>
        </w:rPr>
        <w:t>（</w:t>
      </w:r>
      <w:bookmarkEnd w:id="107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75"/>
      <w:bookmarkEnd w:id="1076"/>
      <w:bookmarkEnd w:id="1078"/>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本期计提坏账准备情况：</w:t>
      </w:r>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16,457,122.46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8,897,350.72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25,353,883.02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16,457,122.46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8,897,350.72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25,353,883.02</w:t>
            </w:r>
          </w:p>
        </w:tc>
      </w:tr>
    </w:tbl>
    <w:p>
      <w:pPr>
        <w:widowControl w:val="0"/>
        <w:spacing w:after="219" w:line="1" w:lineRule="exact"/>
      </w:pPr>
    </w:p>
    <w:p>
      <w:pPr>
        <w:pStyle w:val="Style31"/>
        <w:keepNext w:val="0"/>
        <w:keepLines w:val="0"/>
        <w:widowControl w:val="0"/>
        <w:shd w:val="clear" w:color="auto" w:fill="auto"/>
        <w:bidi w:val="0"/>
        <w:spacing w:before="0" w:after="340" w:line="240" w:lineRule="auto"/>
        <w:ind w:left="0" w:right="0" w:firstLine="440"/>
        <w:jc w:val="both"/>
      </w:pPr>
      <w:r>
        <w:rPr>
          <w:color w:val="000000"/>
          <w:spacing w:val="0"/>
          <w:w w:val="100"/>
          <w:position w:val="0"/>
        </w:rPr>
        <w:t>注：其他变动系境外子公司汇率折算差异。</w:t>
      </w:r>
    </w:p>
    <w:p>
      <w:pPr>
        <w:pStyle w:val="Style35"/>
        <w:keepNext/>
        <w:keepLines/>
        <w:widowControl w:val="0"/>
        <w:shd w:val="clear" w:color="auto" w:fill="auto"/>
        <w:tabs>
          <w:tab w:pos="493" w:val="left"/>
        </w:tabs>
        <w:bidi w:val="0"/>
        <w:spacing w:before="0" w:after="380" w:line="240" w:lineRule="auto"/>
        <w:ind w:left="0" w:right="0" w:firstLine="0"/>
        <w:jc w:val="both"/>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3</w:t>
      </w:r>
      <w:r>
        <w:rPr>
          <w:color w:val="000000"/>
          <w:spacing w:val="0"/>
          <w:w w:val="100"/>
          <w:position w:val="0"/>
        </w:rPr>
        <w:t>）</w:t>
        <w:tab/>
        <w:t>本年无实际核销的应收账款情况。</w:t>
      </w:r>
      <w:bookmarkEnd w:id="1079"/>
      <w:bookmarkEnd w:id="1080"/>
      <w:bookmarkEnd w:id="1082"/>
    </w:p>
    <w:p>
      <w:pPr>
        <w:pStyle w:val="Style35"/>
        <w:keepNext/>
        <w:keepLines/>
        <w:widowControl w:val="0"/>
        <w:shd w:val="clear" w:color="auto" w:fill="auto"/>
        <w:tabs>
          <w:tab w:pos="493" w:val="left"/>
        </w:tabs>
        <w:bidi w:val="0"/>
        <w:spacing w:before="0" w:after="340" w:line="240" w:lineRule="auto"/>
        <w:ind w:left="0" w:right="0" w:firstLine="0"/>
        <w:jc w:val="both"/>
      </w:pPr>
      <w:bookmarkStart w:id="1083" w:name="bookmark1083"/>
      <w:bookmarkStart w:id="1084" w:name="bookmark1084"/>
      <w:bookmarkStart w:id="1085" w:name="bookmark1085"/>
      <w:bookmarkStart w:id="1086" w:name="bookmark1086"/>
      <w:r>
        <w:rPr>
          <w:color w:val="000000"/>
          <w:spacing w:val="0"/>
          <w:w w:val="100"/>
          <w:position w:val="0"/>
        </w:rPr>
        <w:t>（</w:t>
      </w:r>
      <w:bookmarkEnd w:id="1085"/>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按欠款方归集的年末余额前五名的应收账款情况</w:t>
      </w:r>
      <w:bookmarkEnd w:id="1083"/>
      <w:bookmarkEnd w:id="1084"/>
      <w:bookmarkEnd w:id="1086"/>
    </w:p>
    <w:p>
      <w:pPr>
        <w:pStyle w:val="Style31"/>
        <w:keepNext w:val="0"/>
        <w:keepLines w:val="0"/>
        <w:widowControl w:val="0"/>
        <w:shd w:val="clear" w:color="auto" w:fill="auto"/>
        <w:bidi w:val="0"/>
        <w:spacing w:before="0" w:after="180" w:line="307" w:lineRule="exact"/>
        <w:ind w:left="0" w:right="0" w:firstLine="440"/>
        <w:jc w:val="both"/>
      </w:pPr>
      <w:r>
        <w:rPr>
          <w:color w:val="000000"/>
          <w:spacing w:val="0"/>
          <w:w w:val="100"/>
          <w:position w:val="0"/>
        </w:rPr>
        <w:t>本集团按欠款方归集的年末余额前五名应收账款汇总金额为</w:t>
      </w:r>
      <w:r>
        <w:rPr>
          <w:rFonts w:ascii="Times New Roman" w:eastAsia="Times New Roman" w:hAnsi="Times New Roman" w:cs="Times New Roman"/>
          <w:color w:val="000000"/>
          <w:spacing w:val="0"/>
          <w:w w:val="100"/>
          <w:position w:val="0"/>
        </w:rPr>
        <w:t>92,421,352.06</w:t>
      </w:r>
      <w:r>
        <w:rPr>
          <w:color w:val="000000"/>
          <w:spacing w:val="0"/>
          <w:w w:val="100"/>
          <w:position w:val="0"/>
        </w:rPr>
        <w:t>元，占应收账款年末余额合 计数的比例为</w:t>
      </w:r>
      <w:r>
        <w:rPr>
          <w:rFonts w:ascii="Times New Roman" w:eastAsia="Times New Roman" w:hAnsi="Times New Roman" w:cs="Times New Roman"/>
          <w:color w:val="000000"/>
          <w:spacing w:val="0"/>
          <w:w w:val="100"/>
          <w:position w:val="0"/>
        </w:rPr>
        <w:t>44.92%</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rPr>
        <w:t>7,226,758.35</w:t>
      </w:r>
      <w:r>
        <w:rPr>
          <w:color w:val="000000"/>
          <w:spacing w:val="0"/>
          <w:w w:val="100"/>
          <w:position w:val="0"/>
        </w:rPr>
        <w:t>元。</w:t>
      </w:r>
      <w:r>
        <w:br w:type="page"/>
      </w:r>
    </w:p>
    <w:p>
      <w:pPr>
        <w:pStyle w:val="Style28"/>
        <w:keepNext/>
        <w:keepLines/>
        <w:widowControl w:val="0"/>
        <w:shd w:val="clear" w:color="auto" w:fill="auto"/>
        <w:bidi w:val="0"/>
        <w:spacing w:before="0" w:after="380" w:line="240" w:lineRule="auto"/>
        <w:ind w:left="0" w:right="0" w:firstLine="0"/>
        <w:jc w:val="left"/>
      </w:pPr>
      <w:bookmarkStart w:id="1087" w:name="bookmark1087"/>
      <w:bookmarkStart w:id="1088" w:name="bookmark1088"/>
      <w:bookmarkStart w:id="1089" w:name="bookmark1089"/>
      <w:bookmarkStart w:id="1090" w:name="bookmark1090"/>
      <w:r>
        <w:rPr>
          <w:rFonts w:ascii="Times New Roman" w:eastAsia="Times New Roman" w:hAnsi="Times New Roman" w:cs="Times New Roman"/>
          <w:color w:val="000000"/>
          <w:spacing w:val="0"/>
          <w:w w:val="100"/>
          <w:position w:val="0"/>
        </w:rPr>
        <w:t>4</w:t>
      </w:r>
      <w:bookmarkEnd w:id="1089"/>
      <w:r>
        <w:rPr>
          <w:color w:val="000000"/>
          <w:spacing w:val="0"/>
          <w:w w:val="100"/>
          <w:position w:val="0"/>
        </w:rPr>
        <w:t>、预付款项</w:t>
      </w:r>
      <w:bookmarkEnd w:id="1087"/>
      <w:bookmarkEnd w:id="1088"/>
      <w:bookmarkEnd w:id="1090"/>
    </w:p>
    <w:p>
      <w:pPr>
        <w:pStyle w:val="Style35"/>
        <w:keepNext/>
        <w:keepLines/>
        <w:widowControl w:val="0"/>
        <w:shd w:val="clear" w:color="auto" w:fill="auto"/>
        <w:bidi w:val="0"/>
        <w:spacing w:before="0" w:after="380" w:line="240" w:lineRule="auto"/>
        <w:ind w:left="0" w:right="0" w:firstLine="0"/>
        <w:jc w:val="left"/>
      </w:pPr>
      <w:bookmarkStart w:id="1091" w:name="bookmark1091"/>
      <w:bookmarkStart w:id="1092" w:name="bookmark1092"/>
      <w:bookmarkStart w:id="1093" w:name="bookmark1093"/>
      <w:bookmarkStart w:id="1094" w:name="bookmark1094"/>
      <w:r>
        <w:rPr>
          <w:color w:val="000000"/>
          <w:spacing w:val="0"/>
          <w:w w:val="100"/>
          <w:position w:val="0"/>
        </w:rPr>
        <w:t>（</w:t>
      </w:r>
      <w:bookmarkEnd w:id="109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91"/>
      <w:bookmarkEnd w:id="1092"/>
      <w:bookmarkEnd w:id="1094"/>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11,785,106.52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6,383,960.89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693,796.73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7,353.45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11,887,680.52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7,096,607.16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31"/>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年且金额重要的预付款项未及时结算原因的说明：不适用。</w:t>
      </w:r>
    </w:p>
    <w:p>
      <w:pPr>
        <w:pStyle w:val="Style35"/>
        <w:keepNext/>
        <w:keepLines/>
        <w:widowControl w:val="0"/>
        <w:shd w:val="clear" w:color="auto" w:fill="auto"/>
        <w:bidi w:val="0"/>
        <w:spacing w:before="0" w:after="320" w:line="240" w:lineRule="auto"/>
        <w:ind w:left="0" w:right="0" w:firstLine="0"/>
        <w:jc w:val="left"/>
      </w:pPr>
      <w:bookmarkStart w:id="1095" w:name="bookmark1095"/>
      <w:bookmarkStart w:id="1096" w:name="bookmark1096"/>
      <w:bookmarkStart w:id="1097" w:name="bookmark1097"/>
      <w:bookmarkStart w:id="1098" w:name="bookmark1098"/>
      <w:r>
        <w:rPr>
          <w:color w:val="000000"/>
          <w:spacing w:val="0"/>
          <w:w w:val="100"/>
          <w:position w:val="0"/>
        </w:rPr>
        <w:t>（</w:t>
      </w:r>
      <w:bookmarkEnd w:id="1097"/>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95"/>
      <w:bookmarkEnd w:id="1096"/>
      <w:bookmarkEnd w:id="1098"/>
    </w:p>
    <w:p>
      <w:pPr>
        <w:pStyle w:val="Style31"/>
        <w:keepNext w:val="0"/>
        <w:keepLines w:val="0"/>
        <w:widowControl w:val="0"/>
        <w:shd w:val="clear" w:color="auto" w:fill="auto"/>
        <w:bidi w:val="0"/>
        <w:spacing w:before="0" w:after="320" w:line="312" w:lineRule="exact"/>
        <w:ind w:left="0" w:right="0" w:firstLine="440"/>
        <w:jc w:val="both"/>
      </w:pPr>
      <w:r>
        <w:rPr>
          <w:color w:val="000000"/>
          <w:spacing w:val="0"/>
          <w:w w:val="100"/>
          <w:position w:val="0"/>
        </w:rPr>
        <w:t>本集团按预付对象归集的年末余额前五名预付账款汇总金额为</w:t>
      </w:r>
      <w:r>
        <w:rPr>
          <w:rFonts w:ascii="Times New Roman" w:eastAsia="Times New Roman" w:hAnsi="Times New Roman" w:cs="Times New Roman"/>
          <w:color w:val="000000"/>
          <w:spacing w:val="0"/>
          <w:w w:val="100"/>
          <w:position w:val="0"/>
        </w:rPr>
        <w:t>9,607,446.91</w:t>
      </w:r>
      <w:r>
        <w:rPr>
          <w:color w:val="000000"/>
          <w:spacing w:val="0"/>
          <w:w w:val="100"/>
          <w:position w:val="0"/>
        </w:rPr>
        <w:t>元，占预付账款年末余额 合计数的比例为</w:t>
      </w:r>
      <w:r>
        <w:rPr>
          <w:rFonts w:ascii="Times New Roman" w:eastAsia="Times New Roman" w:hAnsi="Times New Roman" w:cs="Times New Roman"/>
          <w:color w:val="000000"/>
          <w:spacing w:val="0"/>
          <w:w w:val="100"/>
          <w:position w:val="0"/>
        </w:rPr>
        <w:t>80.82%</w:t>
      </w:r>
      <w:r>
        <w:rPr>
          <w:color w:val="000000"/>
          <w:spacing w:val="0"/>
          <w:w w:val="100"/>
          <w:position w:val="0"/>
        </w:rPr>
        <w:t>。</w:t>
      </w:r>
    </w:p>
    <w:p>
      <w:pPr>
        <w:pStyle w:val="Style35"/>
        <w:keepNext/>
        <w:keepLines/>
        <w:widowControl w:val="0"/>
        <w:shd w:val="clear" w:color="auto" w:fill="auto"/>
        <w:bidi w:val="0"/>
        <w:spacing w:before="0" w:after="380" w:line="312" w:lineRule="exact"/>
        <w:ind w:left="0" w:right="0" w:firstLine="0"/>
        <w:jc w:val="both"/>
      </w:pPr>
      <w:bookmarkStart w:id="1099" w:name="bookmark1099"/>
      <w:bookmarkStart w:id="1100" w:name="bookmark1100"/>
      <w:bookmarkStart w:id="1101" w:name="bookmark1101"/>
      <w:bookmarkStart w:id="1102" w:name="bookmark1102"/>
      <w:r>
        <w:rPr>
          <w:color w:val="000000"/>
          <w:spacing w:val="0"/>
          <w:w w:val="100"/>
          <w:position w:val="0"/>
        </w:rPr>
        <w:t>（</w:t>
      </w:r>
      <w:bookmarkEnd w:id="1101"/>
      <w:r>
        <w:rPr>
          <w:rFonts w:ascii="Times New Roman" w:eastAsia="Times New Roman" w:hAnsi="Times New Roman" w:cs="Times New Roman"/>
          <w:color w:val="000000"/>
          <w:spacing w:val="0"/>
          <w:w w:val="100"/>
          <w:position w:val="0"/>
        </w:rPr>
        <w:t>3</w:t>
      </w:r>
      <w:r>
        <w:rPr>
          <w:color w:val="000000"/>
          <w:spacing w:val="0"/>
          <w:w w:val="100"/>
          <w:position w:val="0"/>
        </w:rPr>
        <w:t>）报告期末无账龄超过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w:t>
      </w:r>
      <w:bookmarkEnd w:id="1099"/>
      <w:bookmarkEnd w:id="1100"/>
      <w:bookmarkEnd w:id="1102"/>
    </w:p>
    <w:p>
      <w:pPr>
        <w:pStyle w:val="Style28"/>
        <w:keepNext/>
        <w:keepLines/>
        <w:widowControl w:val="0"/>
        <w:shd w:val="clear" w:color="auto" w:fill="auto"/>
        <w:bidi w:val="0"/>
        <w:spacing w:before="0" w:after="320" w:line="326" w:lineRule="auto"/>
        <w:ind w:left="0" w:right="0" w:firstLine="0"/>
        <w:jc w:val="both"/>
      </w:pPr>
      <w:bookmarkStart w:id="1103" w:name="bookmark1103"/>
      <w:bookmarkStart w:id="1104" w:name="bookmark1104"/>
      <w:bookmarkStart w:id="1105" w:name="bookmark1105"/>
      <w:bookmarkStart w:id="1106" w:name="bookmark1106"/>
      <w:r>
        <w:rPr>
          <w:rFonts w:ascii="Times New Roman" w:eastAsia="Times New Roman" w:hAnsi="Times New Roman" w:cs="Times New Roman"/>
          <w:color w:val="000000"/>
          <w:spacing w:val="0"/>
          <w:w w:val="100"/>
          <w:position w:val="0"/>
        </w:rPr>
        <w:t>5</w:t>
      </w:r>
      <w:bookmarkEnd w:id="1105"/>
      <w:r>
        <w:rPr>
          <w:color w:val="000000"/>
          <w:spacing w:val="0"/>
          <w:w w:val="100"/>
          <w:position w:val="0"/>
        </w:rPr>
        <w:t>、其他应收款</w:t>
      </w:r>
      <w:bookmarkEnd w:id="1103"/>
      <w:bookmarkEnd w:id="1104"/>
      <w:bookmarkEnd w:id="1106"/>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5,518,088.23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3,715,334.47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5,518,088.23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3,715,334.47</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07"/>
      <w:bookmarkEnd w:id="1108"/>
      <w:bookmarkEnd w:id="1110"/>
    </w:p>
    <w:p>
      <w:pPr>
        <w:pStyle w:val="Style73"/>
        <w:keepNext/>
        <w:keepLines/>
        <w:widowControl w:val="0"/>
        <w:shd w:val="clear" w:color="auto" w:fill="auto"/>
        <w:bidi w:val="0"/>
        <w:spacing w:before="0" w:line="24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1</w:t>
      </w:r>
      <w:bookmarkEnd w:id="1113"/>
      <w:r>
        <w:rPr>
          <w:color w:val="000000"/>
          <w:spacing w:val="0"/>
          <w:w w:val="100"/>
          <w:position w:val="0"/>
        </w:rPr>
        <w:t>）其他应收款按款项性质分类情况</w:t>
      </w:r>
      <w:bookmarkEnd w:id="1111"/>
      <w:bookmarkEnd w:id="1112"/>
      <w:bookmarkEnd w:id="1114"/>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5,502,983.15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3,855,485.34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399,691.90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478,624.52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代扣代缴社保公积金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135,336.79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109,995.84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-527,063.61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-757,339.23</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5,518,088.23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3,715,334.47</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115" w:name="bookmark1115"/>
      <w:bookmarkStart w:id="1116" w:name="bookmark1116"/>
      <w:bookmarkStart w:id="1117" w:name="bookmark1117"/>
      <w:bookmarkStart w:id="1118" w:name="bookmark1118"/>
      <w:r>
        <w:rPr>
          <w:rFonts w:ascii="Times New Roman" w:eastAsia="Times New Roman" w:hAnsi="Times New Roman" w:cs="Times New Roman"/>
          <w:color w:val="000000"/>
          <w:spacing w:val="0"/>
          <w:w w:val="100"/>
          <w:position w:val="0"/>
        </w:rPr>
        <w:t>2</w:t>
      </w:r>
      <w:bookmarkEnd w:id="1117"/>
      <w:r>
        <w:rPr>
          <w:color w:val="000000"/>
          <w:spacing w:val="0"/>
          <w:w w:val="100"/>
          <w:position w:val="0"/>
        </w:rPr>
        <w:t>）坏账准备计提情况</w:t>
      </w:r>
      <w:bookmarkEnd w:id="1115"/>
      <w:bookmarkEnd w:id="1116"/>
      <w:bookmarkEnd w:id="1118"/>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757,339.23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757,339.23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-230,275.62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-230,275.62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527,063.61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527,063.61</w:t>
            </w:r>
          </w:p>
        </w:tc>
      </w:tr>
    </w:tbl>
    <w:p>
      <w:pPr>
        <w:widowControl w:val="0"/>
        <w:spacing w:after="199" w:line="1" w:lineRule="exact"/>
      </w:pPr>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4,001,375.51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1,640,300.83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278,952.50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124,523.00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90,488.00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34,035.00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6,045,151.84</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119" w:name="bookmark1119"/>
      <w:bookmarkStart w:id="1120" w:name="bookmark1120"/>
      <w:bookmarkStart w:id="1121" w:name="bookmark1121"/>
      <w:bookmarkStart w:id="1122" w:name="bookmark1122"/>
      <w:r>
        <w:rPr>
          <w:rFonts w:ascii="Times New Roman" w:eastAsia="Times New Roman" w:hAnsi="Times New Roman" w:cs="Times New Roman"/>
          <w:color w:val="000000"/>
          <w:spacing w:val="0"/>
          <w:w w:val="100"/>
          <w:position w:val="0"/>
        </w:rPr>
        <w:t>3</w:t>
      </w:r>
      <w:bookmarkEnd w:id="1121"/>
      <w:r>
        <w:rPr>
          <w:color w:val="000000"/>
          <w:spacing w:val="0"/>
          <w:w w:val="100"/>
          <w:position w:val="0"/>
        </w:rPr>
        <w:t>）本期计提、收回或转回的坏账准备情况</w:t>
      </w:r>
      <w:bookmarkEnd w:id="1119"/>
      <w:bookmarkEnd w:id="1120"/>
      <w:bookmarkEnd w:id="1122"/>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339"/>
        <w:gridCol w:w="1330"/>
        <w:gridCol w:w="1330"/>
        <w:gridCol w:w="1330"/>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757,339.23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-230,275.62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527,063.61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757,339.23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-230,275.62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527,063.61</w:t>
            </w:r>
          </w:p>
        </w:tc>
      </w:tr>
    </w:tbl>
    <w:p>
      <w:pPr>
        <w:widowControl w:val="0"/>
        <w:spacing w:after="199" w:line="1" w:lineRule="exact"/>
      </w:pPr>
    </w:p>
    <w:p>
      <w:pPr>
        <w:pStyle w:val="Style31"/>
        <w:keepNext w:val="0"/>
        <w:keepLines w:val="0"/>
        <w:widowControl w:val="0"/>
        <w:shd w:val="clear" w:color="auto" w:fill="auto"/>
        <w:bidi w:val="0"/>
        <w:spacing w:before="0" w:after="200" w:line="240" w:lineRule="auto"/>
        <w:ind w:left="0" w:right="0" w:firstLine="0"/>
        <w:jc w:val="left"/>
        <w:rPr>
          <w:sz w:val="17"/>
          <w:szCs w:val="17"/>
        </w:rPr>
      </w:pPr>
      <w:r>
        <w:rPr>
          <w:color w:val="000000"/>
          <w:spacing w:val="0"/>
          <w:w w:val="100"/>
          <w:position w:val="0"/>
          <w:sz w:val="20"/>
          <w:szCs w:val="20"/>
        </w:rPr>
        <w:t>其中本期坏账准备转回或收回金额重要的：</w:t>
      </w:r>
      <w:r>
        <w:rPr>
          <w:color w:val="000000"/>
          <w:spacing w:val="0"/>
          <w:w w:val="100"/>
          <w:position w:val="0"/>
          <w:sz w:val="17"/>
          <w:szCs w:val="17"/>
        </w:rPr>
        <w:t>无。</w:t>
      </w:r>
      <w:r>
        <w:br w:type="page"/>
      </w:r>
    </w:p>
    <w:p>
      <w:pPr>
        <w:pStyle w:val="Style73"/>
        <w:keepNext/>
        <w:keepLines/>
        <w:widowControl w:val="0"/>
        <w:shd w:val="clear" w:color="auto" w:fill="auto"/>
        <w:bidi w:val="0"/>
        <w:spacing w:before="0" w:line="240" w:lineRule="auto"/>
        <w:ind w:left="0" w:right="0" w:firstLine="0"/>
        <w:jc w:val="left"/>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4</w:t>
      </w:r>
      <w:bookmarkEnd w:id="1125"/>
      <w:r>
        <w:rPr>
          <w:color w:val="000000"/>
          <w:spacing w:val="0"/>
          <w:w w:val="100"/>
          <w:position w:val="0"/>
        </w:rPr>
        <w:t>）按欠款方归集的期末余额前五名的其他应收款情况</w:t>
      </w:r>
      <w:bookmarkEnd w:id="1123"/>
      <w:bookmarkEnd w:id="1124"/>
      <w:bookmarkEnd w:id="1126"/>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10"/>
        <w:gridCol w:w="1133"/>
        <w:gridCol w:w="1138"/>
        <w:gridCol w:w="1699"/>
        <w:gridCol w:w="1560"/>
        <w:gridCol w:w="1171"/>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坏账准备期末 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广东汕头幼儿师范高等专科学校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833,434.12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83,343.41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汕头市濠江区教育局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553,527.75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42,552.78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惠州市公共资源交易中心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汕头职业技术学院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388,387.26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37,347.31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汕头市海逸投资（集团）有限公司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386,045.00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19,302.25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2,661,394.13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207,545.75</w:t>
            </w:r>
          </w:p>
        </w:tc>
      </w:tr>
    </w:tbl>
    <w:p>
      <w:pPr>
        <w:widowControl w:val="0"/>
        <w:spacing w:after="279" w:line="1" w:lineRule="exact"/>
      </w:pPr>
    </w:p>
    <w:p>
      <w:pPr>
        <w:pStyle w:val="Style73"/>
        <w:keepNext/>
        <w:keepLines/>
        <w:widowControl w:val="0"/>
        <w:shd w:val="clear" w:color="auto" w:fill="auto"/>
        <w:bidi w:val="0"/>
        <w:spacing w:before="0" w:after="280" w:line="317" w:lineRule="exact"/>
        <w:ind w:left="0" w:right="0" w:firstLine="0"/>
        <w:jc w:val="left"/>
      </w:pPr>
      <w:bookmarkStart w:id="1127" w:name="bookmark1127"/>
      <w:bookmarkStart w:id="1128" w:name="bookmark1128"/>
      <w:bookmarkStart w:id="1129" w:name="bookmark1129"/>
      <w:bookmarkStart w:id="1130" w:name="bookmark1130"/>
      <w:r>
        <w:rPr>
          <w:rFonts w:ascii="Times New Roman" w:eastAsia="Times New Roman" w:hAnsi="Times New Roman" w:cs="Times New Roman"/>
          <w:color w:val="000000"/>
          <w:spacing w:val="0"/>
          <w:w w:val="100"/>
          <w:position w:val="0"/>
        </w:rPr>
        <w:t>5</w:t>
      </w:r>
      <w:bookmarkEnd w:id="1129"/>
      <w:r>
        <w:rPr>
          <w:color w:val="000000"/>
          <w:spacing w:val="0"/>
          <w:w w:val="100"/>
          <w:position w:val="0"/>
        </w:rPr>
        <w:t>）其他说明</w:t>
      </w:r>
      <w:bookmarkEnd w:id="1127"/>
      <w:bookmarkEnd w:id="1128"/>
      <w:bookmarkEnd w:id="1130"/>
    </w:p>
    <w:p>
      <w:pPr>
        <w:pStyle w:val="Style31"/>
        <w:keepNext w:val="0"/>
        <w:keepLines w:val="0"/>
        <w:widowControl w:val="0"/>
        <w:numPr>
          <w:ilvl w:val="0"/>
          <w:numId w:val="157"/>
        </w:numPr>
        <w:shd w:val="clear" w:color="auto" w:fill="auto"/>
        <w:tabs>
          <w:tab w:pos="832" w:val="left"/>
        </w:tabs>
        <w:bidi w:val="0"/>
        <w:spacing w:before="0" w:line="317" w:lineRule="exact"/>
        <w:ind w:left="0" w:right="0" w:firstLine="440"/>
        <w:jc w:val="left"/>
      </w:pPr>
      <w:bookmarkStart w:id="1131" w:name="bookmark1131"/>
      <w:bookmarkEnd w:id="1131"/>
      <w:r>
        <w:rPr>
          <w:color w:val="000000"/>
          <w:spacing w:val="0"/>
          <w:w w:val="100"/>
          <w:position w:val="0"/>
        </w:rPr>
        <w:t>本年无实际核销的其他应收款情况。</w:t>
      </w:r>
    </w:p>
    <w:p>
      <w:pPr>
        <w:pStyle w:val="Style31"/>
        <w:keepNext w:val="0"/>
        <w:keepLines w:val="0"/>
        <w:widowControl w:val="0"/>
        <w:numPr>
          <w:ilvl w:val="0"/>
          <w:numId w:val="157"/>
        </w:numPr>
        <w:shd w:val="clear" w:color="auto" w:fill="auto"/>
        <w:tabs>
          <w:tab w:pos="810" w:val="left"/>
        </w:tabs>
        <w:bidi w:val="0"/>
        <w:spacing w:before="0" w:after="280" w:line="317" w:lineRule="exact"/>
        <w:ind w:left="0" w:right="0" w:firstLine="440"/>
        <w:jc w:val="left"/>
      </w:pPr>
      <w:bookmarkStart w:id="1132" w:name="bookmark1132"/>
      <w:bookmarkEnd w:id="1132"/>
      <w:r>
        <w:rPr>
          <w:color w:val="000000"/>
          <w:spacing w:val="0"/>
          <w:w w:val="100"/>
          <w:position w:val="0"/>
        </w:rPr>
        <w:t>本公司原与汕头市海逸投资（集团）有限公司签订的租赁合同终止，缴纳的租赁押金退回。子公司 天亿马信息技术有限公司与出租方签订租赁合同，子公司缴纳租赁押金，租赁押金账龄发生变化。</w:t>
      </w:r>
    </w:p>
    <w:p>
      <w:pPr>
        <w:pStyle w:val="Style28"/>
        <w:keepNext/>
        <w:keepLines/>
        <w:widowControl w:val="0"/>
        <w:shd w:val="clear" w:color="auto" w:fill="auto"/>
        <w:bidi w:val="0"/>
        <w:spacing w:before="0" w:after="280" w:line="317" w:lineRule="exact"/>
        <w:ind w:left="0" w:right="0" w:firstLine="0"/>
        <w:jc w:val="left"/>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6</w:t>
      </w:r>
      <w:bookmarkEnd w:id="1135"/>
      <w:r>
        <w:rPr>
          <w:color w:val="000000"/>
          <w:spacing w:val="0"/>
          <w:w w:val="100"/>
          <w:position w:val="0"/>
        </w:rPr>
        <w:t>、存货</w:t>
      </w:r>
      <w:bookmarkEnd w:id="1133"/>
      <w:bookmarkEnd w:id="1134"/>
      <w:bookmarkEnd w:id="1136"/>
    </w:p>
    <w:p>
      <w:pPr>
        <w:pStyle w:val="Style31"/>
        <w:keepNext w:val="0"/>
        <w:keepLines w:val="0"/>
        <w:widowControl w:val="0"/>
        <w:shd w:val="clear" w:color="auto" w:fill="auto"/>
        <w:bidi w:val="0"/>
        <w:spacing w:before="0" w:after="760" w:line="317" w:lineRule="exact"/>
        <w:ind w:left="0" w:right="0" w:firstLine="0"/>
        <w:jc w:val="left"/>
      </w:pPr>
      <w:r>
        <w:rPr>
          <w:color w:val="000000"/>
          <w:spacing w:val="0"/>
          <w:w w:val="100"/>
          <w:position w:val="0"/>
        </w:rPr>
        <w:t>公司是否需要遵守房地产行业的披露要求：否</w:t>
      </w:r>
    </w:p>
    <w:p>
      <w:pPr>
        <w:pStyle w:val="Style35"/>
        <w:keepNext/>
        <w:keepLines/>
        <w:widowControl w:val="0"/>
        <w:shd w:val="clear" w:color="auto" w:fill="auto"/>
        <w:bidi w:val="0"/>
        <w:spacing w:before="0" w:after="380" w:line="317" w:lineRule="exact"/>
        <w:ind w:left="0" w:right="0" w:firstLine="0"/>
        <w:jc w:val="left"/>
      </w:pPr>
      <w:bookmarkStart w:id="1137" w:name="bookmark1137"/>
      <w:bookmarkStart w:id="1138" w:name="bookmark1138"/>
      <w:bookmarkStart w:id="1139" w:name="bookmark1139"/>
      <w:bookmarkStart w:id="1140" w:name="bookmark1140"/>
      <w:r>
        <w:rPr>
          <w:color w:val="000000"/>
          <w:spacing w:val="0"/>
          <w:w w:val="100"/>
          <w:position w:val="0"/>
        </w:rPr>
        <w:t>（</w:t>
      </w:r>
      <w:bookmarkEnd w:id="1139"/>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37"/>
      <w:bookmarkEnd w:id="1138"/>
      <w:bookmarkEnd w:id="1140"/>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2,782,973.00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87,817.79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2,695,155.21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2,783,085.93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68,009.28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2,715,076.65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50,259,562.88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444,228.74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49,815,334.14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22,341,564.34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22,341,564.34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2,053,258.19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77,954.77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1,975,303.42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286,232.12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286,232.12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878,989.06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123,731.59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755,257.47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840,033.37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89,535.31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750,498.06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55,974,783.13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733,732.89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55,241,050.24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26,250,915.76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157,544.59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26,093,371.17</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41" w:name="bookmark1141"/>
      <w:bookmarkStart w:id="1142" w:name="bookmark1142"/>
      <w:bookmarkStart w:id="1143" w:name="bookmark1143"/>
      <w:bookmarkStart w:id="1144" w:name="bookmark1144"/>
      <w:r>
        <w:rPr>
          <w:color w:val="000000"/>
          <w:spacing w:val="0"/>
          <w:w w:val="100"/>
          <w:position w:val="0"/>
        </w:rPr>
        <w:t>（</w:t>
      </w:r>
      <w:bookmarkEnd w:id="1143"/>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41"/>
      <w:bookmarkEnd w:id="1142"/>
      <w:bookmarkEnd w:id="1144"/>
    </w:p>
    <w:p>
      <w:pPr>
        <w:pStyle w:val="Style21"/>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68,009.28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33,923.13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87,817.79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448,920.35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444,228.74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77,954.77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77,954.77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89,535.31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45,308.79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123,731.59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157,544.59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606,107.04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29,918.74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733,732.89</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45" w:name="bookmark1145"/>
      <w:bookmarkStart w:id="1146" w:name="bookmark1146"/>
      <w:bookmarkStart w:id="1147" w:name="bookmark1147"/>
      <w:bookmarkStart w:id="1148" w:name="bookmark1148"/>
      <w:r>
        <w:rPr>
          <w:color w:val="000000"/>
          <w:spacing w:val="0"/>
          <w:w w:val="100"/>
          <w:position w:val="0"/>
        </w:rPr>
        <w:t>（</w:t>
      </w:r>
      <w:bookmarkEnd w:id="1147"/>
      <w:r>
        <w:rPr>
          <w:rFonts w:ascii="Times New Roman" w:eastAsia="Times New Roman" w:hAnsi="Times New Roman" w:cs="Times New Roman"/>
          <w:color w:val="000000"/>
          <w:spacing w:val="0"/>
          <w:w w:val="100"/>
          <w:position w:val="0"/>
        </w:rPr>
        <w:t>3</w:t>
      </w:r>
      <w:r>
        <w:rPr>
          <w:color w:val="000000"/>
          <w:spacing w:val="0"/>
          <w:w w:val="100"/>
          <w:position w:val="0"/>
        </w:rPr>
        <w:t>）存货期末余额含有借款费用资本化金额的说明</w:t>
      </w:r>
      <w:bookmarkEnd w:id="1145"/>
      <w:bookmarkEnd w:id="1146"/>
      <w:bookmarkEnd w:id="1148"/>
    </w:p>
    <w:p>
      <w:pPr>
        <w:pStyle w:val="Style31"/>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存货年末余额中含有借款费用资本化金额为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8"/>
        <w:keepNext/>
        <w:keepLines/>
        <w:widowControl w:val="0"/>
        <w:shd w:val="clear" w:color="auto" w:fill="auto"/>
        <w:bidi w:val="0"/>
        <w:spacing w:before="0" w:after="38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7</w:t>
      </w:r>
      <w:bookmarkEnd w:id="1151"/>
      <w:r>
        <w:rPr>
          <w:color w:val="000000"/>
          <w:spacing w:val="0"/>
          <w:w w:val="100"/>
          <w:position w:val="0"/>
        </w:rPr>
        <w:t>、合同资产</w:t>
      </w:r>
      <w:bookmarkEnd w:id="1149"/>
      <w:bookmarkEnd w:id="1150"/>
      <w:bookmarkEnd w:id="1152"/>
    </w:p>
    <w:p>
      <w:pPr>
        <w:pStyle w:val="Style21"/>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131"/>
        <w:gridCol w:w="1200"/>
        <w:gridCol w:w="1330"/>
        <w:gridCol w:w="1195"/>
        <w:gridCol w:w="1195"/>
        <w:gridCol w:w="1200"/>
        <w:gridCol w:w="133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6,743,130.12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737,860.58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6,005,269.54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6,010,354.02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429,449.69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5,580,904.33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减：计入其他非流动资产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（本节七、</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-1,647,715.58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-131,435.83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-1,516,279.75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-3,188,552.91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-288,359.63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-2,900,193.28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5,095,414.54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606,424.75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4,488,989.79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2,821,801.11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141,090.06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2,680,711.05</w:t>
            </w:r>
          </w:p>
        </w:tc>
      </w:tr>
    </w:tbl>
    <w:p>
      <w:pPr>
        <w:widowControl w:val="0"/>
        <w:spacing w:after="5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合同资产的账面价值在本期内发生的重大变动金额和原因:</w:t>
      </w:r>
    </w:p>
    <w:p>
      <w:pPr>
        <w:pStyle w:val="Style21"/>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1"/>
        <w:keepNext w:val="0"/>
        <w:keepLines w:val="0"/>
        <w:widowControl w:val="0"/>
        <w:shd w:val="clear" w:color="auto" w:fill="auto"/>
        <w:bidi w:val="0"/>
        <w:spacing w:before="0" w:line="312" w:lineRule="exact"/>
        <w:ind w:left="0" w:right="0" w:firstLine="0"/>
        <w:jc w:val="both"/>
      </w:pPr>
      <w:r>
        <w:rPr>
          <w:color w:val="000000"/>
          <w:spacing w:val="0"/>
          <w:w w:val="100"/>
          <w:position w:val="0"/>
        </w:rPr>
        <w:t>如是按照预期信用损失一般模型计提合同资产坏账准备，请参照其他应收款的披露方式披露坏账准备的相 关信息：</w:t>
      </w:r>
    </w:p>
    <w:p>
      <w:pPr>
        <w:pStyle w:val="Style31"/>
        <w:keepNext w:val="0"/>
        <w:keepLines w:val="0"/>
        <w:widowControl w:val="0"/>
        <w:shd w:val="clear" w:color="auto" w:fill="auto"/>
        <w:bidi w:val="0"/>
        <w:spacing w:before="0" w:line="312" w:lineRule="exact"/>
        <w:ind w:left="0" w:right="0" w:firstLine="0"/>
        <w:jc w:val="both"/>
      </w:pPr>
      <w:r>
        <w:rPr>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val="0"/>
        <w:keepLines w:val="0"/>
        <w:widowControl w:val="0"/>
        <w:shd w:val="clear" w:color="auto" w:fill="auto"/>
        <w:bidi w:val="0"/>
        <w:spacing w:before="0" w:line="312" w:lineRule="exact"/>
        <w:ind w:left="0" w:right="0" w:firstLine="0"/>
        <w:jc w:val="both"/>
      </w:pPr>
      <w:r>
        <w:rPr>
          <w:color w:val="000000"/>
          <w:spacing w:val="0"/>
          <w:w w:val="100"/>
          <w:position w:val="0"/>
        </w:rPr>
        <w:t>本期合同资产计提减值准备情况</w:t>
      </w:r>
    </w:p>
    <w:p>
      <w:pPr>
        <w:pStyle w:val="Style21"/>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308,410.89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308,410.89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19" w:line="1" w:lineRule="exact"/>
      </w:pP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line="240" w:lineRule="auto"/>
        <w:ind w:left="0" w:right="0" w:firstLine="440"/>
        <w:jc w:val="left"/>
      </w:pPr>
      <w:r>
        <w:rPr>
          <w:color w:val="000000"/>
          <w:spacing w:val="0"/>
          <w:w w:val="100"/>
          <w:position w:val="0"/>
        </w:rPr>
        <w:t>本年账面价值未发生重大变动。</w:t>
      </w:r>
      <w:r>
        <w:br w:type="page"/>
      </w:r>
    </w:p>
    <w:p>
      <w:pPr>
        <w:pStyle w:val="Style28"/>
        <w:keepNext/>
        <w:keepLines/>
        <w:widowControl w:val="0"/>
        <w:shd w:val="clear" w:color="auto" w:fill="auto"/>
        <w:bidi w:val="0"/>
        <w:spacing w:before="0" w:after="38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8</w:t>
      </w:r>
      <w:bookmarkEnd w:id="1155"/>
      <w:r>
        <w:rPr>
          <w:color w:val="000000"/>
          <w:spacing w:val="0"/>
          <w:w w:val="100"/>
          <w:position w:val="0"/>
        </w:rPr>
        <w:t>、一年内到期的非流动资产</w:t>
      </w:r>
      <w:bookmarkEnd w:id="1153"/>
      <w:bookmarkEnd w:id="1154"/>
      <w:bookmarkEnd w:id="1156"/>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570,707.43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42,518,597.61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29,798,001.43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42,518,597.61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30,368,708.86</w:t>
            </w:r>
          </w:p>
        </w:tc>
      </w:tr>
    </w:tbl>
    <w:p>
      <w:pPr>
        <w:widowControl w:val="0"/>
        <w:spacing w:after="199" w:line="1" w:lineRule="exact"/>
      </w:pPr>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31"/>
        <w:keepNext w:val="0"/>
        <w:keepLines w:val="0"/>
        <w:widowControl w:val="0"/>
        <w:numPr>
          <w:ilvl w:val="0"/>
          <w:numId w:val="159"/>
        </w:numPr>
        <w:shd w:val="clear" w:color="auto" w:fill="auto"/>
        <w:tabs>
          <w:tab w:pos="832" w:val="left"/>
        </w:tabs>
        <w:bidi w:val="0"/>
        <w:spacing w:before="0" w:after="200" w:line="240" w:lineRule="auto"/>
        <w:ind w:left="0" w:right="0" w:firstLine="440"/>
        <w:jc w:val="left"/>
      </w:pPr>
      <w:bookmarkStart w:id="1157" w:name="bookmark1157"/>
      <w:bookmarkEnd w:id="1157"/>
      <w:r>
        <w:rPr>
          <w:color w:val="000000"/>
          <w:spacing w:val="0"/>
          <w:w w:val="100"/>
          <w:position w:val="0"/>
        </w:rPr>
        <w:t>一年内到期的其他非流动资产详见本节七、</w:t>
      </w:r>
      <w:r>
        <w:rPr>
          <w:rFonts w:ascii="Times New Roman" w:eastAsia="Times New Roman" w:hAnsi="Times New Roman" w:cs="Times New Roman"/>
          <w:color w:val="000000"/>
          <w:spacing w:val="0"/>
          <w:w w:val="100"/>
          <w:position w:val="0"/>
        </w:rPr>
        <w:t>18</w:t>
      </w:r>
      <w:r>
        <w:rPr>
          <w:color w:val="000000"/>
          <w:spacing w:val="0"/>
          <w:w w:val="100"/>
          <w:position w:val="0"/>
        </w:rPr>
        <w:t>、“其他非流动资产”。</w:t>
      </w:r>
    </w:p>
    <w:p>
      <w:pPr>
        <w:pStyle w:val="Style31"/>
        <w:keepNext w:val="0"/>
        <w:keepLines w:val="0"/>
        <w:widowControl w:val="0"/>
        <w:numPr>
          <w:ilvl w:val="0"/>
          <w:numId w:val="159"/>
        </w:numPr>
        <w:shd w:val="clear" w:color="auto" w:fill="auto"/>
        <w:tabs>
          <w:tab w:pos="837" w:val="left"/>
        </w:tabs>
        <w:bidi w:val="0"/>
        <w:spacing w:before="0" w:after="380" w:line="240" w:lineRule="auto"/>
        <w:ind w:left="0" w:right="0" w:firstLine="440"/>
        <w:jc w:val="left"/>
      </w:pPr>
      <w:bookmarkStart w:id="1158" w:name="bookmark1158"/>
      <w:bookmarkEnd w:id="1158"/>
      <w:r>
        <w:rPr>
          <w:color w:val="000000"/>
          <w:spacing w:val="0"/>
          <w:w w:val="100"/>
          <w:position w:val="0"/>
        </w:rPr>
        <w:t>一年内到期的长期应收款详见附注七、</w:t>
      </w:r>
      <w:r>
        <w:rPr>
          <w:rFonts w:ascii="Times New Roman" w:eastAsia="Times New Roman" w:hAnsi="Times New Roman" w:cs="Times New Roman"/>
          <w:color w:val="000000"/>
          <w:spacing w:val="0"/>
          <w:w w:val="100"/>
          <w:position w:val="0"/>
        </w:rPr>
        <w:t>18</w:t>
      </w:r>
      <w:r>
        <w:rPr>
          <w:color w:val="000000"/>
          <w:spacing w:val="0"/>
          <w:w w:val="100"/>
          <w:position w:val="0"/>
        </w:rPr>
        <w:t>、“其他非流动资产”。</w:t>
      </w:r>
    </w:p>
    <w:p>
      <w:pPr>
        <w:pStyle w:val="Style28"/>
        <w:keepNext/>
        <w:keepLines/>
        <w:widowControl w:val="0"/>
        <w:shd w:val="clear" w:color="auto" w:fill="auto"/>
        <w:bidi w:val="0"/>
        <w:spacing w:before="0" w:after="38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9</w:t>
      </w:r>
      <w:bookmarkEnd w:id="1161"/>
      <w:r>
        <w:rPr>
          <w:color w:val="000000"/>
          <w:spacing w:val="0"/>
          <w:w w:val="100"/>
          <w:position w:val="0"/>
        </w:rPr>
        <w:t>、其他流动资产</w:t>
      </w:r>
      <w:bookmarkEnd w:id="1159"/>
      <w:bookmarkEnd w:id="1160"/>
      <w:bookmarkEnd w:id="1162"/>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待认证、待抵扣进项税额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3,864,143.01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995,543.40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12,613.04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金融工具应计利息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820,421.11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514,517.83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4,688,216.34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1,522,674.27</w:t>
            </w:r>
          </w:p>
        </w:tc>
      </w:tr>
    </w:tbl>
    <w:p>
      <w:pPr>
        <w:widowControl w:val="0"/>
        <w:spacing w:after="1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after="380" w:line="240" w:lineRule="auto"/>
        <w:ind w:left="0" w:right="0" w:firstLine="0"/>
        <w:jc w:val="left"/>
      </w:pPr>
      <w:bookmarkStart w:id="1163" w:name="bookmark1163"/>
      <w:bookmarkStart w:id="1164" w:name="bookmark1164"/>
      <w:bookmarkStart w:id="1165" w:name="bookmark1165"/>
      <w:bookmarkStart w:id="1166" w:name="bookmark1166"/>
      <w:r>
        <w:rPr>
          <w:rFonts w:ascii="Times New Roman" w:eastAsia="Times New Roman" w:hAnsi="Times New Roman" w:cs="Times New Roman"/>
          <w:color w:val="000000"/>
          <w:spacing w:val="0"/>
          <w:w w:val="100"/>
          <w:position w:val="0"/>
        </w:rPr>
        <w:t>1</w:t>
      </w:r>
      <w:bookmarkEnd w:id="1165"/>
      <w:r>
        <w:rPr>
          <w:rFonts w:ascii="Times New Roman" w:eastAsia="Times New Roman" w:hAnsi="Times New Roman" w:cs="Times New Roman"/>
          <w:color w:val="000000"/>
          <w:spacing w:val="0"/>
          <w:w w:val="100"/>
          <w:position w:val="0"/>
        </w:rPr>
        <w:t>0</w:t>
      </w:r>
      <w:r>
        <w:rPr>
          <w:color w:val="000000"/>
          <w:spacing w:val="0"/>
          <w:w w:val="100"/>
          <w:position w:val="0"/>
        </w:rPr>
        <w:t>、长期应收款</w:t>
      </w:r>
      <w:bookmarkEnd w:id="1163"/>
      <w:bookmarkEnd w:id="1164"/>
      <w:bookmarkEnd w:id="1166"/>
    </w:p>
    <w:p>
      <w:pPr>
        <w:pStyle w:val="Style35"/>
        <w:keepNext/>
        <w:keepLines/>
        <w:widowControl w:val="0"/>
        <w:shd w:val="clear" w:color="auto" w:fill="auto"/>
        <w:bidi w:val="0"/>
        <w:spacing w:before="0" w:after="380" w:line="240" w:lineRule="auto"/>
        <w:ind w:left="0" w:right="0" w:firstLine="0"/>
        <w:jc w:val="left"/>
      </w:pPr>
      <w:bookmarkStart w:id="1167" w:name="bookmark1167"/>
      <w:bookmarkStart w:id="1168" w:name="bookmark1168"/>
      <w:bookmarkStart w:id="1169" w:name="bookmark1169"/>
      <w:bookmarkStart w:id="1170" w:name="bookmark1170"/>
      <w:r>
        <w:rPr>
          <w:color w:val="000000"/>
          <w:spacing w:val="0"/>
          <w:w w:val="100"/>
          <w:position w:val="0"/>
        </w:rPr>
        <w:t>（</w:t>
      </w:r>
      <w:bookmarkEnd w:id="1169"/>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67"/>
      <w:bookmarkEnd w:id="1168"/>
      <w:bookmarkEnd w:id="1170"/>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06"/>
        <w:gridCol w:w="1166"/>
        <w:gridCol w:w="1171"/>
        <w:gridCol w:w="1166"/>
        <w:gridCol w:w="1166"/>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分期收款销售商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53,183,040.24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220,765.24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52,962,275.00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75,248,553.21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859,795.39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74,388,757.82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减：一年内到期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的部分（附注七、</w:t>
            </w:r>
          </w:p>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-42,518,597.61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-42,518,597.61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-29,798,001.43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-29,798,001.43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10,664,442.63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220,765.24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10,443,677.39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45,450,551.78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859,795.39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44,590,756.39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坏账准备减值情况</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99" w:line="1" w:lineRule="exact"/>
      </w:pPr>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val="0"/>
        <w:keepLines w:val="0"/>
        <w:widowControl w:val="0"/>
        <w:shd w:val="clear" w:color="auto" w:fill="auto"/>
        <w:bidi w:val="0"/>
        <w:spacing w:before="0" w:after="100" w:line="240" w:lineRule="auto"/>
        <w:ind w:left="0" w:right="0" w:firstLine="0"/>
        <w:jc w:val="both"/>
      </w:pPr>
      <w:bookmarkStart w:id="1171" w:name="bookmark1171"/>
      <w:r>
        <w:rPr>
          <w:color w:val="000000"/>
          <w:spacing w:val="0"/>
          <w:w w:val="100"/>
          <w:position w:val="0"/>
        </w:rPr>
        <w:t>（</w:t>
      </w:r>
      <w:bookmarkEnd w:id="117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474"/>
        <w:gridCol w:w="1642"/>
        <w:gridCol w:w="1474"/>
        <w:gridCol w:w="989"/>
        <w:gridCol w:w="1238"/>
        <w:gridCol w:w="1450"/>
      </w:tblGrid>
      <w:tr>
        <w:trPr>
          <w:trHeight w:val="341"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年初余额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本年变动金额</w:t>
            </w:r>
          </w:p>
        </w:tc>
        <w:tc>
          <w:tcPr>
            <w:vMerge w:val="restart"/>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360" w:firstLine="0"/>
              <w:jc w:val="right"/>
            </w:pPr>
            <w:r>
              <w:rPr>
                <w:color w:val="000000"/>
                <w:spacing w:val="0"/>
                <w:w w:val="100"/>
                <w:position w:val="0"/>
              </w:rPr>
              <w:t>年末余额</w:t>
            </w:r>
          </w:p>
        </w:tc>
      </w:tr>
      <w:tr>
        <w:trPr>
          <w:trHeight w:val="331"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D3D3D3"/>
            <w:vAlign w:val="top"/>
          </w:tcPr>
          <w:p>
            <w:pP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859,795.39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-639,030.15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220,765.24</w:t>
            </w:r>
          </w:p>
        </w:tc>
      </w:tr>
    </w:tbl>
    <w:p>
      <w:pPr>
        <w:widowControl w:val="0"/>
        <w:spacing w:after="359" w:line="1" w:lineRule="exact"/>
      </w:pPr>
    </w:p>
    <w:p>
      <w:pPr>
        <w:pStyle w:val="Style28"/>
        <w:keepNext/>
        <w:keepLines/>
        <w:widowControl w:val="0"/>
        <w:shd w:val="clear" w:color="auto" w:fill="auto"/>
        <w:bidi w:val="0"/>
        <w:spacing w:before="0" w:line="240" w:lineRule="auto"/>
        <w:ind w:left="0" w:right="0" w:firstLine="0"/>
        <w:jc w:val="both"/>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1</w:t>
      </w:r>
      <w:bookmarkEnd w:id="1174"/>
      <w:r>
        <w:rPr>
          <w:rFonts w:ascii="Times New Roman" w:eastAsia="Times New Roman" w:hAnsi="Times New Roman" w:cs="Times New Roman"/>
          <w:color w:val="000000"/>
          <w:spacing w:val="0"/>
          <w:w w:val="100"/>
          <w:position w:val="0"/>
        </w:rPr>
        <w:t>1</w:t>
      </w:r>
      <w:r>
        <w:rPr>
          <w:color w:val="000000"/>
          <w:spacing w:val="0"/>
          <w:w w:val="100"/>
          <w:position w:val="0"/>
        </w:rPr>
        <w:t>、其他权益工具投资</w:t>
      </w:r>
      <w:bookmarkEnd w:id="1172"/>
      <w:bookmarkEnd w:id="1173"/>
      <w:bookmarkEnd w:id="1175"/>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广东潮阳农村商业银行股份有限公司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bl>
    <w:p>
      <w:pPr>
        <w:widowControl w:val="0"/>
        <w:spacing w:after="199" w:line="1" w:lineRule="exact"/>
      </w:pP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分项披露本期非交易性权益工具投资</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 值计量且其变动 计入其他综合收 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广东潮阳农村商 业银行股份有限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3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160" w:line="314" w:lineRule="exact"/>
        <w:ind w:left="0" w:right="0" w:firstLine="600"/>
        <w:jc w:val="both"/>
      </w:pPr>
      <w:r>
        <w:rPr>
          <w:color w:val="000000"/>
          <w:spacing w:val="0"/>
          <w:w w:val="100"/>
          <w:position w:val="0"/>
        </w:rPr>
        <w:t>注：本公司持有广东潮阳农村商业银行股份有限公司（原名：汕头市潮阳农村信用合作联社）的非上 市股权投资，持股比例为</w:t>
      </w:r>
      <w:r>
        <w:rPr>
          <w:rFonts w:ascii="Times New Roman" w:eastAsia="Times New Roman" w:hAnsi="Times New Roman" w:cs="Times New Roman"/>
          <w:color w:val="000000"/>
          <w:spacing w:val="0"/>
          <w:w w:val="100"/>
          <w:position w:val="0"/>
        </w:rPr>
        <w:t>0.166%</w:t>
      </w:r>
      <w:r>
        <w:rPr>
          <w:color w:val="000000"/>
          <w:spacing w:val="0"/>
          <w:w w:val="100"/>
          <w:position w:val="0"/>
        </w:rPr>
        <w:t>。本公司没有以任何方式参与或影响标的公司的财务和经营决策，对标的 公司不具有重大影响，指定为</w:t>
      </w:r>
      <w:r>
        <w:rPr>
          <w:rFonts w:ascii="Times New Roman" w:eastAsia="Times New Roman" w:hAnsi="Times New Roman" w:cs="Times New Roman"/>
          <w:color w:val="000000"/>
          <w:spacing w:val="0"/>
          <w:w w:val="100"/>
          <w:position w:val="0"/>
        </w:rPr>
        <w:t>“</w:t>
      </w:r>
      <w:r>
        <w:rPr>
          <w:color w:val="000000"/>
          <w:spacing w:val="0"/>
          <w:w w:val="100"/>
          <w:position w:val="0"/>
        </w:rPr>
        <w:t>以公允价值计量且其变动计入其他综合收益的金融资产''，作为其他权益工 具投资核算。</w:t>
      </w:r>
      <w:r>
        <w:br w:type="page"/>
      </w:r>
    </w:p>
    <w:p>
      <w:pPr>
        <w:pStyle w:val="Style28"/>
        <w:keepNext/>
        <w:keepLines/>
        <w:widowControl w:val="0"/>
        <w:shd w:val="clear" w:color="auto" w:fill="auto"/>
        <w:bidi w:val="0"/>
        <w:spacing w:before="0" w:after="40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1</w:t>
      </w:r>
      <w:bookmarkEnd w:id="1178"/>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176"/>
      <w:bookmarkEnd w:id="1177"/>
      <w:bookmarkEnd w:id="1179"/>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4,350,443.05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4,998,622.83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4,350,443.05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4,998,622.83</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180" w:name="bookmark1180"/>
      <w:bookmarkStart w:id="1181" w:name="bookmark1181"/>
      <w:bookmarkStart w:id="1182" w:name="bookmark1182"/>
      <w:bookmarkStart w:id="1183" w:name="bookmark1183"/>
      <w:r>
        <w:rPr>
          <w:color w:val="000000"/>
          <w:spacing w:val="0"/>
          <w:w w:val="100"/>
          <w:position w:val="0"/>
        </w:rPr>
        <w:t>（</w:t>
      </w:r>
      <w:bookmarkEnd w:id="1182"/>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80"/>
      <w:bookmarkEnd w:id="1181"/>
      <w:bookmarkEnd w:id="1183"/>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49"/>
        <w:gridCol w:w="1003"/>
        <w:gridCol w:w="864"/>
        <w:gridCol w:w="1003"/>
        <w:gridCol w:w="998"/>
        <w:gridCol w:w="1320"/>
        <w:gridCol w:w="998"/>
        <w:gridCol w:w="109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办公电器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电脑及外设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电子及网络设备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办公家具</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2,243,012.84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446,441.75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3,887,162.76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1,133,554.77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1,407,570.75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1,263,843.11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10,381,585.98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92,389.38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38,291.17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24,433.63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171,308.87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16,609.70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18,283.19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40,791.89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2,243,012.84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440,542.75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3,979,552.14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1,155,236.24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1,423,765.44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1,269,993.55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10,512,102.96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100,624.02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390,245.22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2,123,502.35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740,028.70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1,036,696.60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991,866.26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5,382,963.15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71,028.72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15,456.12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363,786.21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154,746.62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114,230.56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80,519.80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799,768.03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5,604.05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15,467.22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21,071.27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171,652.74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400,097.29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2,487,288.56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879,308.10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1,150,927.16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1,072,386.06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6,161,659.91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2,071,360.10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40,445.46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1,492,263.58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275,928.14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272,838.28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197,607.49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4,350,443.05</w:t>
            </w:r>
          </w:p>
        </w:tc>
      </w:tr>
    </w:tbl>
    <w:p>
      <w:pPr>
        <w:widowControl w:val="0"/>
        <w:spacing w:line="1" w:lineRule="exact"/>
      </w:pPr>
      <w:r>
        <w:br w:type="page"/>
      </w:r>
    </w:p>
    <w:tbl>
      <w:tblPr>
        <w:tblOverlap w:val="never"/>
        <w:jc w:val="center"/>
        <w:tblLayout w:type="fixed"/>
      </w:tblPr>
      <w:tblGrid>
        <w:gridCol w:w="1949"/>
        <w:gridCol w:w="1003"/>
        <w:gridCol w:w="864"/>
        <w:gridCol w:w="1003"/>
        <w:gridCol w:w="998"/>
        <w:gridCol w:w="1320"/>
        <w:gridCol w:w="998"/>
        <w:gridCol w:w="109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办公电器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电脑及外设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电子及网络设备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办公家具</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2,142,388.82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56,196.53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1,763,660.41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393,526.07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370,874.15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271,976.85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4,998,622.83</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2</w:t>
      </w:r>
      <w:r>
        <w:rPr>
          <w:color w:val="000000"/>
          <w:spacing w:val="0"/>
          <w:w w:val="100"/>
          <w:position w:val="0"/>
        </w:rPr>
        <w:t>）其他说明</w:t>
      </w:r>
      <w:bookmarkEnd w:id="1184"/>
      <w:bookmarkEnd w:id="1185"/>
      <w:bookmarkEnd w:id="1187"/>
    </w:p>
    <w:p>
      <w:pPr>
        <w:pStyle w:val="Style31"/>
        <w:keepNext w:val="0"/>
        <w:keepLines w:val="0"/>
        <w:widowControl w:val="0"/>
        <w:numPr>
          <w:ilvl w:val="0"/>
          <w:numId w:val="161"/>
        </w:numPr>
        <w:shd w:val="clear" w:color="auto" w:fill="auto"/>
        <w:tabs>
          <w:tab w:pos="812" w:val="left"/>
        </w:tabs>
        <w:bidi w:val="0"/>
        <w:spacing w:before="0" w:after="240" w:line="240" w:lineRule="auto"/>
        <w:ind w:left="0" w:right="0" w:firstLine="420"/>
        <w:jc w:val="left"/>
      </w:pPr>
      <w:bookmarkStart w:id="1188" w:name="bookmark1188"/>
      <w:bookmarkEnd w:id="1188"/>
      <w:r>
        <w:rPr>
          <w:color w:val="000000"/>
          <w:spacing w:val="0"/>
          <w:w w:val="100"/>
          <w:position w:val="0"/>
        </w:rPr>
        <w:t>报告期内无暂时闲置的固定资产情况。</w:t>
      </w:r>
    </w:p>
    <w:p>
      <w:pPr>
        <w:pStyle w:val="Style31"/>
        <w:keepNext w:val="0"/>
        <w:keepLines w:val="0"/>
        <w:widowControl w:val="0"/>
        <w:numPr>
          <w:ilvl w:val="0"/>
          <w:numId w:val="161"/>
        </w:numPr>
        <w:shd w:val="clear" w:color="auto" w:fill="auto"/>
        <w:tabs>
          <w:tab w:pos="817" w:val="left"/>
        </w:tabs>
        <w:bidi w:val="0"/>
        <w:spacing w:before="0" w:after="240" w:line="240" w:lineRule="auto"/>
        <w:ind w:left="0" w:right="0" w:firstLine="420"/>
        <w:jc w:val="left"/>
      </w:pPr>
      <w:bookmarkStart w:id="1189" w:name="bookmark1189"/>
      <w:bookmarkEnd w:id="1189"/>
      <w:r>
        <w:rPr>
          <w:color w:val="000000"/>
          <w:spacing w:val="0"/>
          <w:w w:val="100"/>
          <w:position w:val="0"/>
        </w:rPr>
        <w:t>报告期内无通过经营租赁租出的固定资产情况。</w:t>
      </w:r>
    </w:p>
    <w:p>
      <w:pPr>
        <w:pStyle w:val="Style31"/>
        <w:keepNext w:val="0"/>
        <w:keepLines w:val="0"/>
        <w:widowControl w:val="0"/>
        <w:numPr>
          <w:ilvl w:val="0"/>
          <w:numId w:val="161"/>
        </w:numPr>
        <w:shd w:val="clear" w:color="auto" w:fill="auto"/>
        <w:tabs>
          <w:tab w:pos="817" w:val="left"/>
        </w:tabs>
        <w:bidi w:val="0"/>
        <w:spacing w:before="0" w:after="240" w:line="240" w:lineRule="auto"/>
        <w:ind w:left="0" w:right="0" w:firstLine="420"/>
        <w:jc w:val="left"/>
      </w:pPr>
      <w:bookmarkStart w:id="1190" w:name="bookmark1190"/>
      <w:bookmarkEnd w:id="1190"/>
      <w:r>
        <w:rPr>
          <w:color w:val="000000"/>
          <w:spacing w:val="0"/>
          <w:w w:val="100"/>
          <w:position w:val="0"/>
        </w:rPr>
        <w:t>报告期内无未办妥产权证书的固定资产情况。</w:t>
      </w:r>
    </w:p>
    <w:p>
      <w:pPr>
        <w:pStyle w:val="Style31"/>
        <w:keepNext w:val="0"/>
        <w:keepLines w:val="0"/>
        <w:widowControl w:val="0"/>
        <w:numPr>
          <w:ilvl w:val="0"/>
          <w:numId w:val="161"/>
        </w:numPr>
        <w:shd w:val="clear" w:color="auto" w:fill="auto"/>
        <w:tabs>
          <w:tab w:pos="817" w:val="left"/>
        </w:tabs>
        <w:bidi w:val="0"/>
        <w:spacing w:before="0" w:after="340" w:line="240" w:lineRule="auto"/>
        <w:ind w:left="0" w:right="0" w:firstLine="420"/>
        <w:jc w:val="left"/>
      </w:pPr>
      <w:bookmarkStart w:id="1191" w:name="bookmark1191"/>
      <w:bookmarkEnd w:id="1191"/>
      <w:r>
        <w:rPr>
          <w:color w:val="000000"/>
          <w:spacing w:val="0"/>
          <w:w w:val="100"/>
          <w:position w:val="0"/>
        </w:rPr>
        <w:t>固定资产未出现减值迹象，故未计提固定资产减值准备。</w:t>
      </w:r>
    </w:p>
    <w:p>
      <w:pPr>
        <w:pStyle w:val="Style28"/>
        <w:keepNext/>
        <w:keepLines/>
        <w:widowControl w:val="0"/>
        <w:shd w:val="clear" w:color="auto" w:fill="auto"/>
        <w:bidi w:val="0"/>
        <w:spacing w:before="0" w:after="40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1</w:t>
      </w:r>
      <w:bookmarkEnd w:id="1194"/>
      <w:r>
        <w:rPr>
          <w:rFonts w:ascii="Times New Roman" w:eastAsia="Times New Roman" w:hAnsi="Times New Roman" w:cs="Times New Roman"/>
          <w:color w:val="000000"/>
          <w:spacing w:val="0"/>
          <w:w w:val="100"/>
          <w:position w:val="0"/>
        </w:rPr>
        <w:t>3</w:t>
      </w:r>
      <w:r>
        <w:rPr>
          <w:color w:val="000000"/>
          <w:spacing w:val="0"/>
          <w:w w:val="100"/>
          <w:position w:val="0"/>
        </w:rPr>
        <w:t>、使用权资产</w:t>
      </w:r>
      <w:bookmarkEnd w:id="1192"/>
      <w:bookmarkEnd w:id="1193"/>
      <w:bookmarkEnd w:id="119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13,520,775.71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13,520,775.71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9,996,120.71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9,996,120.71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11,407,228.04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11,407,228.04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12,109,668.38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12,109,668.38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4,106,334.66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4,106,334.66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1,634,740.66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1,634,740.66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2,471,594.00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2,471,594.00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9,638,074.38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9,638,074.38</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13,520,775.71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13,520,775.71</w:t>
            </w:r>
          </w:p>
        </w:tc>
      </w:tr>
    </w:tbl>
    <w:p>
      <w:pPr>
        <w:widowControl w:val="0"/>
        <w:spacing w:after="179" w:line="1" w:lineRule="exact"/>
      </w:pPr>
    </w:p>
    <w:p>
      <w:pPr>
        <w:pStyle w:val="Style31"/>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其他说明：无。</w:t>
      </w:r>
    </w:p>
    <w:p>
      <w:pPr>
        <w:pStyle w:val="Style28"/>
        <w:keepNext/>
        <w:keepLines/>
        <w:widowControl w:val="0"/>
        <w:shd w:val="clear" w:color="auto" w:fill="auto"/>
        <w:bidi w:val="0"/>
        <w:spacing w:before="0" w:line="240" w:lineRule="auto"/>
        <w:ind w:left="0" w:right="0" w:firstLine="0"/>
        <w:jc w:val="left"/>
      </w:pPr>
      <w:bookmarkStart w:id="1196" w:name="bookmark1196"/>
      <w:bookmarkStart w:id="1197" w:name="bookmark1197"/>
      <w:bookmarkStart w:id="1198" w:name="bookmark1198"/>
      <w:bookmarkStart w:id="1199" w:name="bookmark1199"/>
      <w:r>
        <w:rPr>
          <w:rFonts w:ascii="Times New Roman" w:eastAsia="Times New Roman" w:hAnsi="Times New Roman" w:cs="Times New Roman"/>
          <w:color w:val="000000"/>
          <w:spacing w:val="0"/>
          <w:w w:val="100"/>
          <w:position w:val="0"/>
        </w:rPr>
        <w:t>1</w:t>
      </w:r>
      <w:bookmarkEnd w:id="1198"/>
      <w:r>
        <w:rPr>
          <w:rFonts w:ascii="Times New Roman" w:eastAsia="Times New Roman" w:hAnsi="Times New Roman" w:cs="Times New Roman"/>
          <w:color w:val="000000"/>
          <w:spacing w:val="0"/>
          <w:w w:val="100"/>
          <w:position w:val="0"/>
        </w:rPr>
        <w:t>4</w:t>
      </w:r>
      <w:r>
        <w:rPr>
          <w:color w:val="000000"/>
          <w:spacing w:val="0"/>
          <w:w w:val="100"/>
          <w:position w:val="0"/>
        </w:rPr>
        <w:t>、无形资产</w:t>
      </w:r>
      <w:bookmarkEnd w:id="1196"/>
      <w:bookmarkEnd w:id="1197"/>
      <w:bookmarkEnd w:id="1199"/>
    </w:p>
    <w:p>
      <w:pPr>
        <w:pStyle w:val="Style35"/>
        <w:keepNext/>
        <w:keepLines/>
        <w:widowControl w:val="0"/>
        <w:shd w:val="clear" w:color="auto" w:fill="auto"/>
        <w:bidi w:val="0"/>
        <w:spacing w:before="0" w:after="360" w:line="240" w:lineRule="auto"/>
        <w:ind w:left="0" w:right="0" w:firstLine="0"/>
        <w:jc w:val="left"/>
      </w:pPr>
      <w:bookmarkStart w:id="1200" w:name="bookmark1200"/>
      <w:bookmarkStart w:id="1201" w:name="bookmark1201"/>
      <w:bookmarkStart w:id="1202" w:name="bookmark12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00"/>
      <w:bookmarkEnd w:id="1201"/>
      <w:bookmarkEnd w:id="1202"/>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65"/>
        <w:gridCol w:w="989"/>
        <w:gridCol w:w="1013"/>
        <w:gridCol w:w="1382"/>
        <w:gridCol w:w="1387"/>
        <w:gridCol w:w="1382"/>
        <w:gridCol w:w="13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著作权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6,939,678.50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7,580,000.00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16,019,678.50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6,939,678.50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7,580,000.00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16,019,678.50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2,494,482.02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5,626,625.00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9,621,107.02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1,173,168.84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1,173,168.84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3,667,650.86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5,626,625.00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10,794,275.86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1,953,375.00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1,953,375.00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1,953,375.00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1,953,375.00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3,272,027.64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3,272,027.64</w:t>
            </w:r>
          </w:p>
        </w:tc>
      </w:tr>
    </w:tbl>
    <w:p>
      <w:pPr>
        <w:widowControl w:val="0"/>
        <w:spacing w:line="1" w:lineRule="exact"/>
      </w:pPr>
    </w:p>
    <w:tbl>
      <w:tblPr>
        <w:tblOverlap w:val="never"/>
        <w:jc w:val="center"/>
        <w:tblLayout w:type="fixed"/>
      </w:tblPr>
      <w:tblGrid>
        <w:gridCol w:w="2165"/>
        <w:gridCol w:w="989"/>
        <w:gridCol w:w="1013"/>
        <w:gridCol w:w="1382"/>
        <w:gridCol w:w="1387"/>
        <w:gridCol w:w="1382"/>
        <w:gridCol w:w="13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4,445,196.48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4,445,196.48</w:t>
            </w:r>
          </w:p>
        </w:tc>
      </w:tr>
    </w:tbl>
    <w:p>
      <w:pPr>
        <w:widowControl w:val="0"/>
        <w:spacing w:after="19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0.00%</w:t>
      </w:r>
      <w:r>
        <w:rPr>
          <w:color w:val="000000"/>
          <w:spacing w:val="0"/>
          <w:w w:val="100"/>
          <w:position w:val="0"/>
        </w:rPr>
        <w:t>。</w:t>
      </w:r>
    </w:p>
    <w:p>
      <w:pPr>
        <w:pStyle w:val="Style28"/>
        <w:keepNext/>
        <w:keepLines/>
        <w:widowControl w:val="0"/>
        <w:shd w:val="clear" w:color="auto" w:fill="auto"/>
        <w:bidi w:val="0"/>
        <w:spacing w:before="0" w:line="240" w:lineRule="auto"/>
        <w:ind w:left="0" w:right="0" w:firstLine="0"/>
        <w:jc w:val="both"/>
      </w:pPr>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15</w:t>
      </w:r>
      <w:r>
        <w:rPr>
          <w:color w:val="000000"/>
          <w:spacing w:val="0"/>
          <w:w w:val="100"/>
          <w:position w:val="0"/>
        </w:rPr>
        <w:t>、商誉</w:t>
      </w:r>
      <w:bookmarkEnd w:id="1203"/>
      <w:bookmarkEnd w:id="1204"/>
      <w:bookmarkEnd w:id="1205"/>
    </w:p>
    <w:p>
      <w:pPr>
        <w:pStyle w:val="Style35"/>
        <w:keepNext/>
        <w:keepLines/>
        <w:widowControl w:val="0"/>
        <w:shd w:val="clear" w:color="auto" w:fill="auto"/>
        <w:bidi w:val="0"/>
        <w:spacing w:before="0" w:after="360" w:line="240" w:lineRule="auto"/>
        <w:ind w:left="0" w:right="0" w:firstLine="0"/>
        <w:jc w:val="both"/>
      </w:pPr>
      <w:bookmarkStart w:id="1206" w:name="bookmark1206"/>
      <w:bookmarkStart w:id="1207" w:name="bookmark1207"/>
      <w:bookmarkStart w:id="1208" w:name="bookmark12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06"/>
      <w:bookmarkEnd w:id="1207"/>
      <w:bookmarkEnd w:id="1208"/>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0"/>
        <w:gridCol w:w="1560"/>
        <w:gridCol w:w="1416"/>
        <w:gridCol w:w="1642"/>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深圳市互联精英信息技术有限公司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2,682,094.38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2,682,094.38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2,682,094.38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2,682,094.38</w:t>
            </w:r>
          </w:p>
        </w:tc>
      </w:tr>
    </w:tbl>
    <w:p>
      <w:pPr>
        <w:widowControl w:val="0"/>
        <w:spacing w:after="259" w:line="1" w:lineRule="exact"/>
      </w:pPr>
    </w:p>
    <w:p>
      <w:pPr>
        <w:pStyle w:val="Style35"/>
        <w:keepNext/>
        <w:keepLines/>
        <w:widowControl w:val="0"/>
        <w:shd w:val="clear" w:color="auto" w:fill="auto"/>
        <w:tabs>
          <w:tab w:pos="493" w:val="left"/>
        </w:tabs>
        <w:bidi w:val="0"/>
        <w:spacing w:before="0" w:after="260" w:line="314" w:lineRule="exact"/>
        <w:ind w:left="0" w:right="0" w:firstLine="0"/>
        <w:jc w:val="both"/>
      </w:pPr>
      <w:bookmarkStart w:id="1209" w:name="bookmark1209"/>
      <w:bookmarkStart w:id="1210" w:name="bookmark1210"/>
      <w:bookmarkStart w:id="1211" w:name="bookmark1211"/>
      <w:bookmarkStart w:id="1212" w:name="bookmark1212"/>
      <w:r>
        <w:rPr>
          <w:color w:val="000000"/>
          <w:spacing w:val="0"/>
          <w:w w:val="100"/>
          <w:position w:val="0"/>
        </w:rPr>
        <w:t>（</w:t>
      </w:r>
      <w:bookmarkEnd w:id="1211"/>
      <w:r>
        <w:rPr>
          <w:rFonts w:ascii="Times New Roman" w:eastAsia="Times New Roman" w:hAnsi="Times New Roman" w:cs="Times New Roman"/>
          <w:color w:val="000000"/>
          <w:spacing w:val="0"/>
          <w:w w:val="100"/>
          <w:position w:val="0"/>
        </w:rPr>
        <w:t>2</w:t>
      </w:r>
      <w:r>
        <w:rPr>
          <w:color w:val="000000"/>
          <w:spacing w:val="0"/>
          <w:w w:val="100"/>
          <w:position w:val="0"/>
        </w:rPr>
        <w:t>）</w:t>
        <w:tab/>
        <w:t>商誉减值准备</w:t>
      </w:r>
      <w:bookmarkEnd w:id="1209"/>
      <w:bookmarkEnd w:id="1210"/>
      <w:bookmarkEnd w:id="1212"/>
    </w:p>
    <w:p>
      <w:pPr>
        <w:pStyle w:val="Style31"/>
        <w:keepNext w:val="0"/>
        <w:keepLines w:val="0"/>
        <w:widowControl w:val="0"/>
        <w:shd w:val="clear" w:color="auto" w:fill="auto"/>
        <w:bidi w:val="0"/>
        <w:spacing w:before="0" w:line="314" w:lineRule="exact"/>
        <w:ind w:left="0" w:right="0" w:firstLine="0"/>
        <w:jc w:val="both"/>
      </w:pPr>
      <w:r>
        <w:rPr>
          <w:color w:val="000000"/>
          <w:spacing w:val="0"/>
          <w:w w:val="100"/>
          <w:position w:val="0"/>
        </w:rPr>
        <w:t>商誉所在资产组或资产组组合的相关信息</w:t>
      </w:r>
    </w:p>
    <w:p>
      <w:pPr>
        <w:pStyle w:val="Style31"/>
        <w:keepNext w:val="0"/>
        <w:keepLines w:val="0"/>
        <w:widowControl w:val="0"/>
        <w:shd w:val="clear" w:color="auto" w:fill="auto"/>
        <w:bidi w:val="0"/>
        <w:spacing w:before="0" w:line="312" w:lineRule="exact"/>
        <w:ind w:left="0" w:right="0" w:firstLine="540"/>
        <w:jc w:val="both"/>
      </w:pPr>
      <w:r>
        <w:rPr>
          <w:color w:val="000000"/>
          <w:spacing w:val="0"/>
          <w:w w:val="100"/>
          <w:position w:val="0"/>
        </w:rPr>
        <w:t>本集团对商誉进行减值测试，评估商誉的可收回金额，并确定与深圳市互联精英信息技术有限公司业 务相关的商誉未发生减值，故未计提商誉减值准备。</w:t>
      </w:r>
    </w:p>
    <w:p>
      <w:pPr>
        <w:pStyle w:val="Style31"/>
        <w:keepNext w:val="0"/>
        <w:keepLines w:val="0"/>
        <w:widowControl w:val="0"/>
        <w:shd w:val="clear" w:color="auto" w:fill="auto"/>
        <w:tabs>
          <w:tab w:pos="493" w:val="left"/>
        </w:tabs>
        <w:bidi w:val="0"/>
        <w:spacing w:before="0" w:line="314" w:lineRule="exact"/>
        <w:ind w:left="0" w:right="0" w:firstLine="0"/>
        <w:jc w:val="both"/>
      </w:pPr>
      <w:bookmarkStart w:id="1213" w:name="bookmark1213"/>
      <w:r>
        <w:rPr>
          <w:color w:val="000000"/>
          <w:spacing w:val="0"/>
          <w:w w:val="100"/>
          <w:position w:val="0"/>
        </w:rPr>
        <w:t>（</w:t>
      </w:r>
      <w:bookmarkEnd w:id="1213"/>
      <w:r>
        <w:rPr>
          <w:rFonts w:ascii="Times New Roman" w:eastAsia="Times New Roman" w:hAnsi="Times New Roman" w:cs="Times New Roman"/>
          <w:color w:val="000000"/>
          <w:spacing w:val="0"/>
          <w:w w:val="100"/>
          <w:position w:val="0"/>
        </w:rPr>
        <w:t>3</w:t>
      </w:r>
      <w:r>
        <w:rPr>
          <w:color w:val="000000"/>
          <w:spacing w:val="0"/>
          <w:w w:val="100"/>
          <w:position w:val="0"/>
        </w:rPr>
        <w:t>）</w:t>
        <w:tab/>
        <w:t>商誉所在资产组或资产组组合的相关信息</w:t>
      </w:r>
    </w:p>
    <w:p>
      <w:pPr>
        <w:pStyle w:val="Style31"/>
        <w:keepNext w:val="0"/>
        <w:keepLines w:val="0"/>
        <w:widowControl w:val="0"/>
        <w:shd w:val="clear" w:color="auto" w:fill="auto"/>
        <w:bidi w:val="0"/>
        <w:spacing w:before="0" w:line="310" w:lineRule="exact"/>
        <w:ind w:left="0" w:right="0" w:firstLine="540"/>
        <w:jc w:val="both"/>
      </w:pPr>
      <w:r>
        <w:rPr>
          <w:color w:val="000000"/>
          <w:spacing w:val="0"/>
          <w:w w:val="100"/>
          <w:position w:val="0"/>
        </w:rPr>
        <w:t>商誉减值测试涉及的资产组或资产组组合的构成情况如下：资产负债表日的测试范围为与商誉相关的 最小资产组所涉及的资产及负债，该资产组与购买日及以前年度商誉减值测试时所确定的资产组或资产组 组合一致。</w:t>
      </w:r>
    </w:p>
    <w:p>
      <w:pPr>
        <w:pStyle w:val="Style31"/>
        <w:keepNext w:val="0"/>
        <w:keepLines w:val="0"/>
        <w:widowControl w:val="0"/>
        <w:shd w:val="clear" w:color="auto" w:fill="auto"/>
        <w:bidi w:val="0"/>
        <w:spacing w:before="0" w:line="317" w:lineRule="exact"/>
        <w:ind w:left="0" w:right="0" w:firstLine="0"/>
        <w:jc w:val="both"/>
      </w:pPr>
      <w:r>
        <w:rPr>
          <w:color w:val="000000"/>
          <w:spacing w:val="0"/>
          <w:w w:val="100"/>
          <w:position w:val="0"/>
        </w:rPr>
        <w:t>说明商誉减值测试过程、关键参数（如预计未来现金流量现值时的预测期增长率、稳定期增长率、利润率、 折现率、预测期等）及商誉减值损失的确认方法：</w:t>
      </w:r>
    </w:p>
    <w:p>
      <w:pPr>
        <w:pStyle w:val="Style31"/>
        <w:keepNext w:val="0"/>
        <w:keepLines w:val="0"/>
        <w:widowControl w:val="0"/>
        <w:shd w:val="clear" w:color="auto" w:fill="auto"/>
        <w:tabs>
          <w:tab w:pos="493" w:val="left"/>
        </w:tabs>
        <w:bidi w:val="0"/>
        <w:spacing w:before="0" w:line="314" w:lineRule="exact"/>
        <w:ind w:left="0" w:right="0" w:firstLine="0"/>
        <w:jc w:val="both"/>
      </w:pPr>
      <w:bookmarkStart w:id="1214" w:name="bookmark1214"/>
      <w:r>
        <w:rPr>
          <w:color w:val="000000"/>
          <w:spacing w:val="0"/>
          <w:w w:val="100"/>
          <w:position w:val="0"/>
        </w:rPr>
        <w:t>（</w:t>
      </w:r>
      <w:bookmarkEnd w:id="1214"/>
      <w:r>
        <w:rPr>
          <w:rFonts w:ascii="Times New Roman" w:eastAsia="Times New Roman" w:hAnsi="Times New Roman" w:cs="Times New Roman"/>
          <w:color w:val="000000"/>
          <w:spacing w:val="0"/>
          <w:w w:val="100"/>
          <w:position w:val="0"/>
        </w:rPr>
        <w:t>4</w:t>
      </w:r>
      <w:r>
        <w:rPr>
          <w:color w:val="000000"/>
          <w:spacing w:val="0"/>
          <w:w w:val="100"/>
          <w:position w:val="0"/>
        </w:rPr>
        <w:t>）</w:t>
        <w:tab/>
        <w:t>商誉的减值测试过程</w:t>
      </w:r>
    </w:p>
    <w:p>
      <w:pPr>
        <w:pStyle w:val="Style31"/>
        <w:keepNext w:val="0"/>
        <w:keepLines w:val="0"/>
        <w:widowControl w:val="0"/>
        <w:shd w:val="clear" w:color="auto" w:fill="auto"/>
        <w:bidi w:val="0"/>
        <w:spacing w:before="0" w:after="200" w:line="331" w:lineRule="exact"/>
        <w:ind w:left="0" w:right="0" w:firstLine="740"/>
        <w:jc w:val="both"/>
      </w:pPr>
      <w:r>
        <w:rPr>
          <w:color w:val="000000"/>
          <w:spacing w:val="0"/>
          <w:w w:val="100"/>
          <w:position w:val="0"/>
        </w:rPr>
        <w:t>本集团对商誉进行减值测试，评估商誉的可收回金额，并确定与深圳市互联精英信息技术有限公司 业务相关的商誉未发生减值。</w:t>
      </w:r>
    </w:p>
    <w:p>
      <w:pPr>
        <w:pStyle w:val="Style31"/>
        <w:keepNext w:val="0"/>
        <w:keepLines w:val="0"/>
        <w:widowControl w:val="0"/>
        <w:shd w:val="clear" w:color="auto" w:fill="auto"/>
        <w:bidi w:val="0"/>
        <w:spacing w:before="0" w:after="40" w:line="240" w:lineRule="auto"/>
        <w:ind w:left="0" w:right="0" w:firstLine="740"/>
        <w:jc w:val="both"/>
      </w:pPr>
      <w:r>
        <w:rPr>
          <w:color w:val="000000"/>
          <w:spacing w:val="0"/>
          <w:w w:val="100"/>
          <w:position w:val="0"/>
        </w:rPr>
        <w:t>商誉减值测试情况如下：</w:t>
      </w:r>
    </w:p>
    <w:tbl>
      <w:tblPr>
        <w:tblOverlap w:val="never"/>
        <w:jc w:val="center"/>
        <w:tblLayout w:type="fixed"/>
      </w:tblPr>
      <w:tblGrid>
        <w:gridCol w:w="7824"/>
        <w:gridCol w:w="2054"/>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商誉账面余额①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2,682,094.38</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商誉减值准备②</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商誉账面价值③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2,682,094.38</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归属于少数股东权益的商誉金额④</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包含归属于少数股东权益的商誉金额⑤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④</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2,682,094.38</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不包含商誉的资产组账面价值⑥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1,394,107.26</w:t>
            </w:r>
          </w:p>
        </w:tc>
      </w:tr>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包含商誉的资产组账面价值⑦</w:t>
            </w:r>
            <w:r>
              <w:rPr>
                <w:color w:val="000000"/>
                <w:spacing w:val="0"/>
                <w:w w:val="100"/>
                <w:position w:val="0"/>
                <w:sz w:val="18"/>
                <w:szCs w:val="18"/>
              </w:rPr>
              <w:t>二</w:t>
            </w:r>
            <w:r>
              <w:rPr>
                <w:color w:val="000000"/>
                <w:spacing w:val="0"/>
                <w:w w:val="100"/>
                <w:position w:val="0"/>
              </w:rPr>
              <w:t>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4,076,201.64</w:t>
            </w:r>
          </w:p>
        </w:tc>
      </w:tr>
      <w:tr>
        <w:trPr>
          <w:trHeight w:val="33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资产组的可收回金额（预计未来现金流量的现值）⑧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4,938,100.00</w:t>
            </w:r>
          </w:p>
        </w:tc>
      </w:tr>
    </w:tbl>
    <w:p>
      <w:pPr>
        <w:widowControl w:val="0"/>
        <w:spacing w:line="1" w:lineRule="exact"/>
      </w:pPr>
    </w:p>
    <w:tbl>
      <w:tblPr>
        <w:tblOverlap w:val="never"/>
        <w:jc w:val="center"/>
        <w:tblLayout w:type="fixed"/>
      </w:tblPr>
      <w:tblGrid>
        <w:gridCol w:w="7824"/>
        <w:gridCol w:w="2054"/>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商誉资产减值⑨</w:t>
            </w:r>
            <w:r>
              <w:rPr>
                <w:color w:val="000000"/>
                <w:spacing w:val="0"/>
                <w:w w:val="100"/>
                <w:position w:val="0"/>
                <w:sz w:val="18"/>
                <w:szCs w:val="18"/>
              </w:rPr>
              <w:t>二</w:t>
            </w:r>
            <w:r>
              <w:rPr>
                <w:color w:val="000000"/>
                <w:spacing w:val="0"/>
                <w:w w:val="100"/>
                <w:position w:val="0"/>
              </w:rPr>
              <w:t>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⑧</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母公司持股比例⑩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归属于母公司的商誉资产减值</w:t>
            </w:r>
            <w:r>
              <w:rPr>
                <w:rFonts w:ascii="Times New Roman" w:eastAsia="Times New Roman" w:hAnsi="Times New Roman" w:cs="Times New Roman"/>
                <w:color w:val="000000"/>
                <w:spacing w:val="0"/>
                <w:w w:val="100"/>
                <w:position w:val="0"/>
                <w:sz w:val="18"/>
                <w:szCs w:val="18"/>
              </w:rPr>
              <w:t>（ll）=</w:t>
            </w:r>
            <w:r>
              <w:rPr>
                <w:color w:val="000000"/>
                <w:spacing w:val="0"/>
                <w:w w:val="100"/>
                <w:position w:val="0"/>
              </w:rPr>
              <w:t>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⑩</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商誉减值测试的过程、参数及商誉减值损失确认的方法</w:t>
      </w:r>
    </w:p>
    <w:p>
      <w:pPr>
        <w:widowControl w:val="0"/>
        <w:spacing w:after="139" w:line="1" w:lineRule="exact"/>
      </w:pPr>
    </w:p>
    <w:p>
      <w:pPr>
        <w:pStyle w:val="Style31"/>
        <w:keepNext w:val="0"/>
        <w:keepLines w:val="0"/>
        <w:widowControl w:val="0"/>
        <w:numPr>
          <w:ilvl w:val="0"/>
          <w:numId w:val="163"/>
        </w:numPr>
        <w:shd w:val="clear" w:color="auto" w:fill="auto"/>
        <w:tabs>
          <w:tab w:pos="932" w:val="left"/>
        </w:tabs>
        <w:bidi w:val="0"/>
        <w:spacing w:before="0" w:line="316" w:lineRule="exact"/>
        <w:ind w:left="0" w:right="0" w:firstLine="540"/>
        <w:jc w:val="both"/>
      </w:pPr>
      <w:bookmarkStart w:id="1215" w:name="bookmark1215"/>
      <w:bookmarkEnd w:id="1215"/>
      <w:r>
        <w:rPr>
          <w:color w:val="000000"/>
          <w:spacing w:val="0"/>
          <w:w w:val="100"/>
          <w:position w:val="0"/>
        </w:rPr>
        <w:t>可收回金额方法的确定</w:t>
      </w:r>
    </w:p>
    <w:p>
      <w:pPr>
        <w:pStyle w:val="Style31"/>
        <w:keepNext w:val="0"/>
        <w:keepLines w:val="0"/>
        <w:widowControl w:val="0"/>
        <w:shd w:val="clear" w:color="auto" w:fill="auto"/>
        <w:bidi w:val="0"/>
        <w:spacing w:before="0" w:line="322" w:lineRule="exact"/>
        <w:ind w:left="0" w:right="0" w:firstLine="540"/>
        <w:jc w:val="both"/>
      </w:pPr>
      <w:r>
        <w:rPr>
          <w:color w:val="000000"/>
          <w:spacing w:val="0"/>
          <w:w w:val="100"/>
          <w:position w:val="0"/>
        </w:rPr>
        <w:t>根据《会计准则第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color w:val="000000"/>
          <w:spacing w:val="0"/>
          <w:w w:val="100"/>
          <w:position w:val="0"/>
        </w:rPr>
        <w:t>一</w:t>
      </w:r>
      <w:r>
        <w:rPr>
          <w:color w:val="000000"/>
          <w:spacing w:val="0"/>
          <w:w w:val="100"/>
          <w:position w:val="0"/>
        </w:rPr>
        <w:t>资产减值》的相关规定，可收回金额是公允价值减去处置费用后的净额与资 产预计未来现金流量的现值两者之间较高者，即：</w:t>
      </w:r>
    </w:p>
    <w:p>
      <w:pPr>
        <w:pStyle w:val="Style31"/>
        <w:keepNext w:val="0"/>
        <w:keepLines w:val="0"/>
        <w:widowControl w:val="0"/>
        <w:shd w:val="clear" w:color="auto" w:fill="auto"/>
        <w:bidi w:val="0"/>
        <w:spacing w:before="0" w:line="316" w:lineRule="exact"/>
        <w:ind w:left="0" w:right="0" w:firstLine="540"/>
        <w:jc w:val="both"/>
      </w:pPr>
      <w:r>
        <w:rPr>
          <w:color w:val="000000"/>
          <w:spacing w:val="0"/>
          <w:w w:val="100"/>
          <w:position w:val="0"/>
        </w:rPr>
        <w:t>可收回金额</w:t>
      </w:r>
      <w:r>
        <w:rPr>
          <w:rFonts w:ascii="Times New Roman" w:eastAsia="Times New Roman" w:hAnsi="Times New Roman" w:cs="Times New Roman"/>
          <w:color w:val="000000"/>
          <w:spacing w:val="0"/>
          <w:w w:val="100"/>
          <w:position w:val="0"/>
        </w:rPr>
        <w:t xml:space="preserve">=Max </w:t>
      </w:r>
      <w:r>
        <w:rPr>
          <w:color w:val="000000"/>
          <w:spacing w:val="0"/>
          <w:w w:val="100"/>
          <w:position w:val="0"/>
        </w:rPr>
        <w:t>（公允价值</w:t>
      </w:r>
      <w:r>
        <w:rPr>
          <w:rFonts w:ascii="Times New Roman" w:eastAsia="Times New Roman" w:hAnsi="Times New Roman" w:cs="Times New Roman"/>
          <w:color w:val="000000"/>
          <w:spacing w:val="0"/>
          <w:w w:val="100"/>
          <w:position w:val="0"/>
        </w:rPr>
        <w:t>-</w:t>
      </w:r>
      <w:r>
        <w:rPr>
          <w:color w:val="000000"/>
          <w:spacing w:val="0"/>
          <w:w w:val="100"/>
          <w:position w:val="0"/>
        </w:rPr>
        <w:t>处置费用，预计未来现金流量的现值）</w:t>
      </w:r>
    </w:p>
    <w:p>
      <w:pPr>
        <w:pStyle w:val="Style31"/>
        <w:keepNext w:val="0"/>
        <w:keepLines w:val="0"/>
        <w:widowControl w:val="0"/>
        <w:shd w:val="clear" w:color="auto" w:fill="auto"/>
        <w:bidi w:val="0"/>
        <w:spacing w:before="0" w:line="307" w:lineRule="exact"/>
        <w:ind w:left="0" w:right="0" w:firstLine="540"/>
        <w:jc w:val="both"/>
      </w:pPr>
      <w:r>
        <w:rPr>
          <w:color w:val="000000"/>
          <w:spacing w:val="0"/>
          <w:w w:val="100"/>
          <w:position w:val="0"/>
        </w:rPr>
        <w:t>预计未来现金流量的现值（在用价值），是指资产组在现有会计主体，按照现有的经营模式持续经营 该资产组的前提下未来现金流的现值。</w:t>
      </w:r>
    </w:p>
    <w:p>
      <w:pPr>
        <w:pStyle w:val="Style31"/>
        <w:keepNext w:val="0"/>
        <w:keepLines w:val="0"/>
        <w:widowControl w:val="0"/>
        <w:shd w:val="clear" w:color="auto" w:fill="auto"/>
        <w:bidi w:val="0"/>
        <w:spacing w:before="0" w:line="317" w:lineRule="exact"/>
        <w:ind w:left="0" w:right="0" w:firstLine="540"/>
        <w:jc w:val="both"/>
      </w:pPr>
      <w:r>
        <w:rPr>
          <w:color w:val="000000"/>
          <w:spacing w:val="0"/>
          <w:w w:val="100"/>
          <w:position w:val="0"/>
        </w:rPr>
        <w:t>资产的公允价值减去处置费用后的净额，应当根据公平交易中销售协议价格减去可直接归属于该资产 处置费用的金额确定。</w:t>
      </w:r>
    </w:p>
    <w:p>
      <w:pPr>
        <w:pStyle w:val="Style31"/>
        <w:keepNext w:val="0"/>
        <w:keepLines w:val="0"/>
        <w:widowControl w:val="0"/>
        <w:shd w:val="clear" w:color="auto" w:fill="auto"/>
        <w:bidi w:val="0"/>
        <w:spacing w:before="0" w:line="314" w:lineRule="exact"/>
        <w:ind w:left="0" w:right="0" w:firstLine="540"/>
        <w:jc w:val="both"/>
      </w:pPr>
      <w:r>
        <w:rPr>
          <w:color w:val="000000"/>
          <w:spacing w:val="0"/>
          <w:w w:val="100"/>
          <w:position w:val="0"/>
        </w:rPr>
        <w:t>经综合分析，按照《企业会计准则第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color w:val="000000"/>
          <w:spacing w:val="0"/>
          <w:w w:val="100"/>
          <w:position w:val="0"/>
        </w:rPr>
        <w:t>一</w:t>
      </w:r>
      <w:r>
        <w:rPr>
          <w:color w:val="000000"/>
          <w:spacing w:val="0"/>
          <w:w w:val="100"/>
          <w:position w:val="0"/>
        </w:rPr>
        <w:t>资产减值》的相关方法规定，无法可靠估计资产的公允价 值减去处置费用后的净额，因此采用收益法评估与商誉相关的资产组预计未来现金流量的现值作为其可收 回金额。</w:t>
      </w:r>
    </w:p>
    <w:p>
      <w:pPr>
        <w:pStyle w:val="Style31"/>
        <w:keepNext w:val="0"/>
        <w:keepLines w:val="0"/>
        <w:widowControl w:val="0"/>
        <w:numPr>
          <w:ilvl w:val="0"/>
          <w:numId w:val="163"/>
        </w:numPr>
        <w:shd w:val="clear" w:color="auto" w:fill="auto"/>
        <w:tabs>
          <w:tab w:pos="937" w:val="left"/>
        </w:tabs>
        <w:bidi w:val="0"/>
        <w:spacing w:before="0" w:line="316" w:lineRule="exact"/>
        <w:ind w:left="0" w:right="0" w:firstLine="540"/>
        <w:jc w:val="both"/>
      </w:pPr>
      <w:bookmarkStart w:id="1216" w:name="bookmark1216"/>
      <w:bookmarkEnd w:id="1216"/>
      <w:r>
        <w:rPr>
          <w:color w:val="000000"/>
          <w:spacing w:val="0"/>
          <w:w w:val="100"/>
          <w:position w:val="0"/>
        </w:rPr>
        <w:t>评估重要假设及依据</w:t>
      </w:r>
    </w:p>
    <w:p>
      <w:pPr>
        <w:pStyle w:val="Style31"/>
        <w:keepNext w:val="0"/>
        <w:keepLines w:val="0"/>
        <w:widowControl w:val="0"/>
        <w:shd w:val="clear" w:color="auto" w:fill="auto"/>
        <w:bidi w:val="0"/>
        <w:spacing w:before="0" w:line="312" w:lineRule="exact"/>
        <w:ind w:left="0" w:right="0" w:firstLine="540"/>
        <w:jc w:val="both"/>
      </w:pPr>
      <w:bookmarkStart w:id="1217" w:name="bookmark1217"/>
      <w:r>
        <w:rPr>
          <w:rFonts w:ascii="Times New Roman" w:eastAsia="Times New Roman" w:hAnsi="Times New Roman" w:cs="Times New Roman"/>
          <w:color w:val="000000"/>
          <w:spacing w:val="0"/>
          <w:w w:val="100"/>
          <w:position w:val="0"/>
        </w:rPr>
        <w:t>1</w:t>
      </w:r>
      <w:bookmarkEnd w:id="1217"/>
      <w:r>
        <w:rPr>
          <w:color w:val="000000"/>
          <w:spacing w:val="0"/>
          <w:w w:val="100"/>
          <w:position w:val="0"/>
        </w:rPr>
        <w:t>） 假设被评估单位持续经营，并在关键范围、销售模式和渠道、管理层等影响生产和经营的关键方 面与目前情况无重大变化；</w:t>
      </w:r>
    </w:p>
    <w:p>
      <w:pPr>
        <w:pStyle w:val="Style31"/>
        <w:keepNext w:val="0"/>
        <w:keepLines w:val="0"/>
        <w:widowControl w:val="0"/>
        <w:shd w:val="clear" w:color="auto" w:fill="auto"/>
        <w:tabs>
          <w:tab w:pos="810" w:val="left"/>
        </w:tabs>
        <w:bidi w:val="0"/>
        <w:spacing w:before="0" w:line="331" w:lineRule="exact"/>
        <w:ind w:left="0" w:right="0" w:firstLine="540"/>
        <w:jc w:val="both"/>
      </w:pPr>
      <w:bookmarkStart w:id="1218" w:name="bookmark1218"/>
      <w:r>
        <w:rPr>
          <w:rFonts w:ascii="Times New Roman" w:eastAsia="Times New Roman" w:hAnsi="Times New Roman" w:cs="Times New Roman"/>
          <w:color w:val="000000"/>
          <w:spacing w:val="0"/>
          <w:w w:val="100"/>
          <w:position w:val="0"/>
        </w:rPr>
        <w:t>2</w:t>
      </w:r>
      <w:bookmarkEnd w:id="1218"/>
      <w:r>
        <w:rPr>
          <w:color w:val="000000"/>
          <w:spacing w:val="0"/>
          <w:w w:val="100"/>
          <w:position w:val="0"/>
        </w:rPr>
        <w:t>）</w:t>
        <w:tab/>
        <w:t>国家现行的有关法律法规及政策、国家宏观经济形势无重大变化，政治、经济和社会环境无重大 变化。</w:t>
      </w:r>
    </w:p>
    <w:p>
      <w:pPr>
        <w:pStyle w:val="Style31"/>
        <w:keepNext w:val="0"/>
        <w:keepLines w:val="0"/>
        <w:widowControl w:val="0"/>
        <w:shd w:val="clear" w:color="auto" w:fill="auto"/>
        <w:tabs>
          <w:tab w:pos="932" w:val="left"/>
        </w:tabs>
        <w:bidi w:val="0"/>
        <w:spacing w:before="0" w:line="316" w:lineRule="exact"/>
        <w:ind w:left="0" w:right="0" w:firstLine="540"/>
        <w:jc w:val="both"/>
      </w:pPr>
      <w:bookmarkStart w:id="1219" w:name="bookmark1219"/>
      <w:r>
        <w:rPr>
          <w:rFonts w:ascii="Times New Roman" w:eastAsia="Times New Roman" w:hAnsi="Times New Roman" w:cs="Times New Roman"/>
          <w:color w:val="000000"/>
          <w:spacing w:val="0"/>
          <w:w w:val="100"/>
          <w:position w:val="0"/>
        </w:rPr>
        <w:t>3</w:t>
      </w:r>
      <w:bookmarkEnd w:id="1219"/>
      <w:r>
        <w:rPr>
          <w:color w:val="000000"/>
          <w:spacing w:val="0"/>
          <w:w w:val="100"/>
          <w:position w:val="0"/>
        </w:rPr>
        <w:t>）</w:t>
        <w:tab/>
        <w:t>假设无其他人力不可抗拒因素及不可预见因素对企业经营造成重大不利影响。</w:t>
      </w:r>
    </w:p>
    <w:p>
      <w:pPr>
        <w:pStyle w:val="Style31"/>
        <w:keepNext w:val="0"/>
        <w:keepLines w:val="0"/>
        <w:widowControl w:val="0"/>
        <w:shd w:val="clear" w:color="auto" w:fill="auto"/>
        <w:bidi w:val="0"/>
        <w:spacing w:before="0" w:line="316" w:lineRule="exact"/>
        <w:ind w:left="0" w:right="0" w:firstLine="540"/>
        <w:jc w:val="both"/>
      </w:pPr>
      <w:bookmarkStart w:id="1220" w:name="bookmark1220"/>
      <w:r>
        <w:rPr>
          <w:rFonts w:ascii="Times New Roman" w:eastAsia="Times New Roman" w:hAnsi="Times New Roman" w:cs="Times New Roman"/>
          <w:color w:val="000000"/>
          <w:spacing w:val="0"/>
          <w:w w:val="100"/>
          <w:position w:val="0"/>
        </w:rPr>
        <w:t>4</w:t>
      </w:r>
      <w:bookmarkEnd w:id="1220"/>
      <w:r>
        <w:rPr>
          <w:color w:val="000000"/>
          <w:spacing w:val="0"/>
          <w:w w:val="100"/>
          <w:position w:val="0"/>
        </w:rPr>
        <w:t>） 假设公司在现有的管理方式和管理水平的基础上，经营范围、方式与目前方向保持一致。</w:t>
      </w:r>
    </w:p>
    <w:p>
      <w:pPr>
        <w:pStyle w:val="Style31"/>
        <w:keepNext w:val="0"/>
        <w:keepLines w:val="0"/>
        <w:widowControl w:val="0"/>
        <w:shd w:val="clear" w:color="auto" w:fill="auto"/>
        <w:bidi w:val="0"/>
        <w:spacing w:before="0" w:after="220" w:line="316" w:lineRule="exact"/>
        <w:ind w:left="0" w:right="0" w:firstLine="540"/>
        <w:jc w:val="both"/>
      </w:pPr>
      <w:bookmarkStart w:id="1221" w:name="bookmark1221"/>
      <w:r>
        <w:rPr>
          <w:rFonts w:ascii="Times New Roman" w:eastAsia="Times New Roman" w:hAnsi="Times New Roman" w:cs="Times New Roman"/>
          <w:color w:val="000000"/>
          <w:spacing w:val="0"/>
          <w:w w:val="100"/>
          <w:position w:val="0"/>
        </w:rPr>
        <w:t>5</w:t>
      </w:r>
      <w:bookmarkEnd w:id="1221"/>
      <w:r>
        <w:rPr>
          <w:color w:val="000000"/>
          <w:spacing w:val="0"/>
          <w:w w:val="100"/>
          <w:position w:val="0"/>
        </w:rPr>
        <w:t>） 有关利率、汇率、赋税基准及税率、政策性征收费用等不发生重大变化。</w:t>
      </w:r>
    </w:p>
    <w:p>
      <w:pPr>
        <w:pStyle w:val="Style14"/>
        <w:keepNext w:val="0"/>
        <w:keepLines w:val="0"/>
        <w:widowControl w:val="0"/>
        <w:shd w:val="clear" w:color="auto" w:fill="auto"/>
        <w:bidi w:val="0"/>
        <w:spacing w:before="0" w:after="0" w:line="240" w:lineRule="auto"/>
        <w:ind w:left="518" w:right="0" w:firstLine="0"/>
        <w:jc w:val="left"/>
        <w:rPr>
          <w:sz w:val="20"/>
          <w:szCs w:val="20"/>
        </w:rPr>
      </w:pPr>
      <w:r>
        <w:rPr>
          <w:color w:val="000000"/>
          <w:spacing w:val="0"/>
          <w:w w:val="100"/>
          <w:position w:val="0"/>
          <w:sz w:val="20"/>
          <w:szCs w:val="20"/>
        </w:rPr>
        <w:t>③关键参数</w:t>
      </w:r>
    </w:p>
    <w:tbl>
      <w:tblPr>
        <w:tblOverlap w:val="never"/>
        <w:jc w:val="center"/>
        <w:tblLayout w:type="fixed"/>
      </w:tblPr>
      <w:tblGrid>
        <w:gridCol w:w="1891"/>
        <w:gridCol w:w="1800"/>
        <w:gridCol w:w="1546"/>
        <w:gridCol w:w="1670"/>
        <w:gridCol w:w="1925"/>
        <w:gridCol w:w="1046"/>
      </w:tblGrid>
      <w:tr>
        <w:trPr>
          <w:trHeight w:val="341"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49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预测期增长率</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稳定期增长率</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利润率</w:t>
            </w:r>
          </w:p>
        </w:tc>
        <w:tc>
          <w:tcPr>
            <w:tcBorders>
              <w:top w:val="single" w:sz="4"/>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w:t>
            </w:r>
          </w:p>
        </w:tc>
      </w:tr>
      <w:tr>
        <w:trPr>
          <w:trHeight w:val="6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深圳市互联精英信息 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righ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年（后 续为稳定期）</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80"/>
              <w:jc w:val="left"/>
              <w:rPr>
                <w:sz w:val="18"/>
                <w:szCs w:val="18"/>
              </w:rPr>
            </w:pPr>
            <w:r>
              <w:rPr>
                <w:color w:val="000000"/>
                <w:spacing w:val="0"/>
                <w:w w:val="100"/>
                <w:position w:val="0"/>
                <w:sz w:val="17"/>
                <w:szCs w:val="17"/>
              </w:rPr>
              <w:t>与预测期末</w:t>
            </w:r>
            <w:r>
              <w:rPr>
                <w:rFonts w:ascii="Times New Roman" w:eastAsia="Times New Roman" w:hAnsi="Times New Roman" w:cs="Times New Roman"/>
                <w:color w:val="000000"/>
                <w:spacing w:val="0"/>
                <w:w w:val="100"/>
                <w:position w:val="0"/>
                <w:sz w:val="18"/>
                <w:szCs w:val="18"/>
              </w:rPr>
              <w:t>2026</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年持平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根据预测的收入、成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本、费用等计算</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w:t>
            </w:r>
          </w:p>
        </w:tc>
      </w:tr>
    </w:tbl>
    <w:p>
      <w:pPr>
        <w:widowControl w:val="0"/>
        <w:spacing w:after="139" w:line="1" w:lineRule="exact"/>
      </w:pPr>
    </w:p>
    <w:p>
      <w:pPr>
        <w:pStyle w:val="Style31"/>
        <w:keepNext w:val="0"/>
        <w:keepLines w:val="0"/>
        <w:widowControl w:val="0"/>
        <w:shd w:val="clear" w:color="auto" w:fill="auto"/>
        <w:bidi w:val="0"/>
        <w:spacing w:before="0" w:line="306" w:lineRule="exact"/>
        <w:ind w:left="0" w:right="0" w:firstLine="54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 xml:space="preserve">深圳市互联精英信息技术有限公司根据历史年度的经营状况，未来的战略发展规划、市场营销 计划、自身经营优劣势分析以及对行业政策、市场竞争环境等方面的判断，预计未来五年业务逐年增加， 同时基于历史年度平均售价以及市场竞争环境预计价格呈下降趋势，综合分析确定销售收入增长率分别为 </w:t>
      </w:r>
      <w:r>
        <w:rPr>
          <w:rFonts w:ascii="Times New Roman" w:eastAsia="Times New Roman" w:hAnsi="Times New Roman" w:cs="Times New Roman"/>
          <w:color w:val="000000"/>
          <w:spacing w:val="0"/>
          <w:w w:val="100"/>
          <w:position w:val="0"/>
        </w:rPr>
        <w:t>15.50%</w:t>
      </w:r>
      <w:r>
        <w:rPr>
          <w:color w:val="000000"/>
          <w:spacing w:val="0"/>
          <w:w w:val="100"/>
          <w:position w:val="0"/>
        </w:rPr>
        <w:t>、</w:t>
      </w:r>
      <w:r>
        <w:rPr>
          <w:rFonts w:ascii="Times New Roman" w:eastAsia="Times New Roman" w:hAnsi="Times New Roman" w:cs="Times New Roman"/>
          <w:color w:val="000000"/>
          <w:spacing w:val="0"/>
          <w:w w:val="100"/>
          <w:position w:val="0"/>
        </w:rPr>
        <w:t>12.50%</w:t>
      </w:r>
      <w:r>
        <w:rPr>
          <w:color w:val="000000"/>
          <w:spacing w:val="0"/>
          <w:w w:val="100"/>
          <w:position w:val="0"/>
        </w:rPr>
        <w:t>、</w:t>
      </w:r>
      <w:r>
        <w:rPr>
          <w:rFonts w:ascii="Times New Roman" w:eastAsia="Times New Roman" w:hAnsi="Times New Roman" w:cs="Times New Roman"/>
          <w:color w:val="000000"/>
          <w:spacing w:val="0"/>
          <w:w w:val="100"/>
          <w:position w:val="0"/>
        </w:rPr>
        <w:t>9.30%</w:t>
      </w:r>
      <w:r>
        <w:rPr>
          <w:color w:val="000000"/>
          <w:spacing w:val="0"/>
          <w:w w:val="100"/>
          <w:position w:val="0"/>
        </w:rPr>
        <w:t>、</w:t>
      </w:r>
      <w:r>
        <w:rPr>
          <w:rFonts w:ascii="Times New Roman" w:eastAsia="Times New Roman" w:hAnsi="Times New Roman" w:cs="Times New Roman"/>
          <w:color w:val="000000"/>
          <w:spacing w:val="0"/>
          <w:w w:val="100"/>
          <w:position w:val="0"/>
        </w:rPr>
        <w:t>7.60%</w:t>
      </w:r>
      <w:r>
        <w:rPr>
          <w:color w:val="000000"/>
          <w:spacing w:val="0"/>
          <w:w w:val="100"/>
          <w:position w:val="0"/>
        </w:rPr>
        <w:t>、</w:t>
      </w:r>
      <w:r>
        <w:rPr>
          <w:rFonts w:ascii="Times New Roman" w:eastAsia="Times New Roman" w:hAnsi="Times New Roman" w:cs="Times New Roman"/>
          <w:color w:val="000000"/>
          <w:spacing w:val="0"/>
          <w:w w:val="100"/>
          <w:position w:val="0"/>
        </w:rPr>
        <w:t>4.20%</w:t>
      </w:r>
      <w:r>
        <w:rPr>
          <w:color w:val="000000"/>
          <w:spacing w:val="0"/>
          <w:w w:val="100"/>
          <w:position w:val="0"/>
        </w:rPr>
        <w:t>。</w:t>
      </w:r>
    </w:p>
    <w:p>
      <w:pPr>
        <w:pStyle w:val="Style31"/>
        <w:keepNext w:val="0"/>
        <w:keepLines w:val="0"/>
        <w:widowControl w:val="0"/>
        <w:shd w:val="clear" w:color="auto" w:fill="auto"/>
        <w:bidi w:val="0"/>
        <w:spacing w:before="0" w:line="331" w:lineRule="exact"/>
        <w:ind w:left="0" w:right="0" w:firstLine="54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公司采用的折现率是反映当前市场货币时间价值和相关资产组特定风险的税前利率。管理层在 预计未来现金流量时采用的关键假设与历史经验及外部信息来源一致。</w:t>
      </w: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商誉减值测试的影响</w:t>
      </w: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1</w:t>
      </w:r>
      <w:bookmarkEnd w:id="1224"/>
      <w:r>
        <w:rPr>
          <w:rFonts w:ascii="Times New Roman" w:eastAsia="Times New Roman" w:hAnsi="Times New Roman" w:cs="Times New Roman"/>
          <w:color w:val="000000"/>
          <w:spacing w:val="0"/>
          <w:w w:val="100"/>
          <w:position w:val="0"/>
        </w:rPr>
        <w:t>6</w:t>
      </w:r>
      <w:r>
        <w:rPr>
          <w:color w:val="000000"/>
          <w:spacing w:val="0"/>
          <w:w w:val="100"/>
          <w:position w:val="0"/>
        </w:rPr>
        <w:t>、长期待摊费用</w:t>
      </w:r>
      <w:bookmarkEnd w:id="1222"/>
      <w:bookmarkEnd w:id="1223"/>
      <w:bookmarkEnd w:id="1225"/>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2,692,776.87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990,967.87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1,701,809.00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2,692,776.87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990,967.87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1,701,809.00</w:t>
            </w:r>
          </w:p>
        </w:tc>
      </w:tr>
    </w:tbl>
    <w:p>
      <w:pPr>
        <w:widowControl w:val="0"/>
        <w:spacing w:after="179" w:line="1" w:lineRule="exact"/>
      </w:pP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after="38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1</w:t>
      </w:r>
      <w:bookmarkEnd w:id="1228"/>
      <w:r>
        <w:rPr>
          <w:rFonts w:ascii="Times New Roman" w:eastAsia="Times New Roman" w:hAnsi="Times New Roman" w:cs="Times New Roman"/>
          <w:color w:val="000000"/>
          <w:spacing w:val="0"/>
          <w:w w:val="100"/>
          <w:position w:val="0"/>
        </w:rPr>
        <w:t>7</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26"/>
      <w:bookmarkEnd w:id="1227"/>
      <w:bookmarkEnd w:id="1229"/>
    </w:p>
    <w:p>
      <w:pPr>
        <w:pStyle w:val="Style35"/>
        <w:keepNext/>
        <w:keepLines/>
        <w:widowControl w:val="0"/>
        <w:shd w:val="clear" w:color="auto" w:fill="auto"/>
        <w:bidi w:val="0"/>
        <w:spacing w:before="0" w:after="380" w:line="240" w:lineRule="auto"/>
        <w:ind w:left="0" w:right="0" w:firstLine="0"/>
        <w:jc w:val="left"/>
      </w:pPr>
      <w:bookmarkStart w:id="1230" w:name="bookmark1230"/>
      <w:bookmarkStart w:id="1231" w:name="bookmark1231"/>
      <w:bookmarkStart w:id="1232" w:name="bookmark12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30"/>
      <w:bookmarkEnd w:id="1231"/>
      <w:bookmarkEnd w:id="1232"/>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27,578,801.84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4,166,607.42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18,661,251.36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2,808,293.69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2,145,652.85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517,499.86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分期收款销售商品存货 的所得税影响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33,000,654.58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6,163,921.39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44,203,982.94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7,844,420.66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4,089,979.73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613,496.96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4,786,724.77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718,008.70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使用权资产与租赁负债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66,867,934.17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11,469,452.41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67,651,959.07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11,370,723.05</w:t>
            </w:r>
          </w:p>
        </w:tc>
      </w:tr>
    </w:tbl>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1233" w:name="bookmark1233"/>
      <w:bookmarkStart w:id="1234" w:name="bookmark1234"/>
      <w:bookmarkStart w:id="1235" w:name="bookmark1235"/>
      <w:bookmarkStart w:id="1236" w:name="bookmark1236"/>
      <w:r>
        <w:rPr>
          <w:color w:val="000000"/>
          <w:spacing w:val="0"/>
          <w:w w:val="100"/>
          <w:position w:val="0"/>
        </w:rPr>
        <w:t>（</w:t>
      </w:r>
      <w:bookmarkEnd w:id="1235"/>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33"/>
      <w:bookmarkEnd w:id="1234"/>
      <w:bookmarkEnd w:id="1236"/>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48,289,618.88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8,173,053.50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68,529,953.25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11,167,192.16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使用权资产与租赁负债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148,548.75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37,137.18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15"/>
        <w:gridCol w:w="1920"/>
        <w:gridCol w:w="1925"/>
        <w:gridCol w:w="1901"/>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49,038,167.63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8,300,190.68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69,129,953.25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11,257,192.16</w:t>
            </w:r>
          </w:p>
        </w:tc>
      </w:tr>
    </w:tbl>
    <w:p>
      <w:pPr>
        <w:widowControl w:val="0"/>
        <w:spacing w:after="319" w:line="1" w:lineRule="exact"/>
      </w:pPr>
    </w:p>
    <w:p>
      <w:pPr>
        <w:pStyle w:val="Style35"/>
        <w:keepNext/>
        <w:keepLines/>
        <w:widowControl w:val="0"/>
        <w:numPr>
          <w:ilvl w:val="0"/>
          <w:numId w:val="165"/>
        </w:numPr>
        <w:shd w:val="clear" w:color="auto" w:fill="auto"/>
        <w:bidi w:val="0"/>
        <w:spacing w:before="0" w:after="400" w:line="240" w:lineRule="auto"/>
        <w:ind w:left="0" w:right="0" w:firstLine="0"/>
        <w:jc w:val="left"/>
      </w:pPr>
      <w:bookmarkStart w:id="1237" w:name="bookmark1237"/>
      <w:bookmarkStart w:id="1238" w:name="bookmark1238"/>
      <w:bookmarkStart w:id="1239" w:name="bookmark1239"/>
      <w:bookmarkStart w:id="1240" w:name="bookmark1240"/>
      <w:bookmarkEnd w:id="1239"/>
      <w:r>
        <w:rPr>
          <w:color w:val="000000"/>
          <w:spacing w:val="0"/>
          <w:w w:val="100"/>
          <w:position w:val="0"/>
        </w:rPr>
        <w:t>未确认递延所得税资产明细</w:t>
      </w:r>
      <w:bookmarkEnd w:id="1237"/>
      <w:bookmarkEnd w:id="1238"/>
      <w:bookmarkEnd w:id="1240"/>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1,548,007.95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1,489,015.14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1,548,022.95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1,489,042.13</w:t>
            </w:r>
          </w:p>
        </w:tc>
      </w:tr>
    </w:tbl>
    <w:p>
      <w:pPr>
        <w:widowControl w:val="0"/>
        <w:spacing w:after="319" w:line="1" w:lineRule="exact"/>
      </w:pPr>
    </w:p>
    <w:p>
      <w:pPr>
        <w:pStyle w:val="Style35"/>
        <w:keepNext/>
        <w:keepLines/>
        <w:widowControl w:val="0"/>
        <w:numPr>
          <w:ilvl w:val="0"/>
          <w:numId w:val="165"/>
        </w:numPr>
        <w:shd w:val="clear" w:color="auto" w:fill="auto"/>
        <w:bidi w:val="0"/>
        <w:spacing w:before="0" w:after="400" w:line="240" w:lineRule="auto"/>
        <w:ind w:left="0" w:right="0" w:firstLine="0"/>
        <w:jc w:val="left"/>
      </w:pPr>
      <w:bookmarkStart w:id="1241" w:name="bookmark1241"/>
      <w:bookmarkStart w:id="1242" w:name="bookmark1242"/>
      <w:bookmarkStart w:id="1243" w:name="bookmark1243"/>
      <w:bookmarkStart w:id="1244" w:name="bookmark1244"/>
      <w:bookmarkEnd w:id="1243"/>
      <w:r>
        <w:rPr>
          <w:color w:val="000000"/>
          <w:spacing w:val="0"/>
          <w:w w:val="100"/>
          <w:position w:val="0"/>
        </w:rPr>
        <w:t>未确认递延所得税资产的可抵扣亏损将于以下年度到期</w:t>
      </w:r>
      <w:bookmarkEnd w:id="1241"/>
      <w:bookmarkEnd w:id="1242"/>
      <w:bookmarkEnd w:id="1244"/>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661,903.74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661,903.74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528,317.02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528,317.02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297,940.01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298,794.38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天亿马科技本期弥补亏损</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854.37 </w:t>
            </w:r>
            <w:r>
              <w:rPr>
                <w:color w:val="000000"/>
                <w:spacing w:val="0"/>
                <w:w w:val="100"/>
                <w:position w:val="0"/>
              </w:rPr>
              <w:t>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59,847.18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1,548,007.95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1,489,015.14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31"/>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400" w:line="307" w:lineRule="exact"/>
        <w:ind w:left="0" w:right="0" w:firstLine="440"/>
        <w:jc w:val="left"/>
      </w:pPr>
      <w:r>
        <w:rPr>
          <w:color w:val="000000"/>
          <w:spacing w:val="0"/>
          <w:w w:val="100"/>
          <w:position w:val="0"/>
        </w:rPr>
        <w:t>注：子公司重庆天亿马经营亏损，未来能否获得足够的应纳税所得额具有不确定性，对其可抵扣亏损 和可抵扣暂时性差异未确认递延所得税资产。</w:t>
      </w:r>
    </w:p>
    <w:p>
      <w:pPr>
        <w:pStyle w:val="Style28"/>
        <w:keepNext/>
        <w:keepLines/>
        <w:widowControl w:val="0"/>
        <w:shd w:val="clear" w:color="auto" w:fill="auto"/>
        <w:bidi w:val="0"/>
        <w:spacing w:before="0" w:after="320" w:line="322"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1</w:t>
      </w:r>
      <w:bookmarkEnd w:id="1247"/>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245"/>
      <w:bookmarkEnd w:id="1246"/>
      <w:bookmarkEnd w:id="1248"/>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6,743,130.12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737,860.58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6,005,269.54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3,188,552.91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288,359.63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2,900,193.28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-5,095,414.54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-606,424.75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-4,488,989.79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-570,707.43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-570,707.43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1,647,715.58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131,435.83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1,516,279.75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2,617,845.48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288,359.63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2,329,485.85</w:t>
            </w:r>
          </w:p>
        </w:tc>
      </w:tr>
    </w:tbl>
    <w:p>
      <w:pPr>
        <w:widowControl w:val="0"/>
        <w:spacing w:after="179" w:line="1" w:lineRule="exact"/>
      </w:pPr>
    </w:p>
    <w:p>
      <w:pPr>
        <w:pStyle w:val="Style31"/>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注：一年到期部分详见本节七、</w:t>
      </w: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合同资产</w:t>
      </w:r>
      <w:r>
        <w:rPr>
          <w:rFonts w:ascii="Times New Roman" w:eastAsia="Times New Roman" w:hAnsi="Times New Roman" w:cs="Times New Roman"/>
          <w:color w:val="000000"/>
          <w:spacing w:val="0"/>
          <w:w w:val="100"/>
          <w:position w:val="0"/>
        </w:rPr>
        <w:t>”</w:t>
      </w:r>
      <w:r>
        <w:rPr>
          <w:color w:val="000000"/>
          <w:spacing w:val="0"/>
          <w:w w:val="100"/>
          <w:position w:val="0"/>
        </w:rPr>
        <w:t>。</w:t>
      </w:r>
      <w:r>
        <w:br w:type="page"/>
      </w:r>
    </w:p>
    <w:p>
      <w:pPr>
        <w:pStyle w:val="Style28"/>
        <w:keepNext/>
        <w:keepLines/>
        <w:widowControl w:val="0"/>
        <w:shd w:val="clear" w:color="auto" w:fill="auto"/>
        <w:bidi w:val="0"/>
        <w:spacing w:before="0" w:after="38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1</w:t>
      </w:r>
      <w:bookmarkEnd w:id="1251"/>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249"/>
      <w:bookmarkEnd w:id="1250"/>
      <w:bookmarkEnd w:id="1252"/>
    </w:p>
    <w:p>
      <w:pPr>
        <w:pStyle w:val="Style35"/>
        <w:keepNext/>
        <w:keepLines/>
        <w:widowControl w:val="0"/>
        <w:shd w:val="clear" w:color="auto" w:fill="auto"/>
        <w:bidi w:val="0"/>
        <w:spacing w:before="0" w:after="380" w:line="240" w:lineRule="auto"/>
        <w:ind w:left="0" w:right="0" w:firstLine="0"/>
        <w:jc w:val="left"/>
      </w:pPr>
      <w:bookmarkStart w:id="1253" w:name="bookmark1253"/>
      <w:bookmarkStart w:id="1254" w:name="bookmark1254"/>
      <w:bookmarkStart w:id="1255" w:name="bookmark12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53"/>
      <w:bookmarkEnd w:id="1254"/>
      <w:bookmarkEnd w:id="1255"/>
    </w:p>
    <w:tbl>
      <w:tblPr>
        <w:tblOverlap w:val="never"/>
        <w:jc w:val="center"/>
        <w:tblLayout w:type="fixed"/>
      </w:tblPr>
      <w:tblGrid>
        <w:gridCol w:w="3192"/>
        <w:gridCol w:w="3192"/>
        <w:gridCol w:w="3259"/>
      </w:tblGrid>
      <w:tr>
        <w:trPr>
          <w:trHeight w:val="307"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2,005,111.11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3,007,312.50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5,012,423.61</w:t>
            </w:r>
          </w:p>
        </w:tc>
      </w:tr>
    </w:tbl>
    <w:p>
      <w:pPr>
        <w:widowControl w:val="0"/>
        <w:spacing w:after="199" w:line="1" w:lineRule="exact"/>
      </w:pPr>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rPr>
        <w:t>短期借款分类的说明：</w:t>
      </w:r>
    </w:p>
    <w:p>
      <w:pPr>
        <w:pStyle w:val="Style31"/>
        <w:keepNext w:val="0"/>
        <w:keepLines w:val="0"/>
        <w:widowControl w:val="0"/>
        <w:numPr>
          <w:ilvl w:val="0"/>
          <w:numId w:val="167"/>
        </w:numPr>
        <w:shd w:val="clear" w:color="auto" w:fill="auto"/>
        <w:tabs>
          <w:tab w:pos="832" w:val="left"/>
        </w:tabs>
        <w:bidi w:val="0"/>
        <w:spacing w:before="0" w:after="200" w:line="240" w:lineRule="auto"/>
        <w:ind w:left="0" w:right="0" w:firstLine="440"/>
        <w:jc w:val="left"/>
      </w:pPr>
      <w:bookmarkStart w:id="1256" w:name="bookmark1256"/>
      <w:bookmarkEnd w:id="1256"/>
      <w:r>
        <w:rPr>
          <w:color w:val="000000"/>
          <w:spacing w:val="0"/>
          <w:w w:val="100"/>
          <w:position w:val="0"/>
        </w:rPr>
        <w:t>年末无已逾期未偿还的短期借款情况。</w:t>
      </w:r>
    </w:p>
    <w:p>
      <w:pPr>
        <w:pStyle w:val="Style31"/>
        <w:keepNext w:val="0"/>
        <w:keepLines w:val="0"/>
        <w:widowControl w:val="0"/>
        <w:numPr>
          <w:ilvl w:val="0"/>
          <w:numId w:val="167"/>
        </w:numPr>
        <w:shd w:val="clear" w:color="auto" w:fill="auto"/>
        <w:tabs>
          <w:tab w:pos="837" w:val="left"/>
        </w:tabs>
        <w:bidi w:val="0"/>
        <w:spacing w:before="0" w:after="200" w:line="240" w:lineRule="auto"/>
        <w:ind w:left="0" w:right="0" w:firstLine="440"/>
        <w:jc w:val="left"/>
      </w:pPr>
      <w:bookmarkStart w:id="1257" w:name="bookmark1257"/>
      <w:bookmarkEnd w:id="1257"/>
      <w:r>
        <w:rPr>
          <w:color w:val="000000"/>
          <w:spacing w:val="0"/>
          <w:w w:val="100"/>
          <w:position w:val="0"/>
        </w:rPr>
        <w:t>质押借款的抵押资产类别以及金额，详见本节七、</w:t>
      </w:r>
      <w:r>
        <w:rPr>
          <w:rFonts w:ascii="Times New Roman" w:eastAsia="Times New Roman" w:hAnsi="Times New Roman" w:cs="Times New Roman"/>
          <w:color w:val="000000"/>
          <w:spacing w:val="0"/>
          <w:w w:val="100"/>
          <w:position w:val="0"/>
        </w:rPr>
        <w:t>49</w:t>
      </w:r>
      <w:r>
        <w:rPr>
          <w:color w:val="000000"/>
          <w:spacing w:val="0"/>
          <w:w w:val="100"/>
          <w:position w:val="0"/>
        </w:rPr>
        <w:t>、 “所有权或使用权受到闲置的资产”。</w:t>
      </w:r>
    </w:p>
    <w:p>
      <w:pPr>
        <w:pStyle w:val="Style31"/>
        <w:keepNext w:val="0"/>
        <w:keepLines w:val="0"/>
        <w:widowControl w:val="0"/>
        <w:numPr>
          <w:ilvl w:val="0"/>
          <w:numId w:val="167"/>
        </w:numPr>
        <w:shd w:val="clear" w:color="auto" w:fill="auto"/>
        <w:tabs>
          <w:tab w:pos="837" w:val="left"/>
        </w:tabs>
        <w:bidi w:val="0"/>
        <w:spacing w:before="0" w:after="380" w:line="240" w:lineRule="auto"/>
        <w:ind w:left="0" w:right="0" w:firstLine="440"/>
        <w:jc w:val="left"/>
      </w:pPr>
      <w:bookmarkStart w:id="1258" w:name="bookmark1258"/>
      <w:bookmarkEnd w:id="1258"/>
      <w:r>
        <w:rPr>
          <w:color w:val="000000"/>
          <w:spacing w:val="0"/>
          <w:w w:val="100"/>
          <w:position w:val="0"/>
        </w:rPr>
        <w:t>银行借款保证情况，详见本节十二、</w:t>
      </w:r>
      <w:r>
        <w:rPr>
          <w:rFonts w:ascii="Times New Roman" w:eastAsia="Times New Roman" w:hAnsi="Times New Roman" w:cs="Times New Roman"/>
          <w:color w:val="000000"/>
          <w:spacing w:val="0"/>
          <w:w w:val="100"/>
          <w:position w:val="0"/>
        </w:rPr>
        <w:t>4</w:t>
      </w:r>
      <w:r>
        <w:rPr>
          <w:color w:val="000000"/>
          <w:spacing w:val="0"/>
          <w:w w:val="100"/>
          <w:position w:val="0"/>
        </w:rPr>
        <w:t>、“关联交易情况”（</w:t>
      </w:r>
      <w:r>
        <w:rPr>
          <w:rFonts w:ascii="Times New Roman" w:eastAsia="Times New Roman" w:hAnsi="Times New Roman" w:cs="Times New Roman"/>
          <w:color w:val="000000"/>
          <w:spacing w:val="0"/>
          <w:w w:val="100"/>
          <w:position w:val="0"/>
        </w:rPr>
        <w:t>3</w:t>
      </w:r>
      <w:r>
        <w:rPr>
          <w:color w:val="000000"/>
          <w:spacing w:val="0"/>
          <w:w w:val="100"/>
          <w:position w:val="0"/>
        </w:rPr>
        <w:t>）“关联担保情况”。</w:t>
      </w:r>
    </w:p>
    <w:p>
      <w:pPr>
        <w:pStyle w:val="Style28"/>
        <w:keepNext/>
        <w:keepLines/>
        <w:widowControl w:val="0"/>
        <w:shd w:val="clear" w:color="auto" w:fill="auto"/>
        <w:bidi w:val="0"/>
        <w:spacing w:before="0" w:after="380" w:line="240" w:lineRule="auto"/>
        <w:ind w:left="0" w:right="0" w:firstLine="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2</w:t>
      </w:r>
      <w:bookmarkEnd w:id="1261"/>
      <w:r>
        <w:rPr>
          <w:rFonts w:ascii="Times New Roman" w:eastAsia="Times New Roman" w:hAnsi="Times New Roman" w:cs="Times New Roman"/>
          <w:color w:val="000000"/>
          <w:spacing w:val="0"/>
          <w:w w:val="100"/>
          <w:position w:val="0"/>
        </w:rPr>
        <w:t>0</w:t>
      </w:r>
      <w:r>
        <w:rPr>
          <w:color w:val="000000"/>
          <w:spacing w:val="0"/>
          <w:w w:val="100"/>
          <w:position w:val="0"/>
        </w:rPr>
        <w:t>、应付票据</w:t>
      </w:r>
      <w:bookmarkEnd w:id="1259"/>
      <w:bookmarkEnd w:id="1260"/>
      <w:bookmarkEnd w:id="1262"/>
    </w:p>
    <w:tbl>
      <w:tblPr>
        <w:tblOverlap w:val="never"/>
        <w:jc w:val="center"/>
        <w:tblLayout w:type="fixed"/>
      </w:tblPr>
      <w:tblGrid>
        <w:gridCol w:w="3192"/>
        <w:gridCol w:w="3192"/>
        <w:gridCol w:w="3259"/>
      </w:tblGrid>
      <w:tr>
        <w:trPr>
          <w:trHeight w:val="307"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8920" w:right="0" w:firstLine="0"/>
              <w:jc w:val="lef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489,583.00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4,617,986.00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489,583.00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4,617,986.00</w:t>
            </w:r>
          </w:p>
        </w:tc>
      </w:tr>
    </w:tbl>
    <w:p>
      <w:pPr>
        <w:widowControl w:val="0"/>
        <w:spacing w:after="1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keepLines/>
        <w:widowControl w:val="0"/>
        <w:shd w:val="clear" w:color="auto" w:fill="auto"/>
        <w:bidi w:val="0"/>
        <w:spacing w:before="0" w:after="380" w:line="240" w:lineRule="auto"/>
        <w:ind w:left="0" w:right="0" w:firstLine="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2</w:t>
      </w:r>
      <w:bookmarkEnd w:id="1265"/>
      <w:r>
        <w:rPr>
          <w:rFonts w:ascii="Times New Roman" w:eastAsia="Times New Roman" w:hAnsi="Times New Roman" w:cs="Times New Roman"/>
          <w:color w:val="000000"/>
          <w:spacing w:val="0"/>
          <w:w w:val="100"/>
          <w:position w:val="0"/>
        </w:rPr>
        <w:t>1</w:t>
      </w:r>
      <w:r>
        <w:rPr>
          <w:color w:val="000000"/>
          <w:spacing w:val="0"/>
          <w:w w:val="100"/>
          <w:position w:val="0"/>
        </w:rPr>
        <w:t>、应付账款</w:t>
      </w:r>
      <w:bookmarkEnd w:id="1263"/>
      <w:bookmarkEnd w:id="1264"/>
      <w:bookmarkEnd w:id="1266"/>
    </w:p>
    <w:p>
      <w:pPr>
        <w:pStyle w:val="Style35"/>
        <w:keepNext/>
        <w:keepLines/>
        <w:widowControl w:val="0"/>
        <w:shd w:val="clear" w:color="auto" w:fill="auto"/>
        <w:bidi w:val="0"/>
        <w:spacing w:before="0" w:after="380" w:line="240" w:lineRule="auto"/>
        <w:ind w:left="0" w:right="0" w:firstLine="0"/>
        <w:jc w:val="left"/>
      </w:pPr>
      <w:bookmarkStart w:id="1267" w:name="bookmark1267"/>
      <w:bookmarkStart w:id="1268" w:name="bookmark1268"/>
      <w:bookmarkStart w:id="1269" w:name="bookmark12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67"/>
      <w:bookmarkEnd w:id="1268"/>
      <w:bookmarkEnd w:id="126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69,924,598.96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63,760,876.08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3,556,086.19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7,294,485.52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3,130,175.58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768,429.17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173,791.24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356,343.14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591,448.59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977,637.57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77,376,100.56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73,157,771.48</w:t>
            </w:r>
          </w:p>
        </w:tc>
      </w:tr>
    </w:tbl>
    <w:p>
      <w:pPr>
        <w:widowControl w:val="0"/>
        <w:spacing w:after="379" w:line="1" w:lineRule="exact"/>
      </w:pPr>
    </w:p>
    <w:p>
      <w:pPr>
        <w:pStyle w:val="Style35"/>
        <w:keepNext/>
        <w:keepLines/>
        <w:widowControl w:val="0"/>
        <w:shd w:val="clear" w:color="auto" w:fill="auto"/>
        <w:bidi w:val="0"/>
        <w:spacing w:before="0" w:after="380" w:line="240" w:lineRule="auto"/>
        <w:ind w:left="0" w:right="0" w:firstLine="0"/>
        <w:jc w:val="left"/>
      </w:pPr>
      <w:bookmarkStart w:id="1270" w:name="bookmark1270"/>
      <w:bookmarkStart w:id="1271" w:name="bookmark1271"/>
      <w:bookmarkStart w:id="1272" w:name="bookmark12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70"/>
      <w:bookmarkEnd w:id="1271"/>
      <w:bookmarkEnd w:id="1272"/>
    </w:p>
    <w:p>
      <w:pPr>
        <w:pStyle w:val="Style2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期末无账龄超过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p>
    <w:p>
      <w:pPr>
        <w:pStyle w:val="Style28"/>
        <w:keepNext/>
        <w:keepLines/>
        <w:widowControl w:val="0"/>
        <w:shd w:val="clear" w:color="auto" w:fill="auto"/>
        <w:bidi w:val="0"/>
        <w:spacing w:before="0" w:after="38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2</w:t>
      </w:r>
      <w:bookmarkEnd w:id="1275"/>
      <w:r>
        <w:rPr>
          <w:rFonts w:ascii="Times New Roman" w:eastAsia="Times New Roman" w:hAnsi="Times New Roman" w:cs="Times New Roman"/>
          <w:color w:val="000000"/>
          <w:spacing w:val="0"/>
          <w:w w:val="100"/>
          <w:position w:val="0"/>
        </w:rPr>
        <w:t>2</w:t>
      </w:r>
      <w:r>
        <w:rPr>
          <w:color w:val="000000"/>
          <w:spacing w:val="0"/>
          <w:w w:val="100"/>
          <w:position w:val="0"/>
        </w:rPr>
        <w:t>、合同负债</w:t>
      </w:r>
      <w:bookmarkEnd w:id="1273"/>
      <w:bookmarkEnd w:id="1274"/>
      <w:bookmarkEnd w:id="1276"/>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39,500,983.26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56,257,516.59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减：计入其他非流动负债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39,500,983.26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56,257,516.59</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报告期内账面价值发生重大变动的金额和原因</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54"/>
        <w:gridCol w:w="3259"/>
        <w:gridCol w:w="32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广东汕头幼儿师范高等专科学校实验实 训室建设项目（第一批）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-16,668,682.30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项目验收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惠州市大亚湾区公安局</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-13,687,355.00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项目验收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中共汕头市委办公室</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-5,440,789.35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项目验收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汕头市国土资源局</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-4,475,655.08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项目验收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中山市司法局</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-1,119,650.00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项目验收</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-41,392,131.73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2</w:t>
      </w:r>
      <w:bookmarkEnd w:id="1279"/>
      <w:r>
        <w:rPr>
          <w:rFonts w:ascii="Times New Roman" w:eastAsia="Times New Roman" w:hAnsi="Times New Roman" w:cs="Times New Roman"/>
          <w:color w:val="000000"/>
          <w:spacing w:val="0"/>
          <w:w w:val="100"/>
          <w:position w:val="0"/>
        </w:rPr>
        <w:t>3</w:t>
      </w:r>
      <w:r>
        <w:rPr>
          <w:color w:val="000000"/>
          <w:spacing w:val="0"/>
          <w:w w:val="100"/>
          <w:position w:val="0"/>
        </w:rPr>
        <w:t>、应付职工薪酬</w:t>
      </w:r>
      <w:bookmarkEnd w:id="1277"/>
      <w:bookmarkEnd w:id="1278"/>
      <w:bookmarkEnd w:id="1280"/>
    </w:p>
    <w:p>
      <w:pPr>
        <w:pStyle w:val="Style35"/>
        <w:keepNext/>
        <w:keepLines/>
        <w:widowControl w:val="0"/>
        <w:shd w:val="clear" w:color="auto" w:fill="auto"/>
        <w:bidi w:val="0"/>
        <w:spacing w:before="0" w:after="380" w:line="240" w:lineRule="auto"/>
        <w:ind w:left="0" w:right="0" w:firstLine="0"/>
        <w:jc w:val="left"/>
      </w:pPr>
      <w:bookmarkStart w:id="1281" w:name="bookmark1281"/>
      <w:bookmarkStart w:id="1282" w:name="bookmark1282"/>
      <w:bookmarkStart w:id="1283" w:name="bookmark12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81"/>
      <w:bookmarkEnd w:id="1282"/>
      <w:bookmarkEnd w:id="1283"/>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54"/>
        <w:gridCol w:w="1560"/>
        <w:gridCol w:w="1699"/>
        <w:gridCol w:w="1699"/>
        <w:gridCol w:w="1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7,547,925.73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34,416,398.44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32,458,886.64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9,505,437.53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1,579,608.15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1,579,608.15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7,547,925.73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35,996,006.59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34,038,494.79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9,505,437.53</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84" w:name="bookmark1284"/>
      <w:bookmarkStart w:id="1285" w:name="bookmark1285"/>
      <w:bookmarkStart w:id="1286" w:name="bookmark12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84"/>
      <w:bookmarkEnd w:id="1285"/>
      <w:bookmarkEnd w:id="1286"/>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51"/>
        <w:gridCol w:w="1493"/>
        <w:gridCol w:w="1632"/>
        <w:gridCol w:w="1632"/>
        <w:gridCol w:w="15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7,547,925.73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31,346,780.26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29,843,571.61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9,051,134.38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1,366,384.21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1,366,384.21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51"/>
        <w:gridCol w:w="1493"/>
        <w:gridCol w:w="1632"/>
        <w:gridCol w:w="1632"/>
        <w:gridCol w:w="15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873,129.53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873,129.53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773,945.50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773,945.50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6,327.15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92,856.88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92,856.88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284,394.20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284,394.20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545,710.24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454,303.15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7,547,925.73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34,416,398.44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32,458,886.64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9,505,437.53</w:t>
            </w:r>
          </w:p>
        </w:tc>
      </w:tr>
    </w:tbl>
    <w:p>
      <w:pPr>
        <w:widowControl w:val="0"/>
        <w:spacing w:after="359" w:line="1" w:lineRule="exact"/>
      </w:pPr>
    </w:p>
    <w:p>
      <w:pPr>
        <w:pStyle w:val="Style35"/>
        <w:keepNext/>
        <w:keepLines/>
        <w:widowControl w:val="0"/>
        <w:numPr>
          <w:ilvl w:val="0"/>
          <w:numId w:val="169"/>
        </w:numPr>
        <w:shd w:val="clear" w:color="auto" w:fill="auto"/>
        <w:bidi w:val="0"/>
        <w:spacing w:before="0" w:after="400" w:line="240" w:lineRule="auto"/>
        <w:ind w:left="0" w:right="0" w:firstLine="0"/>
        <w:jc w:val="both"/>
      </w:pPr>
      <w:bookmarkStart w:id="1287" w:name="bookmark1287"/>
      <w:bookmarkStart w:id="1288" w:name="bookmark1288"/>
      <w:bookmarkStart w:id="1289" w:name="bookmark1289"/>
      <w:bookmarkStart w:id="1290" w:name="bookmark1290"/>
      <w:bookmarkEnd w:id="1289"/>
      <w:r>
        <w:rPr>
          <w:color w:val="000000"/>
          <w:spacing w:val="0"/>
          <w:w w:val="100"/>
          <w:position w:val="0"/>
        </w:rPr>
        <w:t>设定提存计划列示</w:t>
      </w:r>
      <w:bookmarkEnd w:id="1287"/>
      <w:bookmarkEnd w:id="1288"/>
      <w:bookmarkEnd w:id="1290"/>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1,526,580.56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1,526,580.56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53,027.59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53,027.59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1,579,608.15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1,579,608.15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其他说明：无。</w:t>
      </w:r>
    </w:p>
    <w:p>
      <w:pPr>
        <w:pStyle w:val="Style28"/>
        <w:keepNext/>
        <w:keepLines/>
        <w:widowControl w:val="0"/>
        <w:shd w:val="clear" w:color="auto" w:fill="auto"/>
        <w:bidi w:val="0"/>
        <w:spacing w:before="0" w:after="400" w:line="240" w:lineRule="auto"/>
        <w:ind w:left="0" w:right="0" w:firstLine="0"/>
        <w:jc w:val="both"/>
      </w:pPr>
      <w:bookmarkStart w:id="1291" w:name="bookmark1291"/>
      <w:bookmarkStart w:id="1292" w:name="bookmark1292"/>
      <w:bookmarkStart w:id="1293" w:name="bookmark1293"/>
      <w:bookmarkStart w:id="1294" w:name="bookmark1294"/>
      <w:r>
        <w:rPr>
          <w:rFonts w:ascii="Times New Roman" w:eastAsia="Times New Roman" w:hAnsi="Times New Roman" w:cs="Times New Roman"/>
          <w:color w:val="000000"/>
          <w:spacing w:val="0"/>
          <w:w w:val="100"/>
          <w:position w:val="0"/>
        </w:rPr>
        <w:t>2</w:t>
      </w:r>
      <w:bookmarkEnd w:id="1293"/>
      <w:r>
        <w:rPr>
          <w:rFonts w:ascii="Times New Roman" w:eastAsia="Times New Roman" w:hAnsi="Times New Roman" w:cs="Times New Roman"/>
          <w:color w:val="000000"/>
          <w:spacing w:val="0"/>
          <w:w w:val="100"/>
          <w:position w:val="0"/>
        </w:rPr>
        <w:t>4</w:t>
      </w:r>
      <w:r>
        <w:rPr>
          <w:color w:val="000000"/>
          <w:spacing w:val="0"/>
          <w:w w:val="100"/>
          <w:position w:val="0"/>
        </w:rPr>
        <w:t>、应交税费</w:t>
      </w:r>
      <w:bookmarkEnd w:id="1291"/>
      <w:bookmarkEnd w:id="1292"/>
      <w:bookmarkEnd w:id="1294"/>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53"/>
        <w:gridCol w:w="3024"/>
        <w:gridCol w:w="30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24,704,357.20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26,412,686.07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6,565,048.11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4,121,590.37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64,920.18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36,665.37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1,819,955.57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1,890,949.62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779,980.96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810,406.97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519,987.30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540,271.35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69,396.72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43,751.20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34,523,646.04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33,856,320.95</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其他说明：无。</w:t>
      </w:r>
    </w:p>
    <w:p>
      <w:pPr>
        <w:pStyle w:val="Style28"/>
        <w:keepNext/>
        <w:keepLines/>
        <w:widowControl w:val="0"/>
        <w:shd w:val="clear" w:color="auto" w:fill="auto"/>
        <w:bidi w:val="0"/>
        <w:spacing w:before="0" w:after="400" w:line="240" w:lineRule="auto"/>
        <w:ind w:left="0" w:right="0" w:firstLine="0"/>
        <w:jc w:val="both"/>
      </w:pPr>
      <w:bookmarkStart w:id="1295" w:name="bookmark1295"/>
      <w:bookmarkStart w:id="1296" w:name="bookmark1296"/>
      <w:bookmarkStart w:id="1297" w:name="bookmark1297"/>
      <w:bookmarkStart w:id="1298" w:name="bookmark1298"/>
      <w:r>
        <w:rPr>
          <w:rFonts w:ascii="Times New Roman" w:eastAsia="Times New Roman" w:hAnsi="Times New Roman" w:cs="Times New Roman"/>
          <w:color w:val="000000"/>
          <w:spacing w:val="0"/>
          <w:w w:val="100"/>
          <w:position w:val="0"/>
        </w:rPr>
        <w:t>2</w:t>
      </w:r>
      <w:bookmarkEnd w:id="1297"/>
      <w:r>
        <w:rPr>
          <w:rFonts w:ascii="Times New Roman" w:eastAsia="Times New Roman" w:hAnsi="Times New Roman" w:cs="Times New Roman"/>
          <w:color w:val="000000"/>
          <w:spacing w:val="0"/>
          <w:w w:val="100"/>
          <w:position w:val="0"/>
        </w:rPr>
        <w:t>5</w:t>
      </w:r>
      <w:r>
        <w:rPr>
          <w:color w:val="000000"/>
          <w:spacing w:val="0"/>
          <w:w w:val="100"/>
          <w:position w:val="0"/>
        </w:rPr>
        <w:t>、其他应付款</w:t>
      </w:r>
      <w:bookmarkEnd w:id="1295"/>
      <w:bookmarkEnd w:id="1296"/>
      <w:bookmarkEnd w:id="1298"/>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10,502,561.38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1,790,885.99</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10,502,561.38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1,790,885.99</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299" w:name="bookmark1299"/>
      <w:bookmarkStart w:id="1300" w:name="bookmark1300"/>
      <w:bookmarkStart w:id="1301" w:name="bookmark13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99"/>
      <w:bookmarkEnd w:id="1300"/>
      <w:bookmarkEnd w:id="1301"/>
    </w:p>
    <w:p>
      <w:pPr>
        <w:pStyle w:val="Style73"/>
        <w:keepNext/>
        <w:keepLines/>
        <w:widowControl w:val="0"/>
        <w:shd w:val="clear" w:color="auto" w:fill="auto"/>
        <w:bidi w:val="0"/>
        <w:spacing w:before="0" w:after="360" w:line="240" w:lineRule="auto"/>
        <w:ind w:left="0" w:right="0" w:firstLine="0"/>
        <w:jc w:val="left"/>
      </w:pPr>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02"/>
      <w:bookmarkEnd w:id="1303"/>
      <w:bookmarkEnd w:id="1304"/>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尚未支付的上市费用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8,825,135.84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891,509.43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891,509.43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214,654.00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89,057.04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员工报销款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571,262.11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810,319.52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10,502,561.38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1,790,885.99</w:t>
            </w:r>
          </w:p>
        </w:tc>
      </w:tr>
    </w:tbl>
    <w:p>
      <w:pPr>
        <w:widowControl w:val="0"/>
        <w:spacing w:after="359" w:line="1" w:lineRule="exact"/>
      </w:pPr>
    </w:p>
    <w:p>
      <w:pPr>
        <w:pStyle w:val="Style73"/>
        <w:keepNext/>
        <w:keepLines/>
        <w:widowControl w:val="0"/>
        <w:shd w:val="clear" w:color="auto" w:fill="auto"/>
        <w:bidi w:val="0"/>
        <w:spacing w:before="0" w:after="360" w:line="240" w:lineRule="auto"/>
        <w:ind w:left="0" w:right="0" w:firstLine="0"/>
        <w:jc w:val="left"/>
      </w:pPr>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05"/>
      <w:bookmarkEnd w:id="1306"/>
      <w:bookmarkEnd w:id="1307"/>
    </w:p>
    <w:p>
      <w:pPr>
        <w:pStyle w:val="Style31"/>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期末无账龄超过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p>
    <w:p>
      <w:pPr>
        <w:pStyle w:val="Style28"/>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2</w:t>
      </w:r>
      <w:bookmarkEnd w:id="1310"/>
      <w:r>
        <w:rPr>
          <w:rFonts w:ascii="Times New Roman" w:eastAsia="Times New Roman" w:hAnsi="Times New Roman" w:cs="Times New Roman"/>
          <w:color w:val="000000"/>
          <w:spacing w:val="0"/>
          <w:w w:val="100"/>
          <w:position w:val="0"/>
        </w:rPr>
        <w:t>6</w:t>
      </w:r>
      <w:r>
        <w:rPr>
          <w:color w:val="000000"/>
          <w:spacing w:val="0"/>
          <w:w w:val="100"/>
          <w:position w:val="0"/>
        </w:rPr>
        <w:t>、一年内到期的非流动负债</w:t>
      </w:r>
      <w:bookmarkEnd w:id="1308"/>
      <w:bookmarkEnd w:id="1309"/>
      <w:bookmarkEnd w:id="131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4,001,998.65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4,211,746.20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4,001,998.65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4,211,746.20</w:t>
            </w:r>
          </w:p>
        </w:tc>
      </w:tr>
    </w:tbl>
    <w:p>
      <w:pPr>
        <w:widowControl w:val="0"/>
        <w:spacing w:after="79" w:line="1" w:lineRule="exact"/>
      </w:pP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注：一年内到期的租赁负债详见本节七、</w:t>
      </w:r>
      <w:r>
        <w:rPr>
          <w:rFonts w:ascii="Times New Roman" w:eastAsia="Times New Roman" w:hAnsi="Times New Roman" w:cs="Times New Roman"/>
          <w:color w:val="000000"/>
          <w:spacing w:val="0"/>
          <w:w w:val="100"/>
          <w:position w:val="0"/>
        </w:rPr>
        <w:t>27</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租赁负债</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8"/>
        <w:keepNext/>
        <w:keepLines/>
        <w:widowControl w:val="0"/>
        <w:shd w:val="clear" w:color="auto" w:fill="auto"/>
        <w:bidi w:val="0"/>
        <w:spacing w:before="0" w:line="240" w:lineRule="auto"/>
        <w:ind w:left="0" w:right="0" w:firstLine="0"/>
        <w:jc w:val="left"/>
      </w:pPr>
      <w:bookmarkStart w:id="1312" w:name="bookmark1312"/>
      <w:bookmarkStart w:id="1313" w:name="bookmark1313"/>
      <w:bookmarkStart w:id="1314" w:name="bookmark1314"/>
      <w:bookmarkStart w:id="1315" w:name="bookmark1315"/>
      <w:r>
        <w:rPr>
          <w:rFonts w:ascii="Times New Roman" w:eastAsia="Times New Roman" w:hAnsi="Times New Roman" w:cs="Times New Roman"/>
          <w:color w:val="000000"/>
          <w:spacing w:val="0"/>
          <w:w w:val="100"/>
          <w:position w:val="0"/>
        </w:rPr>
        <w:t>2</w:t>
      </w:r>
      <w:bookmarkEnd w:id="1314"/>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312"/>
      <w:bookmarkEnd w:id="1313"/>
      <w:bookmarkEnd w:id="131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114"/>
        <w:gridCol w:w="3120"/>
        <w:gridCol w:w="235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9,540,383.04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13,286,456.98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减：一年内到期的租赁负债（附注七、</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-4,001,998.65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-4,211,746.20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5,538,384.39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9,074,710.78</w:t>
            </w:r>
          </w:p>
        </w:tc>
      </w:tr>
    </w:tbl>
    <w:p>
      <w:pPr>
        <w:widowControl w:val="0"/>
        <w:spacing w:after="179" w:line="1" w:lineRule="exact"/>
      </w:pPr>
    </w:p>
    <w:p>
      <w:pPr>
        <w:pStyle w:val="Style31"/>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注：本集团对租赁负债的流动性风险管理措施，以及年末租赁负债的到期期限分析参见本节十、</w:t>
      </w:r>
      <w:r>
        <w:rPr>
          <w:rFonts w:ascii="Times New Roman" w:eastAsia="Times New Roman" w:hAnsi="Times New Roman" w:cs="Times New Roman"/>
          <w:color w:val="000000"/>
          <w:spacing w:val="0"/>
          <w:w w:val="100"/>
          <w:position w:val="0"/>
        </w:rPr>
        <w:t>3</w:t>
      </w:r>
      <w:r>
        <w:rPr>
          <w:color w:val="000000"/>
          <w:spacing w:val="0"/>
          <w:w w:val="100"/>
          <w:position w:val="0"/>
        </w:rPr>
        <w:t>、 “流动性风险”。</w:t>
      </w:r>
      <w:r>
        <w:br w:type="page"/>
      </w:r>
    </w:p>
    <w:p>
      <w:pPr>
        <w:pStyle w:val="Style28"/>
        <w:keepNext/>
        <w:keepLines/>
        <w:widowControl w:val="0"/>
        <w:shd w:val="clear" w:color="auto" w:fill="auto"/>
        <w:bidi w:val="0"/>
        <w:spacing w:before="0" w:after="380" w:line="240" w:lineRule="auto"/>
        <w:ind w:left="0" w:right="0" w:firstLine="0"/>
        <w:jc w:val="both"/>
      </w:pPr>
      <w:bookmarkStart w:id="1316" w:name="bookmark1316"/>
      <w:bookmarkStart w:id="1317" w:name="bookmark1317"/>
      <w:bookmarkStart w:id="1318" w:name="bookmark1318"/>
      <w:r>
        <w:rPr>
          <w:rFonts w:ascii="Times New Roman" w:eastAsia="Times New Roman" w:hAnsi="Times New Roman" w:cs="Times New Roman"/>
          <w:color w:val="000000"/>
          <w:spacing w:val="0"/>
          <w:w w:val="100"/>
          <w:position w:val="0"/>
        </w:rPr>
        <w:t>28</w:t>
      </w:r>
      <w:r>
        <w:rPr>
          <w:color w:val="000000"/>
          <w:spacing w:val="0"/>
          <w:w w:val="100"/>
          <w:position w:val="0"/>
        </w:rPr>
        <w:t>、股本</w:t>
      </w:r>
      <w:bookmarkEnd w:id="1316"/>
      <w:bookmarkEnd w:id="1317"/>
      <w:bookmarkEnd w:id="1318"/>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35,334,000.00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11,778,000.00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11,778,000.00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47,112,000.00</w:t>
            </w:r>
          </w:p>
        </w:tc>
      </w:tr>
    </w:tbl>
    <w:p>
      <w:pPr>
        <w:widowControl w:val="0"/>
        <w:spacing w:after="179" w:line="1" w:lineRule="exact"/>
      </w:pPr>
    </w:p>
    <w:p>
      <w:pPr>
        <w:pStyle w:val="Style31"/>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00" w:line="311" w:lineRule="exact"/>
        <w:ind w:left="0" w:right="0" w:firstLine="460"/>
        <w:jc w:val="both"/>
      </w:pPr>
      <w:r>
        <w:rPr>
          <w:color w:val="000000"/>
          <w:spacing w:val="0"/>
          <w:w w:val="100"/>
          <w:position w:val="0"/>
        </w:rPr>
        <w:t>注：经本公司</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4</w:t>
      </w:r>
      <w:r>
        <w:rPr>
          <w:color w:val="000000"/>
          <w:spacing w:val="0"/>
          <w:w w:val="100"/>
          <w:position w:val="0"/>
        </w:rPr>
        <w:t>次临时股东大会决议及中国证券监督管理委员会证监许可</w:t>
      </w:r>
      <w:r>
        <w:rPr>
          <w:rFonts w:ascii="Times New Roman" w:eastAsia="Times New Roman" w:hAnsi="Times New Roman" w:cs="Times New Roman"/>
          <w:color w:val="000000"/>
          <w:spacing w:val="0"/>
          <w:w w:val="100"/>
          <w:position w:val="0"/>
        </w:rPr>
        <w:t>[2021]2937</w:t>
      </w:r>
      <w:r>
        <w:rPr>
          <w:color w:val="000000"/>
          <w:spacing w:val="0"/>
          <w:w w:val="100"/>
          <w:position w:val="0"/>
        </w:rPr>
        <w:t>号文批 复，本公司于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日采用网上定价方式公开发行人民币普通股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11,778,000.00</w:t>
      </w:r>
      <w:r>
        <w:rPr>
          <w:color w:val="000000"/>
          <w:spacing w:val="0"/>
          <w:w w:val="100"/>
          <w:position w:val="0"/>
        </w:rPr>
        <w:t xml:space="preserve">股，每股面值 </w:t>
      </w:r>
      <w:r>
        <w:rPr>
          <w:rFonts w:ascii="Times New Roman" w:eastAsia="Times New Roman" w:hAnsi="Times New Roman" w:cs="Times New Roman"/>
          <w:color w:val="000000"/>
          <w:spacing w:val="0"/>
          <w:w w:val="100"/>
          <w:position w:val="0"/>
        </w:rPr>
        <w:t>1</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rPr>
        <w:t>48.66</w:t>
      </w:r>
      <w:r>
        <w:rPr>
          <w:color w:val="000000"/>
          <w:spacing w:val="0"/>
          <w:w w:val="100"/>
          <w:position w:val="0"/>
        </w:rPr>
        <w:t>元，募集资金总额</w:t>
      </w:r>
      <w:r>
        <w:rPr>
          <w:rFonts w:ascii="Times New Roman" w:eastAsia="Times New Roman" w:hAnsi="Times New Roman" w:cs="Times New Roman"/>
          <w:color w:val="000000"/>
          <w:spacing w:val="0"/>
          <w:w w:val="100"/>
          <w:position w:val="0"/>
        </w:rPr>
        <w:t>573,117,480.00</w:t>
      </w:r>
      <w:r>
        <w:rPr>
          <w:color w:val="000000"/>
          <w:spacing w:val="0"/>
          <w:w w:val="100"/>
          <w:position w:val="0"/>
        </w:rPr>
        <w:t>元，扣除发行费用后实际募集资金净额 人民币</w:t>
      </w:r>
      <w:r>
        <w:rPr>
          <w:rFonts w:ascii="Times New Roman" w:eastAsia="Times New Roman" w:hAnsi="Times New Roman" w:cs="Times New Roman"/>
          <w:color w:val="000000"/>
          <w:spacing w:val="0"/>
          <w:w w:val="100"/>
          <w:position w:val="0"/>
        </w:rPr>
        <w:t>510,260,652.00</w:t>
      </w:r>
      <w:r>
        <w:rPr>
          <w:color w:val="000000"/>
          <w:spacing w:val="0"/>
          <w:w w:val="100"/>
          <w:position w:val="0"/>
        </w:rPr>
        <w:t>元，其中新增股本人民币</w:t>
      </w:r>
      <w:r>
        <w:rPr>
          <w:rFonts w:ascii="Times New Roman" w:eastAsia="Times New Roman" w:hAnsi="Times New Roman" w:cs="Times New Roman"/>
          <w:color w:val="000000"/>
          <w:spacing w:val="0"/>
          <w:w w:val="100"/>
          <w:position w:val="0"/>
        </w:rPr>
        <w:t>11,778,000.00</w:t>
      </w:r>
      <w:r>
        <w:rPr>
          <w:color w:val="000000"/>
          <w:spacing w:val="0"/>
          <w:w w:val="100"/>
          <w:position w:val="0"/>
        </w:rPr>
        <w:t>元，余额计人民币</w:t>
      </w:r>
      <w:r>
        <w:rPr>
          <w:rFonts w:ascii="Times New Roman" w:eastAsia="Times New Roman" w:hAnsi="Times New Roman" w:cs="Times New Roman"/>
          <w:color w:val="000000"/>
          <w:spacing w:val="0"/>
          <w:w w:val="100"/>
          <w:position w:val="0"/>
        </w:rPr>
        <w:t>498,482,652.00</w:t>
      </w:r>
      <w:r>
        <w:rPr>
          <w:color w:val="000000"/>
          <w:spacing w:val="0"/>
          <w:w w:val="100"/>
          <w:position w:val="0"/>
        </w:rPr>
        <w:t>元转入资本 公积。上述股本变化情况业经中审众环会计师事务所（特殊普通合伙）</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日出具的众环验字 （</w:t>
      </w:r>
      <w:r>
        <w:rPr>
          <w:rFonts w:ascii="Times New Roman" w:eastAsia="Times New Roman" w:hAnsi="Times New Roman" w:cs="Times New Roman"/>
          <w:color w:val="000000"/>
          <w:spacing w:val="0"/>
          <w:w w:val="100"/>
          <w:position w:val="0"/>
        </w:rPr>
        <w:t>2021</w:t>
      </w:r>
      <w:r>
        <w:rPr>
          <w:color w:val="000000"/>
          <w:spacing w:val="0"/>
          <w:w w:val="100"/>
          <w:position w:val="0"/>
        </w:rPr>
        <w:t>）</w:t>
      </w:r>
      <w:r>
        <w:rPr>
          <w:rFonts w:ascii="Times New Roman" w:eastAsia="Times New Roman" w:hAnsi="Times New Roman" w:cs="Times New Roman"/>
          <w:color w:val="000000"/>
          <w:spacing w:val="0"/>
          <w:w w:val="100"/>
          <w:position w:val="0"/>
        </w:rPr>
        <w:t>0600012</w:t>
      </w:r>
      <w:r>
        <w:rPr>
          <w:color w:val="000000"/>
          <w:spacing w:val="0"/>
          <w:w w:val="100"/>
          <w:position w:val="0"/>
        </w:rPr>
        <w:t>号《验资报告》验证。</w:t>
      </w:r>
    </w:p>
    <w:p>
      <w:pPr>
        <w:pStyle w:val="Style28"/>
        <w:keepNext/>
        <w:keepLines/>
        <w:widowControl w:val="0"/>
        <w:shd w:val="clear" w:color="auto" w:fill="auto"/>
        <w:bidi w:val="0"/>
        <w:spacing w:before="0" w:after="380" w:line="311" w:lineRule="exact"/>
        <w:ind w:left="0" w:right="0" w:firstLine="0"/>
        <w:jc w:val="both"/>
      </w:pPr>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29</w:t>
      </w:r>
      <w:r>
        <w:rPr>
          <w:color w:val="000000"/>
          <w:spacing w:val="0"/>
          <w:w w:val="100"/>
          <w:position w:val="0"/>
        </w:rPr>
        <w:t>、资本公积</w:t>
      </w:r>
      <w:bookmarkEnd w:id="1319"/>
      <w:bookmarkEnd w:id="1320"/>
      <w:bookmarkEnd w:id="1321"/>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92,581,864.72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498,482,652.00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591,064,516.72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92,581,864.72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498,482,652.00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591,064,516.72</w:t>
            </w:r>
          </w:p>
        </w:tc>
      </w:tr>
    </w:tbl>
    <w:p>
      <w:pPr>
        <w:widowControl w:val="0"/>
        <w:spacing w:after="179" w:line="1" w:lineRule="exact"/>
      </w:pPr>
    </w:p>
    <w:p>
      <w:pPr>
        <w:pStyle w:val="Style31"/>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其他说明，包括本期增减变动情况、变动原因说明:</w:t>
      </w:r>
    </w:p>
    <w:p>
      <w:pPr>
        <w:pStyle w:val="Style31"/>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注：资本公积-股本溢价的变化情况，详见本节七、</w:t>
      </w:r>
      <w:r>
        <w:rPr>
          <w:rFonts w:ascii="Times New Roman" w:eastAsia="Times New Roman" w:hAnsi="Times New Roman" w:cs="Times New Roman"/>
          <w:color w:val="000000"/>
          <w:spacing w:val="0"/>
          <w:w w:val="100"/>
          <w:position w:val="0"/>
        </w:rPr>
        <w:t>28</w:t>
      </w:r>
      <w:r>
        <w:rPr>
          <w:color w:val="000000"/>
          <w:spacing w:val="0"/>
          <w:w w:val="100"/>
          <w:position w:val="0"/>
        </w:rPr>
        <w:t>、“股本”之说明。</w:t>
      </w:r>
    </w:p>
    <w:p>
      <w:pPr>
        <w:pStyle w:val="Style28"/>
        <w:keepNext/>
        <w:keepLines/>
        <w:widowControl w:val="0"/>
        <w:shd w:val="clear" w:color="auto" w:fill="auto"/>
        <w:bidi w:val="0"/>
        <w:spacing w:before="0" w:after="380" w:line="240" w:lineRule="auto"/>
        <w:ind w:left="0" w:right="0" w:firstLine="0"/>
        <w:jc w:val="both"/>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3</w:t>
      </w:r>
      <w:bookmarkEnd w:id="1324"/>
      <w:r>
        <w:rPr>
          <w:rFonts w:ascii="Times New Roman" w:eastAsia="Times New Roman" w:hAnsi="Times New Roman" w:cs="Times New Roman"/>
          <w:color w:val="000000"/>
          <w:spacing w:val="0"/>
          <w:w w:val="100"/>
          <w:position w:val="0"/>
        </w:rPr>
        <w:t>0</w:t>
      </w:r>
      <w:r>
        <w:rPr>
          <w:color w:val="000000"/>
          <w:spacing w:val="0"/>
          <w:w w:val="100"/>
          <w:position w:val="0"/>
        </w:rPr>
        <w:t>、其他综合收益</w:t>
      </w:r>
      <w:bookmarkEnd w:id="1322"/>
      <w:bookmarkEnd w:id="1323"/>
      <w:bookmarkEnd w:id="1325"/>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1277"/>
        <w:gridCol w:w="850"/>
        <w:gridCol w:w="898"/>
        <w:gridCol w:w="850"/>
        <w:gridCol w:w="854"/>
        <w:gridCol w:w="854"/>
        <w:gridCol w:w="653"/>
        <w:gridCol w:w="10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本期所得</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税前发生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pPr>
            <w:r>
              <w:rPr>
                <w:color w:val="000000"/>
                <w:spacing w:val="0"/>
                <w:w w:val="100"/>
                <w:position w:val="0"/>
              </w:rPr>
              <w:t>减：前期计 入其他综 合收益当 期转入损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税后归 属于少 数股东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560"/>
              <w:jc w:val="both"/>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510,000.00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 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-316,893.79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-99,551.45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-99,551.45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-416,445.24</w:t>
            </w:r>
          </w:p>
        </w:tc>
      </w:tr>
    </w:tbl>
    <w:p>
      <w:pPr>
        <w:widowControl w:val="0"/>
        <w:spacing w:line="1" w:lineRule="exact"/>
      </w:pPr>
      <w:r>
        <w:br w:type="page"/>
      </w:r>
    </w:p>
    <w:tbl>
      <w:tblPr>
        <w:tblOverlap w:val="never"/>
        <w:jc w:val="center"/>
        <w:tblLayout w:type="fixed"/>
      </w:tblPr>
      <w:tblGrid>
        <w:gridCol w:w="2414"/>
        <w:gridCol w:w="1277"/>
        <w:gridCol w:w="850"/>
        <w:gridCol w:w="898"/>
        <w:gridCol w:w="850"/>
        <w:gridCol w:w="854"/>
        <w:gridCol w:w="854"/>
        <w:gridCol w:w="653"/>
        <w:gridCol w:w="10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64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本期所得</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税前发生</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8" w:lineRule="exact"/>
              <w:ind w:left="0" w:right="0" w:firstLine="0"/>
              <w:jc w:val="center"/>
            </w:pPr>
            <w:r>
              <w:rPr>
                <w:color w:val="000000"/>
                <w:spacing w:val="0"/>
                <w:w w:val="100"/>
                <w:position w:val="0"/>
              </w:rPr>
              <w:t>减：前期计 入其他综 合收益当 期转入损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税后归 属于少 数股东</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-316,893.79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-99,551.45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-99,551.45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-416,445.24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193,106.21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-99,551.45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-99,551.45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93,554.76</w:t>
            </w:r>
          </w:p>
        </w:tc>
      </w:tr>
    </w:tbl>
    <w:p>
      <w:pPr>
        <w:widowControl w:val="0"/>
        <w:spacing w:after="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其他说明，包括对现金流量套期损益的有效部分转为被套期项目初始确认金额调整：无。</w:t>
      </w:r>
    </w:p>
    <w:p>
      <w:pPr>
        <w:pStyle w:val="Style28"/>
        <w:keepNext/>
        <w:keepLines/>
        <w:widowControl w:val="0"/>
        <w:shd w:val="clear" w:color="auto" w:fill="auto"/>
        <w:bidi w:val="0"/>
        <w:spacing w:before="0" w:after="38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3</w:t>
      </w:r>
      <w:bookmarkEnd w:id="1328"/>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326"/>
      <w:bookmarkEnd w:id="1327"/>
      <w:bookmarkEnd w:id="132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17,660,232.88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5,112,496.42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22,772,729.30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17,660,232.88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5,112,496.42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22,772,729.30</w:t>
            </w:r>
          </w:p>
        </w:tc>
      </w:tr>
    </w:tbl>
    <w:p>
      <w:pPr>
        <w:widowControl w:val="0"/>
        <w:spacing w:after="79" w:line="1" w:lineRule="exact"/>
      </w:pPr>
    </w:p>
    <w:p>
      <w:pPr>
        <w:pStyle w:val="Style31"/>
        <w:keepNext w:val="0"/>
        <w:keepLines w:val="0"/>
        <w:widowControl w:val="0"/>
        <w:shd w:val="clear" w:color="auto" w:fill="auto"/>
        <w:bidi w:val="0"/>
        <w:spacing w:before="0" w:after="160" w:line="307" w:lineRule="exact"/>
        <w:ind w:left="0" w:right="0" w:firstLine="0"/>
        <w:jc w:val="left"/>
      </w:pPr>
      <w:r>
        <w:rPr>
          <w:color w:val="000000"/>
          <w:spacing w:val="0"/>
          <w:w w:val="100"/>
          <w:position w:val="0"/>
        </w:rPr>
        <w:t>盈余公积说明，包括本期增减变动情况、变动原因说明：</w:t>
      </w:r>
    </w:p>
    <w:p>
      <w:pPr>
        <w:pStyle w:val="Style31"/>
        <w:keepNext w:val="0"/>
        <w:keepLines w:val="0"/>
        <w:widowControl w:val="0"/>
        <w:shd w:val="clear" w:color="auto" w:fill="auto"/>
        <w:bidi w:val="0"/>
        <w:spacing w:before="0" w:after="160" w:line="302" w:lineRule="exact"/>
        <w:ind w:left="0" w:right="0" w:firstLine="440"/>
        <w:jc w:val="both"/>
      </w:pPr>
      <w:r>
        <w:rPr>
          <w:color w:val="000000"/>
          <w:spacing w:val="0"/>
          <w:w w:val="100"/>
          <w:position w:val="0"/>
        </w:rPr>
        <w:t>注：根据《公司法》、公司章程的规定，本公司按净利润的</w:t>
      </w:r>
      <w:r>
        <w:rPr>
          <w:rFonts w:ascii="Times New Roman" w:eastAsia="Times New Roman" w:hAnsi="Times New Roman" w:cs="Times New Roman"/>
          <w:color w:val="000000"/>
          <w:spacing w:val="0"/>
          <w:w w:val="100"/>
          <w:position w:val="0"/>
        </w:rPr>
        <w:t>10%</w:t>
      </w:r>
      <w:r>
        <w:rPr>
          <w:color w:val="000000"/>
          <w:spacing w:val="0"/>
          <w:w w:val="100"/>
          <w:position w:val="0"/>
        </w:rPr>
        <w:t>提取法定盈余公积。法定盈余公积累 计额达到本公司注册资本</w:t>
      </w:r>
      <w:r>
        <w:rPr>
          <w:rFonts w:ascii="Times New Roman" w:eastAsia="Times New Roman" w:hAnsi="Times New Roman" w:cs="Times New Roman"/>
          <w:color w:val="000000"/>
          <w:spacing w:val="0"/>
          <w:w w:val="100"/>
          <w:position w:val="0"/>
        </w:rPr>
        <w:t>50%</w:t>
      </w:r>
      <w:r>
        <w:rPr>
          <w:color w:val="000000"/>
          <w:spacing w:val="0"/>
          <w:w w:val="100"/>
          <w:position w:val="0"/>
        </w:rPr>
        <w:t>以上的，不再提取。</w:t>
      </w:r>
    </w:p>
    <w:p>
      <w:pPr>
        <w:pStyle w:val="Style31"/>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本公司在提取法定盈余公积金后，可提取任意盈余公积金。经批准，任意盈余公积金可用于弥补以前 年度亏损或增加股本。</w:t>
      </w:r>
    </w:p>
    <w:p>
      <w:pPr>
        <w:pStyle w:val="Style28"/>
        <w:keepNext/>
        <w:keepLines/>
        <w:widowControl w:val="0"/>
        <w:shd w:val="clear" w:color="auto" w:fill="auto"/>
        <w:bidi w:val="0"/>
        <w:spacing w:before="0" w:after="300" w:line="322"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3</w:t>
      </w:r>
      <w:bookmarkEnd w:id="1332"/>
      <w:r>
        <w:rPr>
          <w:rFonts w:ascii="Times New Roman" w:eastAsia="Times New Roman" w:hAnsi="Times New Roman" w:cs="Times New Roman"/>
          <w:color w:val="000000"/>
          <w:spacing w:val="0"/>
          <w:w w:val="100"/>
          <w:position w:val="0"/>
        </w:rPr>
        <w:t>2</w:t>
      </w:r>
      <w:r>
        <w:rPr>
          <w:color w:val="000000"/>
          <w:spacing w:val="0"/>
          <w:w w:val="100"/>
          <w:position w:val="0"/>
        </w:rPr>
        <w:t>、未分配利润</w:t>
      </w:r>
      <w:bookmarkEnd w:id="1330"/>
      <w:bookmarkEnd w:id="1331"/>
      <w:bookmarkEnd w:id="1333"/>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107,203,208.28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71,924,264.73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107,203,208.28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71,924,264.73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55,657,076.39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54,462,271.53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5,112,496.42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5,049,727.98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14,133,600.00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157,747,788.25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107,203,208.28</w:t>
            </w:r>
          </w:p>
        </w:tc>
      </w:tr>
    </w:tbl>
    <w:p>
      <w:pPr>
        <w:widowControl w:val="0"/>
        <w:spacing w:after="159" w:line="1" w:lineRule="exact"/>
      </w:pP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调整期初未分配利润明细：</w:t>
      </w:r>
    </w:p>
    <w:p>
      <w:pPr>
        <w:pStyle w:val="Style31"/>
        <w:keepNext w:val="0"/>
        <w:keepLines w:val="0"/>
        <w:widowControl w:val="0"/>
        <w:numPr>
          <w:ilvl w:val="0"/>
          <w:numId w:val="171"/>
        </w:numPr>
        <w:shd w:val="clear" w:color="auto" w:fill="auto"/>
        <w:tabs>
          <w:tab w:pos="832" w:val="left"/>
        </w:tabs>
        <w:bidi w:val="0"/>
        <w:spacing w:before="0" w:after="220" w:line="240" w:lineRule="auto"/>
        <w:ind w:left="0" w:right="0" w:firstLine="440"/>
        <w:jc w:val="left"/>
      </w:pPr>
      <w:bookmarkStart w:id="1334" w:name="bookmark1334"/>
      <w:bookmarkEnd w:id="1334"/>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numPr>
          <w:ilvl w:val="0"/>
          <w:numId w:val="171"/>
        </w:numPr>
        <w:shd w:val="clear" w:color="auto" w:fill="auto"/>
        <w:tabs>
          <w:tab w:pos="837" w:val="left"/>
        </w:tabs>
        <w:bidi w:val="0"/>
        <w:spacing w:before="0" w:after="220" w:line="240" w:lineRule="auto"/>
        <w:ind w:left="0" w:right="0" w:firstLine="440"/>
        <w:jc w:val="left"/>
      </w:pPr>
      <w:bookmarkStart w:id="1335" w:name="bookmark1335"/>
      <w:bookmarkEnd w:id="1335"/>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numPr>
          <w:ilvl w:val="0"/>
          <w:numId w:val="171"/>
        </w:numPr>
        <w:shd w:val="clear" w:color="auto" w:fill="auto"/>
        <w:tabs>
          <w:tab w:pos="837" w:val="left"/>
        </w:tabs>
        <w:bidi w:val="0"/>
        <w:spacing w:before="0" w:after="200" w:line="240" w:lineRule="auto"/>
        <w:ind w:left="0" w:right="0" w:firstLine="440"/>
        <w:jc w:val="left"/>
      </w:pPr>
      <w:bookmarkStart w:id="1336" w:name="bookmark1336"/>
      <w:bookmarkEnd w:id="1336"/>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r>
        <w:br w:type="page"/>
      </w:r>
    </w:p>
    <w:p>
      <w:pPr>
        <w:pStyle w:val="Style31"/>
        <w:keepNext w:val="0"/>
        <w:keepLines w:val="0"/>
        <w:widowControl w:val="0"/>
        <w:numPr>
          <w:ilvl w:val="0"/>
          <w:numId w:val="171"/>
        </w:numPr>
        <w:shd w:val="clear" w:color="auto" w:fill="auto"/>
        <w:tabs>
          <w:tab w:pos="837" w:val="left"/>
        </w:tabs>
        <w:bidi w:val="0"/>
        <w:spacing w:before="0" w:after="200" w:line="240" w:lineRule="auto"/>
        <w:ind w:left="0" w:right="0" w:firstLine="440"/>
        <w:jc w:val="left"/>
      </w:pPr>
      <w:bookmarkStart w:id="1337" w:name="bookmark1337"/>
      <w:bookmarkEnd w:id="1337"/>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31"/>
        <w:keepNext w:val="0"/>
        <w:keepLines w:val="0"/>
        <w:widowControl w:val="0"/>
        <w:numPr>
          <w:ilvl w:val="0"/>
          <w:numId w:val="171"/>
        </w:numPr>
        <w:shd w:val="clear" w:color="auto" w:fill="auto"/>
        <w:tabs>
          <w:tab w:pos="837" w:val="left"/>
        </w:tabs>
        <w:bidi w:val="0"/>
        <w:spacing w:before="0" w:after="380" w:line="240" w:lineRule="auto"/>
        <w:ind w:left="0" w:right="0" w:firstLine="440"/>
        <w:jc w:val="left"/>
      </w:pPr>
      <w:bookmarkStart w:id="1338" w:name="bookmark1338"/>
      <w:bookmarkEnd w:id="1338"/>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8"/>
        <w:keepNext/>
        <w:keepLines/>
        <w:widowControl w:val="0"/>
        <w:shd w:val="clear" w:color="auto" w:fill="auto"/>
        <w:bidi w:val="0"/>
        <w:spacing w:before="0" w:after="38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3</w:t>
      </w:r>
      <w:bookmarkEnd w:id="1341"/>
      <w:r>
        <w:rPr>
          <w:rFonts w:ascii="Times New Roman" w:eastAsia="Times New Roman" w:hAnsi="Times New Roman" w:cs="Times New Roman"/>
          <w:color w:val="000000"/>
          <w:spacing w:val="0"/>
          <w:w w:val="100"/>
          <w:position w:val="0"/>
        </w:rPr>
        <w:t>3</w:t>
      </w:r>
      <w:r>
        <w:rPr>
          <w:color w:val="000000"/>
          <w:spacing w:val="0"/>
          <w:w w:val="100"/>
          <w:position w:val="0"/>
        </w:rPr>
        <w:t>、营业收入和营业成本</w:t>
      </w:r>
      <w:bookmarkEnd w:id="1339"/>
      <w:bookmarkEnd w:id="1340"/>
      <w:bookmarkEnd w:id="1342"/>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466,730,468.56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349,196,476.38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366,692,681.71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255,684,570.15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398,707.54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275,099.14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204,245.28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128,764.47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467,129,176.10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349,471,575.52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366,896,926.99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255,813,334.62</w:t>
            </w:r>
          </w:p>
        </w:tc>
      </w:tr>
    </w:tbl>
    <w:p>
      <w:pPr>
        <w:widowControl w:val="0"/>
        <w:spacing w:after="199" w:line="1" w:lineRule="exact"/>
      </w:pPr>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rPr>
        <w:t>经审计扣除非经常损益前后净利润孰低是否为负值</w:t>
      </w:r>
    </w:p>
    <w:p>
      <w:pPr>
        <w:pStyle w:val="Style31"/>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44"/>
        <w:gridCol w:w="1939"/>
        <w:gridCol w:w="1939"/>
        <w:gridCol w:w="1939"/>
        <w:gridCol w:w="19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收入：本年发生额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成本：本年发生额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收入：上年发生额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成本：上年发生额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信息系统集成服务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226,977,431.88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158,031,461.33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174,968,170.41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108,962,901.85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软件开发及技术服务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39,106,433.96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14,661,482.07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40,366,162.83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15,626,227.01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信息系统运维服务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12,045,370.56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5,881,479.67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11,475,105.80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5,264,175.34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信息设备销售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188,601,232.16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170,622,053.31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139,883,242.67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125,831,265.95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466,730,468.56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349,196,476.38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366,692,681.71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255,684,570.15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461,727,239.11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346,370,261.90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302,510,520.47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206,261,758.77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898,603.76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165,043.54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10,747,904.20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4,419,929.82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353,323.30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42,487.46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1,422,284.68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1,260,987.57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3,751,302.39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2,618,683.48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52,011,972.36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43,741,893.99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466,730,468.56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349,196,476.38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366,692,681.71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255,684,570.15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智慧政务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286,253,150.32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208,636,764.69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239,467,307.44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158,607,912.73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智慧教育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111,951,773.39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89,574,796.70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33,326,794.13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27,538,343.22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智慧医疗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32,871,914.42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29,262,047.39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12,396,513.41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8,666,431.69</w:t>
            </w:r>
          </w:p>
        </w:tc>
      </w:tr>
    </w:tbl>
    <w:p>
      <w:pPr>
        <w:widowControl w:val="0"/>
        <w:spacing w:line="1" w:lineRule="exact"/>
      </w:pPr>
    </w:p>
    <w:tbl>
      <w:tblPr>
        <w:tblOverlap w:val="never"/>
        <w:jc w:val="center"/>
        <w:tblLayout w:type="fixed"/>
      </w:tblPr>
      <w:tblGrid>
        <w:gridCol w:w="1944"/>
        <w:gridCol w:w="1939"/>
        <w:gridCol w:w="1939"/>
        <w:gridCol w:w="1939"/>
        <w:gridCol w:w="194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收入：本年发生额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成本：本年发生额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收入：上年发生额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成本：上年发生额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35,653,630.43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21,722,867.60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81,502,066.73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60,871,882.51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466,730,468.56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349,196,476.38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366,692,681.71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255,684,570.15</w:t>
            </w:r>
          </w:p>
        </w:tc>
      </w:tr>
    </w:tbl>
    <w:p>
      <w:pPr>
        <w:widowControl w:val="0"/>
        <w:spacing w:after="139" w:line="1" w:lineRule="exact"/>
      </w:pPr>
    </w:p>
    <w:p>
      <w:pPr>
        <w:pStyle w:val="Style31"/>
        <w:keepNext w:val="0"/>
        <w:keepLines w:val="0"/>
        <w:widowControl w:val="0"/>
        <w:shd w:val="clear" w:color="auto" w:fill="auto"/>
        <w:bidi w:val="0"/>
        <w:spacing w:before="0" w:line="312" w:lineRule="exact"/>
        <w:ind w:left="0" w:right="0" w:firstLine="0"/>
        <w:jc w:val="both"/>
      </w:pPr>
      <w:r>
        <w:rPr>
          <w:color w:val="000000"/>
          <w:spacing w:val="0"/>
          <w:w w:val="100"/>
          <w:position w:val="0"/>
        </w:rPr>
        <w:t>与履约义务相关的信息：</w:t>
      </w:r>
    </w:p>
    <w:p>
      <w:pPr>
        <w:pStyle w:val="Style31"/>
        <w:keepNext w:val="0"/>
        <w:keepLines w:val="0"/>
        <w:widowControl w:val="0"/>
        <w:numPr>
          <w:ilvl w:val="0"/>
          <w:numId w:val="173"/>
        </w:numPr>
        <w:shd w:val="clear" w:color="auto" w:fill="auto"/>
        <w:tabs>
          <w:tab w:pos="832" w:val="left"/>
        </w:tabs>
        <w:bidi w:val="0"/>
        <w:spacing w:before="0" w:line="312" w:lineRule="exact"/>
        <w:ind w:left="0" w:right="0" w:firstLine="440"/>
        <w:jc w:val="both"/>
      </w:pPr>
      <w:bookmarkStart w:id="1343" w:name="bookmark1343"/>
      <w:bookmarkEnd w:id="1343"/>
      <w:r>
        <w:rPr>
          <w:color w:val="000000"/>
          <w:spacing w:val="0"/>
          <w:w w:val="100"/>
          <w:position w:val="0"/>
        </w:rPr>
        <w:t>履约义务的通常履行时间：</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对于信息系统集成服务，本集团在完成安装调试工作，达到预定可使用状态，经客户验收合格，取得 客户验收报告时履行了合同中的履约义务；</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对于软件开发及技术服务，本集团在完成软件开发及技术服务、交付产品并调试合格，取得客户验收 报告或其他验收证据时履行了合同中的履约义务；</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对于信息设备销售，本集团在商品转移给购货方，取得客户验收单时履行了合同中的履约义务；</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对于信息系统运维服务，本集团在提供运维服务的时段内，按照进度履行合同中的履约义务。</w:t>
      </w:r>
    </w:p>
    <w:p>
      <w:pPr>
        <w:pStyle w:val="Style31"/>
        <w:keepNext w:val="0"/>
        <w:keepLines w:val="0"/>
        <w:widowControl w:val="0"/>
        <w:numPr>
          <w:ilvl w:val="0"/>
          <w:numId w:val="173"/>
        </w:numPr>
        <w:shd w:val="clear" w:color="auto" w:fill="auto"/>
        <w:tabs>
          <w:tab w:pos="810" w:val="left"/>
        </w:tabs>
        <w:bidi w:val="0"/>
        <w:spacing w:before="0" w:line="312" w:lineRule="exact"/>
        <w:ind w:left="0" w:right="0" w:firstLine="440"/>
        <w:jc w:val="both"/>
      </w:pPr>
      <w:bookmarkStart w:id="1344" w:name="bookmark1344"/>
      <w:bookmarkEnd w:id="1344"/>
      <w:r>
        <w:rPr>
          <w:color w:val="000000"/>
          <w:spacing w:val="0"/>
          <w:w w:val="100"/>
          <w:position w:val="0"/>
        </w:rPr>
        <w:t>重要的支付条款：本集团与客户之间的合同，部分合同存在重大融资成分，本集团按照假定客户在 取得商品控制权时即以现金支付的应付金额确定交易价格；合同对价不属于可变金额；合同价款结算以合 同约定为准，通常客户会保留一定比例的质保金，质保金在质保期满后支付。</w:t>
      </w:r>
    </w:p>
    <w:p>
      <w:pPr>
        <w:pStyle w:val="Style31"/>
        <w:keepNext w:val="0"/>
        <w:keepLines w:val="0"/>
        <w:widowControl w:val="0"/>
        <w:numPr>
          <w:ilvl w:val="0"/>
          <w:numId w:val="173"/>
        </w:numPr>
        <w:shd w:val="clear" w:color="auto" w:fill="auto"/>
        <w:tabs>
          <w:tab w:pos="837" w:val="left"/>
        </w:tabs>
        <w:bidi w:val="0"/>
        <w:spacing w:before="0" w:line="312" w:lineRule="exact"/>
        <w:ind w:left="0" w:right="0" w:firstLine="440"/>
        <w:jc w:val="both"/>
      </w:pPr>
      <w:bookmarkStart w:id="1345" w:name="bookmark1345"/>
      <w:bookmarkEnd w:id="1345"/>
      <w:r>
        <w:rPr>
          <w:color w:val="000000"/>
          <w:spacing w:val="0"/>
          <w:w w:val="100"/>
          <w:position w:val="0"/>
        </w:rPr>
        <w:t>本集团与客户之间的合同，本集团为主要责任人，不存在代理人的情形。</w:t>
      </w: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与分摊至剩余履约义务的交易价格相关的信息：</w:t>
      </w:r>
    </w:p>
    <w:p>
      <w:pPr>
        <w:pStyle w:val="Style31"/>
        <w:keepNext w:val="0"/>
        <w:keepLines w:val="0"/>
        <w:widowControl w:val="0"/>
        <w:shd w:val="clear" w:color="auto" w:fill="auto"/>
        <w:bidi w:val="0"/>
        <w:spacing w:before="0" w:line="314" w:lineRule="exact"/>
        <w:ind w:left="0" w:right="0" w:firstLine="44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 xml:space="preserve">145,002,440.88 </w:t>
      </w:r>
      <w:r>
        <w:rPr>
          <w:color w:val="000000"/>
          <w:spacing w:val="0"/>
          <w:w w:val="100"/>
          <w:position w:val="0"/>
        </w:rPr>
        <w:t>元，其中，</w:t>
      </w:r>
      <w:r>
        <w:rPr>
          <w:rFonts w:ascii="Times New Roman" w:eastAsia="Times New Roman" w:hAnsi="Times New Roman" w:cs="Times New Roman"/>
          <w:color w:val="000000"/>
          <w:spacing w:val="0"/>
          <w:w w:val="100"/>
          <w:position w:val="0"/>
        </w:rPr>
        <w:t>145,002,440.88</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年度及以后年度确认收入，元预计将于年度确认收入，元预计 将于年度确认收入。</w:t>
      </w:r>
    </w:p>
    <w:p>
      <w:pPr>
        <w:pStyle w:val="Style31"/>
        <w:keepNext w:val="0"/>
        <w:keepLines w:val="0"/>
        <w:widowControl w:val="0"/>
        <w:shd w:val="clear" w:color="auto" w:fill="auto"/>
        <w:bidi w:val="0"/>
        <w:spacing w:before="0" w:line="312" w:lineRule="exact"/>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无。</w:t>
      </w:r>
    </w:p>
    <w:p>
      <w:pPr>
        <w:pStyle w:val="Style28"/>
        <w:keepNext/>
        <w:keepLines/>
        <w:widowControl w:val="0"/>
        <w:shd w:val="clear" w:color="auto" w:fill="auto"/>
        <w:bidi w:val="0"/>
        <w:spacing w:before="0" w:after="300" w:line="326" w:lineRule="auto"/>
        <w:ind w:left="0" w:right="0" w:firstLine="0"/>
        <w:jc w:val="both"/>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3</w:t>
      </w:r>
      <w:bookmarkEnd w:id="1348"/>
      <w:r>
        <w:rPr>
          <w:rFonts w:ascii="Times New Roman" w:eastAsia="Times New Roman" w:hAnsi="Times New Roman" w:cs="Times New Roman"/>
          <w:color w:val="000000"/>
          <w:spacing w:val="0"/>
          <w:w w:val="100"/>
          <w:position w:val="0"/>
        </w:rPr>
        <w:t>4</w:t>
      </w:r>
      <w:r>
        <w:rPr>
          <w:color w:val="000000"/>
          <w:spacing w:val="0"/>
          <w:w w:val="100"/>
          <w:position w:val="0"/>
        </w:rPr>
        <w:t>、税金及附加</w:t>
      </w:r>
      <w:bookmarkEnd w:id="1346"/>
      <w:bookmarkEnd w:id="1347"/>
      <w:bookmarkEnd w:id="1349"/>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672,019.95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1,521,613.52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288,637.47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652,120.06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19,756.40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295,181.53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289,378.40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192,924.43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434,746.73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城镇土地使用税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1,473,739.22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2,922,401.67</w:t>
            </w:r>
          </w:p>
        </w:tc>
      </w:tr>
    </w:tbl>
    <w:p>
      <w:pPr>
        <w:spacing w:lineRule="exact" w:line="1"/>
        <w:rPr>
          <w:sz w:val="2"/>
          <w:szCs w:val="2"/>
        </w:rPr>
      </w:pPr>
      <w:r>
        <w:br w:type="page"/>
      </w:r>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注：各项税金及附加的计缴标准详见本节六、“税项”。</w:t>
      </w:r>
    </w:p>
    <w:p>
      <w:pPr>
        <w:pStyle w:val="Style28"/>
        <w:keepNext/>
        <w:keepLines/>
        <w:widowControl w:val="0"/>
        <w:shd w:val="clear" w:color="auto" w:fill="auto"/>
        <w:bidi w:val="0"/>
        <w:spacing w:before="0" w:after="38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3</w:t>
      </w:r>
      <w:bookmarkEnd w:id="1352"/>
      <w:r>
        <w:rPr>
          <w:rFonts w:ascii="Times New Roman" w:eastAsia="Times New Roman" w:hAnsi="Times New Roman" w:cs="Times New Roman"/>
          <w:color w:val="000000"/>
          <w:spacing w:val="0"/>
          <w:w w:val="100"/>
          <w:position w:val="0"/>
        </w:rPr>
        <w:t>5</w:t>
      </w:r>
      <w:r>
        <w:rPr>
          <w:color w:val="000000"/>
          <w:spacing w:val="0"/>
          <w:w w:val="100"/>
          <w:position w:val="0"/>
        </w:rPr>
        <w:t>、销售费用</w:t>
      </w:r>
      <w:bookmarkEnd w:id="1350"/>
      <w:bookmarkEnd w:id="1351"/>
      <w:bookmarkEnd w:id="1353"/>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9,597,784.14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8,168,805.65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407,433.06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226,911.44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1,417,582.82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1,252,909.11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519,452.93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706,119.90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834,423.94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1,018,213.75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602,407.95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848,673.96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1,891,083.08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1,063,047.60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2,983,824.93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735,808.90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377,643.49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2,490,477.68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3,164.40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18,662,216.66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16,514,132.39</w:t>
            </w:r>
          </w:p>
        </w:tc>
      </w:tr>
    </w:tbl>
    <w:p>
      <w:pPr>
        <w:widowControl w:val="0"/>
        <w:spacing w:after="1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after="380" w:line="240" w:lineRule="auto"/>
        <w:ind w:left="0" w:right="0" w:firstLine="0"/>
        <w:jc w:val="left"/>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3</w:t>
      </w:r>
      <w:bookmarkEnd w:id="1356"/>
      <w:r>
        <w:rPr>
          <w:rFonts w:ascii="Times New Roman" w:eastAsia="Times New Roman" w:hAnsi="Times New Roman" w:cs="Times New Roman"/>
          <w:color w:val="000000"/>
          <w:spacing w:val="0"/>
          <w:w w:val="100"/>
          <w:position w:val="0"/>
        </w:rPr>
        <w:t>6</w:t>
      </w:r>
      <w:r>
        <w:rPr>
          <w:color w:val="000000"/>
          <w:spacing w:val="0"/>
          <w:w w:val="100"/>
          <w:position w:val="0"/>
        </w:rPr>
        <w:t>、管理费用</w:t>
      </w:r>
      <w:bookmarkEnd w:id="1354"/>
      <w:bookmarkEnd w:id="1355"/>
      <w:bookmarkEnd w:id="1357"/>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7,884,671.90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6,926,067.64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1,484,735.23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1,529,672.06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规范运营费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1,250,682.83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1,153,845.04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283,954.40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946,294.04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2,670,450.30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1,960,458.40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394,979.51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265,692.33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1,799,335.19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833,334.68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406,772.09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265,769.76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16,175,581.45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13,881,133.95</w:t>
            </w:r>
          </w:p>
        </w:tc>
      </w:tr>
    </w:tbl>
    <w:p>
      <w:pPr>
        <w:widowControl w:val="0"/>
        <w:spacing w:after="199" w:line="1" w:lineRule="exact"/>
      </w:pPr>
    </w:p>
    <w:p>
      <w:pPr>
        <w:pStyle w:val="Style31"/>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其他说明：无。</w:t>
      </w:r>
      <w:r>
        <w:br w:type="page"/>
      </w:r>
    </w:p>
    <w:p>
      <w:pPr>
        <w:pStyle w:val="Style28"/>
        <w:keepNext/>
        <w:keepLines/>
        <w:widowControl w:val="0"/>
        <w:shd w:val="clear" w:color="auto" w:fill="auto"/>
        <w:bidi w:val="0"/>
        <w:spacing w:before="0" w:after="380" w:line="240" w:lineRule="auto"/>
        <w:ind w:left="0" w:right="0" w:firstLine="0"/>
        <w:jc w:val="left"/>
      </w:pPr>
      <w:bookmarkStart w:id="1358" w:name="bookmark1358"/>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3</w:t>
      </w:r>
      <w:bookmarkEnd w:id="1360"/>
      <w:r>
        <w:rPr>
          <w:rFonts w:ascii="Times New Roman" w:eastAsia="Times New Roman" w:hAnsi="Times New Roman" w:cs="Times New Roman"/>
          <w:color w:val="000000"/>
          <w:spacing w:val="0"/>
          <w:w w:val="100"/>
          <w:position w:val="0"/>
        </w:rPr>
        <w:t>7</w:t>
      </w:r>
      <w:r>
        <w:rPr>
          <w:color w:val="000000"/>
          <w:spacing w:val="0"/>
          <w:w w:val="100"/>
          <w:position w:val="0"/>
        </w:rPr>
        <w:t>、研发费用</w:t>
      </w:r>
      <w:bookmarkEnd w:id="1358"/>
      <w:bookmarkEnd w:id="1359"/>
      <w:bookmarkEnd w:id="136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6,146,168.76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5,755,338.40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直接投入费用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512,647.57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1,597,329.92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1,644,088.61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1,197,650.79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新产品设计费用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2,342,704.85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3,738,622.95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357,852.21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304,347.26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6,498,014.13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3,498,113.15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17,501,476.13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16,091,402.47</w:t>
            </w:r>
          </w:p>
        </w:tc>
      </w:tr>
    </w:tbl>
    <w:p>
      <w:pPr>
        <w:widowControl w:val="0"/>
        <w:spacing w:after="1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after="380" w:line="240" w:lineRule="auto"/>
        <w:ind w:left="0" w:right="0" w:firstLine="0"/>
        <w:jc w:val="left"/>
      </w:pPr>
      <w:bookmarkStart w:id="1362" w:name="bookmark1362"/>
      <w:bookmarkStart w:id="1363" w:name="bookmark1363"/>
      <w:bookmarkStart w:id="1364" w:name="bookmark1364"/>
      <w:bookmarkStart w:id="1365" w:name="bookmark1365"/>
      <w:r>
        <w:rPr>
          <w:rFonts w:ascii="Times New Roman" w:eastAsia="Times New Roman" w:hAnsi="Times New Roman" w:cs="Times New Roman"/>
          <w:color w:val="000000"/>
          <w:spacing w:val="0"/>
          <w:w w:val="100"/>
          <w:position w:val="0"/>
        </w:rPr>
        <w:t>3</w:t>
      </w:r>
      <w:bookmarkEnd w:id="1364"/>
      <w:r>
        <w:rPr>
          <w:rFonts w:ascii="Times New Roman" w:eastAsia="Times New Roman" w:hAnsi="Times New Roman" w:cs="Times New Roman"/>
          <w:color w:val="000000"/>
          <w:spacing w:val="0"/>
          <w:w w:val="100"/>
          <w:position w:val="0"/>
        </w:rPr>
        <w:t>8</w:t>
      </w:r>
      <w:r>
        <w:rPr>
          <w:color w:val="000000"/>
          <w:spacing w:val="0"/>
          <w:w w:val="100"/>
          <w:position w:val="0"/>
        </w:rPr>
        <w:t>、财务费用</w:t>
      </w:r>
      <w:bookmarkEnd w:id="1362"/>
      <w:bookmarkEnd w:id="1363"/>
      <w:bookmarkEnd w:id="136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547"/>
        <w:gridCol w:w="283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345,296.41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600,755.10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2,010,834.98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1,883,777.41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3,876.33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10,106.21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71,479.07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143,327.04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未确认融资费用和未实现融资收益的摊销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-1,727,205.11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-128,306.53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-3,317,388.28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-1,257,895.59</w:t>
            </w:r>
          </w:p>
        </w:tc>
      </w:tr>
    </w:tbl>
    <w:p>
      <w:pPr>
        <w:widowControl w:val="0"/>
        <w:spacing w:after="17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bidi w:val="0"/>
        <w:spacing w:before="0" w:after="38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3</w:t>
      </w:r>
      <w:bookmarkEnd w:id="1368"/>
      <w:r>
        <w:rPr>
          <w:rFonts w:ascii="Times New Roman" w:eastAsia="Times New Roman" w:hAnsi="Times New Roman" w:cs="Times New Roman"/>
          <w:color w:val="000000"/>
          <w:spacing w:val="0"/>
          <w:w w:val="100"/>
          <w:position w:val="0"/>
        </w:rPr>
        <w:t>9</w:t>
      </w:r>
      <w:r>
        <w:rPr>
          <w:color w:val="000000"/>
          <w:spacing w:val="0"/>
          <w:w w:val="100"/>
          <w:position w:val="0"/>
        </w:rPr>
        <w:t>、其他收益</w:t>
      </w:r>
      <w:bookmarkEnd w:id="1366"/>
      <w:bookmarkEnd w:id="1367"/>
      <w:bookmarkEnd w:id="1369"/>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与日常活动相关的政府补助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655,467.73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674,477.42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31,301.73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增值税进项税额加计扣除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16,242.50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tabs>
                <w:tab w:pos="538" w:val="left"/>
              </w:tabs>
              <w:bidi w:val="0"/>
              <w:spacing w:before="0" w:after="0" w:line="240" w:lineRule="auto"/>
              <w:ind w:left="0" w:right="0" w:firstLine="0"/>
              <w:jc w:val="left"/>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683,503.55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705,779.15</w:t>
            </w:r>
          </w:p>
        </w:tc>
      </w:tr>
    </w:tbl>
    <w:p>
      <w:pPr>
        <w:spacing w:lineRule="exact" w:line="1"/>
        <w:rPr>
          <w:sz w:val="2"/>
          <w:szCs w:val="2"/>
        </w:rPr>
      </w:pPr>
      <w:r>
        <w:br w:type="page"/>
      </w:r>
    </w:p>
    <w:p>
      <w:pPr>
        <w:pStyle w:val="Style28"/>
        <w:keepNext/>
        <w:keepLines/>
        <w:widowControl w:val="0"/>
        <w:shd w:val="clear" w:color="auto" w:fill="auto"/>
        <w:bidi w:val="0"/>
        <w:spacing w:before="0" w:after="38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4</w:t>
      </w:r>
      <w:bookmarkEnd w:id="1372"/>
      <w:r>
        <w:rPr>
          <w:rFonts w:ascii="Times New Roman" w:eastAsia="Times New Roman" w:hAnsi="Times New Roman" w:cs="Times New Roman"/>
          <w:color w:val="000000"/>
          <w:spacing w:val="0"/>
          <w:w w:val="100"/>
          <w:position w:val="0"/>
        </w:rPr>
        <w:t>0</w:t>
      </w:r>
      <w:r>
        <w:rPr>
          <w:color w:val="000000"/>
          <w:spacing w:val="0"/>
          <w:w w:val="100"/>
          <w:position w:val="0"/>
        </w:rPr>
        <w:t>、信用减值损失</w:t>
      </w:r>
      <w:bookmarkEnd w:id="1370"/>
      <w:bookmarkEnd w:id="1371"/>
      <w:bookmarkEnd w:id="1373"/>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230,275.62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153,961.76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639,030.15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-859,795.39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-8,897,350.72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-3,490,240.24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-8,033,541.45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-4,194,235.96</w:t>
            </w:r>
          </w:p>
        </w:tc>
      </w:tr>
    </w:tbl>
    <w:p>
      <w:pPr>
        <w:widowControl w:val="0"/>
        <w:spacing w:after="179" w:line="1" w:lineRule="exact"/>
      </w:pP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40" w:line="240" w:lineRule="auto"/>
        <w:ind w:left="0" w:right="0" w:firstLine="440"/>
        <w:jc w:val="left"/>
      </w:pPr>
      <w:r>
        <w:rPr>
          <w:color w:val="000000"/>
          <w:spacing w:val="0"/>
          <w:w w:val="100"/>
          <w:position w:val="0"/>
        </w:rPr>
        <w:t>上表中，损失以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号填列，收益以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p>
      <w:pPr>
        <w:pStyle w:val="Style28"/>
        <w:keepNext/>
        <w:keepLines/>
        <w:widowControl w:val="0"/>
        <w:shd w:val="clear" w:color="auto" w:fill="auto"/>
        <w:bidi w:val="0"/>
        <w:spacing w:before="0" w:after="38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4</w:t>
      </w:r>
      <w:bookmarkEnd w:id="1376"/>
      <w:r>
        <w:rPr>
          <w:rFonts w:ascii="Times New Roman" w:eastAsia="Times New Roman" w:hAnsi="Times New Roman" w:cs="Times New Roman"/>
          <w:color w:val="000000"/>
          <w:spacing w:val="0"/>
          <w:w w:val="100"/>
          <w:position w:val="0"/>
        </w:rPr>
        <w:t>1</w:t>
      </w:r>
      <w:r>
        <w:rPr>
          <w:color w:val="000000"/>
          <w:spacing w:val="0"/>
          <w:w w:val="100"/>
          <w:position w:val="0"/>
        </w:rPr>
        <w:t>、资产减值损失</w:t>
      </w:r>
      <w:bookmarkEnd w:id="1374"/>
      <w:bookmarkEnd w:id="1375"/>
      <w:bookmarkEnd w:id="1377"/>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691"/>
        <w:gridCol w:w="2693"/>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-606,107.04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-308,410.89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-429,449.69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rPr>
                <w:sz w:val="18"/>
                <w:szCs w:val="18"/>
              </w:rPr>
            </w:pPr>
            <w:r>
              <w:rPr>
                <w:rFonts w:ascii="Times New Roman" w:eastAsia="Times New Roman" w:hAnsi="Times New Roman" w:cs="Times New Roman"/>
                <w:color w:val="000000"/>
                <w:spacing w:val="0"/>
                <w:w w:val="100"/>
                <w:position w:val="0"/>
                <w:sz w:val="18"/>
                <w:szCs w:val="18"/>
              </w:rPr>
              <w:t>-914,517.93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-430,893.12</w:t>
            </w:r>
          </w:p>
        </w:tc>
      </w:tr>
    </w:tbl>
    <w:p>
      <w:pPr>
        <w:widowControl w:val="0"/>
        <w:spacing w:after="179" w:line="1" w:lineRule="exact"/>
      </w:pP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上表中，损失以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号填列，收益以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p>
      <w:pPr>
        <w:pStyle w:val="Style28"/>
        <w:keepNext/>
        <w:keepLines/>
        <w:widowControl w:val="0"/>
        <w:shd w:val="clear" w:color="auto" w:fill="auto"/>
        <w:bidi w:val="0"/>
        <w:spacing w:before="0" w:after="38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4</w:t>
      </w:r>
      <w:bookmarkEnd w:id="1380"/>
      <w:r>
        <w:rPr>
          <w:rFonts w:ascii="Times New Roman" w:eastAsia="Times New Roman" w:hAnsi="Times New Roman" w:cs="Times New Roman"/>
          <w:color w:val="000000"/>
          <w:spacing w:val="0"/>
          <w:w w:val="100"/>
          <w:position w:val="0"/>
        </w:rPr>
        <w:t>2</w:t>
      </w:r>
      <w:r>
        <w:rPr>
          <w:color w:val="000000"/>
          <w:spacing w:val="0"/>
          <w:w w:val="100"/>
          <w:position w:val="0"/>
        </w:rPr>
        <w:t>、资产处置收益</w:t>
      </w:r>
      <w:bookmarkEnd w:id="1378"/>
      <w:bookmarkEnd w:id="1379"/>
      <w:bookmarkEnd w:id="1381"/>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使用权资产处置收益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242,002.54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538" w:val="left"/>
              </w:tabs>
              <w:bidi w:val="0"/>
              <w:spacing w:before="0" w:after="0" w:line="240" w:lineRule="auto"/>
              <w:ind w:left="0" w:right="0" w:firstLine="0"/>
              <w:jc w:val="left"/>
            </w:pPr>
            <w:r>
              <w:rPr>
                <w:color w:val="000000"/>
                <w:spacing w:val="0"/>
                <w:w w:val="100"/>
                <w:position w:val="0"/>
              </w:rPr>
              <w:t>合</w:t>
              <w:tab/>
              <w:t>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242,002.54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38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4</w:t>
      </w:r>
      <w:bookmarkEnd w:id="1384"/>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382"/>
      <w:bookmarkEnd w:id="1383"/>
      <w:bookmarkEnd w:id="1385"/>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与企业日常活动无关的政府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3,593,733.30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2,750,374.76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3,593,733.30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42,079.93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614,930.61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42,079.93</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3,635,813.23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3,365,305.37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3,635,813.23</w:t>
            </w:r>
          </w:p>
        </w:tc>
      </w:tr>
    </w:tbl>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widowControl w:val="0"/>
        <w:spacing w:line="1" w:lineRule="exact"/>
      </w:pP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32"/>
        <w:gridCol w:w="485"/>
        <w:gridCol w:w="3298"/>
        <w:gridCol w:w="974"/>
        <w:gridCol w:w="648"/>
        <w:gridCol w:w="1061"/>
        <w:gridCol w:w="1013"/>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补贴是否影</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殊补贴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与资产相关</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降低民营企业融资成本专项 资金（上市挂牌融资奖补）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奖励上市而给予的政府补助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283,019.00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年度扶持产业发展政 策奖励资金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因符合地方政府招商引资等地方性扶持政 策而获得的补助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2,790,714.30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企业培育考核奖补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扶持产业发展政策企业落户 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因符合地方政府招商引资等地方性扶持政 策而获得的补助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防治新冠肺炎项目经费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因承担国家为保障某种公用事业或社会必 要产品供应或价格控制职能而获得的补助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奖励上市而给予的政府补助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扶持产业发展政策奖励资金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因从事国家鼓励和扶持特定行业、产业而 获得的补助（按国家级政策规定依法取得）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1,550,374.76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其他说明：无。</w:t>
      </w:r>
    </w:p>
    <w:p>
      <w:pPr>
        <w:pStyle w:val="Style28"/>
        <w:keepNext/>
        <w:keepLines/>
        <w:widowControl w:val="0"/>
        <w:shd w:val="clear" w:color="auto" w:fill="auto"/>
        <w:bidi w:val="0"/>
        <w:spacing w:before="0" w:after="400" w:line="240" w:lineRule="auto"/>
        <w:ind w:left="0" w:right="0" w:firstLine="0"/>
        <w:jc w:val="both"/>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4</w:t>
      </w:r>
      <w:bookmarkEnd w:id="1388"/>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386"/>
      <w:bookmarkEnd w:id="1387"/>
      <w:bookmarkEnd w:id="1389"/>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160"/>
        <w:gridCol w:w="26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1,437.43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1,437.43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滞纳金、罚款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8,384.93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8,384.93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135,533.28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60,252.86</w:t>
            </w:r>
          </w:p>
        </w:tc>
      </w:tr>
    </w:tbl>
    <w:p>
      <w:pPr>
        <w:pStyle w:val="Style31"/>
        <w:keepNext w:val="0"/>
        <w:keepLines w:val="0"/>
        <w:widowControl w:val="0"/>
        <w:shd w:val="clear" w:color="auto" w:fill="auto"/>
        <w:bidi w:val="0"/>
        <w:spacing w:before="0" w:after="220" w:line="346" w:lineRule="exact"/>
        <w:ind w:left="0" w:right="0" w:firstLine="0"/>
        <w:jc w:val="left"/>
      </w:pPr>
      <w:r>
        <w:rPr>
          <w:color w:val="000000"/>
          <w:spacing w:val="0"/>
          <w:w w:val="100"/>
          <w:position w:val="0"/>
        </w:rPr>
        <w:t>其他说明: 无。</w:t>
      </w:r>
      <w:r>
        <w:br w:type="page"/>
      </w:r>
    </w:p>
    <w:p>
      <w:pPr>
        <w:pStyle w:val="Style28"/>
        <w:keepNext/>
        <w:keepLines/>
        <w:widowControl w:val="0"/>
        <w:shd w:val="clear" w:color="auto" w:fill="auto"/>
        <w:bidi w:val="0"/>
        <w:spacing w:before="0" w:line="240" w:lineRule="auto"/>
        <w:ind w:left="0" w:right="0" w:firstLine="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4</w:t>
      </w:r>
      <w:bookmarkEnd w:id="1392"/>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390"/>
      <w:bookmarkEnd w:id="1391"/>
      <w:bookmarkEnd w:id="1393"/>
    </w:p>
    <w:p>
      <w:pPr>
        <w:pStyle w:val="Style35"/>
        <w:keepNext/>
        <w:keepLines/>
        <w:widowControl w:val="0"/>
        <w:shd w:val="clear" w:color="auto" w:fill="auto"/>
        <w:bidi w:val="0"/>
        <w:spacing w:before="0" w:after="360" w:line="240" w:lineRule="auto"/>
        <w:ind w:left="0" w:right="0" w:firstLine="0"/>
        <w:jc w:val="left"/>
      </w:pPr>
      <w:bookmarkStart w:id="1394" w:name="bookmark1394"/>
      <w:bookmarkStart w:id="1395" w:name="bookmark1395"/>
      <w:bookmarkStart w:id="1396" w:name="bookmark13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94"/>
      <w:bookmarkEnd w:id="1395"/>
      <w:bookmarkEnd w:id="1396"/>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10,141,800.14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6,718,003.89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-3,055,794.70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1,206,279.28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7,086,005.44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7,924,283.17</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397" w:name="bookmark1397"/>
      <w:bookmarkStart w:id="1398" w:name="bookmark1398"/>
      <w:bookmarkStart w:id="1399" w:name="bookmark139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397"/>
      <w:bookmarkEnd w:id="1398"/>
      <w:bookmarkEnd w:id="1399"/>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6384"/>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62,714,982.48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9,407,247.37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37,712.64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-103,528.47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218,666.23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14,958.80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税率调整导致年初递延所得税资产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-2,189,521.91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残疾人员工资加计扣除的影响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小微企业税务优惠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-293,205.53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7,086,005.44</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28"/>
        <w:keepNext/>
        <w:keepLines/>
        <w:widowControl w:val="0"/>
        <w:shd w:val="clear" w:color="auto" w:fill="auto"/>
        <w:tabs>
          <w:tab w:pos="483" w:val="left"/>
        </w:tabs>
        <w:bidi w:val="0"/>
        <w:spacing w:before="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4</w:t>
      </w:r>
      <w:bookmarkEnd w:id="1402"/>
      <w:r>
        <w:rPr>
          <w:rFonts w:ascii="Times New Roman" w:eastAsia="Times New Roman" w:hAnsi="Times New Roman" w:cs="Times New Roman"/>
          <w:color w:val="000000"/>
          <w:spacing w:val="0"/>
          <w:w w:val="100"/>
          <w:position w:val="0"/>
        </w:rPr>
        <w:t>6</w:t>
      </w:r>
      <w:r>
        <w:rPr>
          <w:color w:val="000000"/>
          <w:spacing w:val="0"/>
          <w:w w:val="100"/>
          <w:position w:val="0"/>
        </w:rPr>
        <w:t>、</w:t>
        <w:tab/>
        <w:t>其他综合收益</w:t>
      </w:r>
      <w:bookmarkEnd w:id="1400"/>
      <w:bookmarkEnd w:id="1401"/>
      <w:bookmarkEnd w:id="1403"/>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 xml:space="preserve">30 </w:t>
      </w:r>
      <w:r>
        <w:rPr>
          <w:color w:val="000000"/>
          <w:spacing w:val="0"/>
          <w:w w:val="100"/>
          <w:position w:val="0"/>
        </w:rPr>
        <w:t>“其他综合收益”。</w:t>
      </w:r>
    </w:p>
    <w:p>
      <w:pPr>
        <w:pStyle w:val="Style28"/>
        <w:keepNext/>
        <w:keepLines/>
        <w:widowControl w:val="0"/>
        <w:shd w:val="clear" w:color="auto" w:fill="auto"/>
        <w:tabs>
          <w:tab w:pos="483" w:val="left"/>
        </w:tabs>
        <w:bidi w:val="0"/>
        <w:spacing w:before="0" w:line="240" w:lineRule="auto"/>
        <w:ind w:left="0" w:right="0" w:firstLine="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4</w:t>
      </w:r>
      <w:bookmarkEnd w:id="1406"/>
      <w:r>
        <w:rPr>
          <w:rFonts w:ascii="Times New Roman" w:eastAsia="Times New Roman" w:hAnsi="Times New Roman" w:cs="Times New Roman"/>
          <w:color w:val="000000"/>
          <w:spacing w:val="0"/>
          <w:w w:val="100"/>
          <w:position w:val="0"/>
        </w:rPr>
        <w:t>7</w:t>
      </w:r>
      <w:r>
        <w:rPr>
          <w:color w:val="000000"/>
          <w:spacing w:val="0"/>
          <w:w w:val="100"/>
          <w:position w:val="0"/>
        </w:rPr>
        <w:t>、</w:t>
        <w:tab/>
        <w:t>现金流量表项目</w:t>
      </w:r>
      <w:bookmarkEnd w:id="1404"/>
      <w:bookmarkEnd w:id="1405"/>
      <w:bookmarkEnd w:id="1407"/>
    </w:p>
    <w:p>
      <w:pPr>
        <w:pStyle w:val="Style35"/>
        <w:keepNext/>
        <w:keepLines/>
        <w:widowControl w:val="0"/>
        <w:shd w:val="clear" w:color="auto" w:fill="auto"/>
        <w:bidi w:val="0"/>
        <w:spacing w:before="0" w:after="360" w:line="240" w:lineRule="auto"/>
        <w:ind w:left="0" w:right="0" w:firstLine="0"/>
        <w:jc w:val="left"/>
      </w:pPr>
      <w:bookmarkStart w:id="1408" w:name="bookmark1408"/>
      <w:bookmarkStart w:id="1409" w:name="bookmark1409"/>
      <w:bookmarkStart w:id="1410" w:name="bookmark14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08"/>
      <w:bookmarkEnd w:id="1409"/>
      <w:bookmarkEnd w:id="1410"/>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2,010,834.98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1,883,777.41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政府补助（含财政贴息）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4,173,860.35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3,569,127.18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2,981,959.76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3,809,904.20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日常往来及其他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569,169.52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1,595,583.30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9,735,824.61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10,858,392.09</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收到的其他与经营活动有关的现金说明：无。</w:t>
      </w:r>
    </w:p>
    <w:p>
      <w:pPr>
        <w:pStyle w:val="Style35"/>
        <w:keepNext/>
        <w:keepLines/>
        <w:widowControl w:val="0"/>
        <w:shd w:val="clear" w:color="auto" w:fill="auto"/>
        <w:bidi w:val="0"/>
        <w:spacing w:before="0" w:after="420" w:line="240" w:lineRule="auto"/>
        <w:ind w:left="0" w:right="0" w:firstLine="0"/>
        <w:jc w:val="left"/>
      </w:pPr>
      <w:bookmarkStart w:id="1411" w:name="bookmark1411"/>
      <w:bookmarkStart w:id="1412" w:name="bookmark1412"/>
      <w:bookmarkStart w:id="1413" w:name="bookmark141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11"/>
      <w:bookmarkEnd w:id="1412"/>
      <w:bookmarkEnd w:id="1413"/>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22,219,549.32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24,441,059.91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71,479.07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143,327.04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4,629,457.57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3,080,002.68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日常往来及其他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607,610.30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786,649.55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27,528,096.26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28,451,039.18</w:t>
            </w: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支付的其他与经营活动有关的现金说明：无。</w:t>
      </w:r>
    </w:p>
    <w:p>
      <w:pPr>
        <w:pStyle w:val="Style35"/>
        <w:keepNext/>
        <w:keepLines/>
        <w:widowControl w:val="0"/>
        <w:shd w:val="clear" w:color="auto" w:fill="auto"/>
        <w:bidi w:val="0"/>
        <w:spacing w:before="0" w:after="420" w:line="240" w:lineRule="auto"/>
        <w:ind w:left="0" w:right="0" w:firstLine="0"/>
        <w:jc w:val="left"/>
      </w:pPr>
      <w:bookmarkStart w:id="1414" w:name="bookmark1414"/>
      <w:bookmarkStart w:id="1415" w:name="bookmark1415"/>
      <w:bookmarkStart w:id="1416" w:name="bookmark1416"/>
      <w:bookmarkStart w:id="1417" w:name="bookmark1417"/>
      <w:r>
        <w:rPr>
          <w:color w:val="000000"/>
          <w:spacing w:val="0"/>
          <w:w w:val="100"/>
          <w:position w:val="0"/>
        </w:rPr>
        <w:t>（</w:t>
      </w:r>
      <w:bookmarkEnd w:id="1416"/>
      <w:r>
        <w:rPr>
          <w:rFonts w:ascii="Times New Roman" w:eastAsia="Times New Roman" w:hAnsi="Times New Roman" w:cs="Times New Roman"/>
          <w:color w:val="000000"/>
          <w:spacing w:val="0"/>
          <w:w w:val="100"/>
          <w:position w:val="0"/>
        </w:rPr>
        <w:t>3</w:t>
      </w:r>
      <w:r>
        <w:rPr>
          <w:color w:val="000000"/>
          <w:spacing w:val="0"/>
          <w:w w:val="100"/>
          <w:position w:val="0"/>
        </w:rPr>
        <w:t>）收到的其他与筹资活动有关的现金</w:t>
      </w:r>
      <w:bookmarkEnd w:id="1414"/>
      <w:bookmarkEnd w:id="1415"/>
      <w:bookmarkEnd w:id="1417"/>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收回租赁押金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802,117.00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收回银行借款质押的存款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1,352,117.00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收到的其他与筹资活动有关的现金说明：无。</w:t>
      </w:r>
    </w:p>
    <w:p>
      <w:pPr>
        <w:pStyle w:val="Style35"/>
        <w:keepNext/>
        <w:keepLines/>
        <w:widowControl w:val="0"/>
        <w:shd w:val="clear" w:color="auto" w:fill="auto"/>
        <w:bidi w:val="0"/>
        <w:spacing w:before="0" w:after="420" w:line="240" w:lineRule="auto"/>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1418"/>
      <w:bookmarkEnd w:id="1419"/>
      <w:bookmarkEnd w:id="1421"/>
    </w:p>
    <w:p>
      <w:pPr>
        <w:pStyle w:val="Style21"/>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银行借款质押的存款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4,617,986.00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支付租金和租赁押金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5,198,843.94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支付股票发行费用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11,791,320.16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17,390,164.10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4,617,986.00</w:t>
            </w:r>
          </w:p>
        </w:tc>
      </w:tr>
    </w:tbl>
    <w:p>
      <w:pPr>
        <w:spacing w:lineRule="exact" w:line="1"/>
        <w:rPr>
          <w:sz w:val="2"/>
          <w:szCs w:val="2"/>
        </w:rPr>
      </w:pPr>
      <w:r>
        <w:br w:type="page"/>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支付的其他与筹资活动有关的现金说明：无。</w:t>
      </w:r>
    </w:p>
    <w:p>
      <w:pPr>
        <w:pStyle w:val="Style28"/>
        <w:keepNext/>
        <w:keepLines/>
        <w:widowControl w:val="0"/>
        <w:shd w:val="clear" w:color="auto" w:fill="auto"/>
        <w:bidi w:val="0"/>
        <w:spacing w:before="0" w:after="380" w:line="240" w:lineRule="auto"/>
        <w:ind w:left="0" w:right="0" w:firstLine="0"/>
        <w:jc w:val="left"/>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4</w:t>
      </w:r>
      <w:bookmarkEnd w:id="1424"/>
      <w:r>
        <w:rPr>
          <w:rFonts w:ascii="Times New Roman" w:eastAsia="Times New Roman" w:hAnsi="Times New Roman" w:cs="Times New Roman"/>
          <w:color w:val="000000"/>
          <w:spacing w:val="0"/>
          <w:w w:val="100"/>
          <w:position w:val="0"/>
        </w:rPr>
        <w:t>8</w:t>
      </w:r>
      <w:r>
        <w:rPr>
          <w:color w:val="000000"/>
          <w:spacing w:val="0"/>
          <w:w w:val="100"/>
          <w:position w:val="0"/>
        </w:rPr>
        <w:t>、现金流量表补充资料</w:t>
      </w:r>
      <w:bookmarkEnd w:id="1422"/>
      <w:bookmarkEnd w:id="1423"/>
      <w:bookmarkEnd w:id="1425"/>
    </w:p>
    <w:p>
      <w:pPr>
        <w:pStyle w:val="Style35"/>
        <w:keepNext/>
        <w:keepLines/>
        <w:widowControl w:val="0"/>
        <w:shd w:val="clear" w:color="auto" w:fill="auto"/>
        <w:bidi w:val="0"/>
        <w:spacing w:before="0" w:after="380" w:line="240" w:lineRule="auto"/>
        <w:ind w:left="0" w:right="0" w:firstLine="0"/>
        <w:jc w:val="left"/>
      </w:pPr>
      <w:bookmarkStart w:id="1426" w:name="bookmark1426"/>
      <w:bookmarkStart w:id="1427" w:name="bookmark1427"/>
      <w:bookmarkStart w:id="1428" w:name="bookmark14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26"/>
      <w:bookmarkEnd w:id="1427"/>
      <w:bookmarkEnd w:id="1428"/>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066"/>
        <w:gridCol w:w="1320"/>
        <w:gridCol w:w="13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55,628,977.04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54,318,556.47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914,517.93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430,893.12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8,033,541.45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4,194,235.96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799,768.03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895,980.84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4,106,334.66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1,173,168.84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1,905,093.84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990,967.87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866,378.91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-242,002.54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15,525.99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-1,379,081.20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616,723.57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-106,656.14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6,091,507.50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-2,919,864.30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7,297,933.50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-29,723,867.37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-1,694,453.51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-58,178,397.14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-48,556,872.33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-12,753,445.24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66,944,127.78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-33,654,600.68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93,325,631.64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650,420,992.55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175,035,799.93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175,035,799.93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109,549,153.98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7066"/>
        <w:gridCol w:w="1320"/>
        <w:gridCol w:w="13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475,385,192.62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65,486,645.95</w:t>
            </w:r>
          </w:p>
        </w:tc>
      </w:tr>
    </w:tbl>
    <w:p>
      <w:pPr>
        <w:pStyle w:val="Style14"/>
        <w:keepNext w:val="0"/>
        <w:keepLines w:val="0"/>
        <w:widowControl w:val="0"/>
        <w:shd w:val="clear" w:color="auto" w:fill="auto"/>
        <w:bidi w:val="0"/>
        <w:spacing w:before="0" w:after="0" w:line="240" w:lineRule="auto"/>
        <w:ind w:left="34" w:right="0" w:firstLine="0"/>
        <w:jc w:val="left"/>
        <w:rPr>
          <w:sz w:val="20"/>
          <w:szCs w:val="20"/>
        </w:rPr>
      </w:pPr>
      <w:bookmarkStart w:id="1429" w:name="bookmark1429"/>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)现金和现金等价物的构成</w:t>
      </w:r>
      <w:bookmarkEnd w:id="1429"/>
    </w:p>
    <w:p>
      <w:pPr>
        <w:widowControl w:val="0"/>
        <w:spacing w:after="359" w:line="1" w:lineRule="exact"/>
      </w:pPr>
    </w:p>
    <w:p>
      <w:pPr>
        <w:widowControl w:val="0"/>
        <w:spacing w:line="1" w:lineRule="exact"/>
      </w:pP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650,420,992.55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175,035,799.93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23,977.90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650,360,227.47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174,972,861.63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23,831.80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650,420,992.55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175,035,799.93</w:t>
            </w:r>
          </w:p>
        </w:tc>
      </w:tr>
    </w:tbl>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w:t>
      </w:r>
    </w:p>
    <w:p>
      <w:pPr>
        <w:widowControl w:val="0"/>
        <w:spacing w:after="139" w:line="1" w:lineRule="exact"/>
      </w:pPr>
    </w:p>
    <w:p>
      <w:pPr>
        <w:pStyle w:val="Style31"/>
        <w:keepNext w:val="0"/>
        <w:keepLines w:val="0"/>
        <w:widowControl w:val="0"/>
        <w:shd w:val="clear" w:color="auto" w:fill="auto"/>
        <w:bidi w:val="0"/>
        <w:spacing w:before="0" w:line="312" w:lineRule="exact"/>
        <w:ind w:left="0" w:right="0" w:firstLine="440"/>
        <w:jc w:val="both"/>
      </w:pPr>
      <w:r>
        <w:rPr>
          <w:color w:val="000000"/>
          <w:spacing w:val="0"/>
          <w:w w:val="100"/>
          <w:position w:val="0"/>
        </w:rPr>
        <w:t>注：现金流量表补充资料的说明：</w:t>
      </w:r>
    </w:p>
    <w:p>
      <w:pPr>
        <w:pStyle w:val="Style31"/>
        <w:keepNext w:val="0"/>
        <w:keepLines w:val="0"/>
        <w:widowControl w:val="0"/>
        <w:numPr>
          <w:ilvl w:val="0"/>
          <w:numId w:val="175"/>
        </w:numPr>
        <w:shd w:val="clear" w:color="auto" w:fill="auto"/>
        <w:tabs>
          <w:tab w:pos="803" w:val="left"/>
        </w:tabs>
        <w:bidi w:val="0"/>
        <w:spacing w:before="0" w:line="312" w:lineRule="exact"/>
        <w:ind w:left="0" w:right="0" w:firstLine="440"/>
        <w:jc w:val="both"/>
      </w:pPr>
      <w:bookmarkStart w:id="1430" w:name="bookmark1430"/>
      <w:bookmarkEnd w:id="1430"/>
      <w:r>
        <w:rPr>
          <w:rFonts w:ascii="Times New Roman" w:eastAsia="Times New Roman" w:hAnsi="Times New Roman" w:cs="Times New Roman"/>
          <w:color w:val="000000"/>
          <w:spacing w:val="0"/>
          <w:w w:val="100"/>
          <w:position w:val="0"/>
        </w:rPr>
        <w:t>2021</w:t>
      </w:r>
      <w:r>
        <w:rPr>
          <w:color w:val="000000"/>
          <w:spacing w:val="0"/>
          <w:w w:val="100"/>
          <w:position w:val="0"/>
        </w:rPr>
        <w:t>年现金流量表中现金期末数为</w:t>
      </w:r>
      <w:r>
        <w:rPr>
          <w:rFonts w:ascii="Times New Roman" w:eastAsia="Times New Roman" w:hAnsi="Times New Roman" w:cs="Times New Roman"/>
          <w:color w:val="000000"/>
          <w:spacing w:val="0"/>
          <w:w w:val="100"/>
          <w:position w:val="0"/>
        </w:rPr>
        <w:t>650,420,992.55</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日资产负债表中货币资金为 </w:t>
      </w:r>
      <w:r>
        <w:rPr>
          <w:rFonts w:ascii="Times New Roman" w:eastAsia="Times New Roman" w:hAnsi="Times New Roman" w:cs="Times New Roman"/>
          <w:color w:val="000000"/>
          <w:spacing w:val="0"/>
          <w:w w:val="100"/>
          <w:position w:val="0"/>
        </w:rPr>
        <w:t>653,298,458.22</w:t>
      </w:r>
      <w:r>
        <w:rPr>
          <w:color w:val="000000"/>
          <w:spacing w:val="0"/>
          <w:w w:val="100"/>
          <w:position w:val="0"/>
        </w:rPr>
        <w:t>元，差额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,877,465.67</w:t>
      </w:r>
      <w:r>
        <w:rPr>
          <w:color w:val="000000"/>
          <w:spacing w:val="0"/>
          <w:w w:val="100"/>
          <w:position w:val="0"/>
        </w:rPr>
        <w:t>元，系现金流量表现金期末数扣除了不符合现金及现金等价物标准的 己质押的银行存款、保函保证金、银行承兑汇票保证金</w:t>
      </w:r>
      <w:r>
        <w:rPr>
          <w:rFonts w:ascii="Times New Roman" w:eastAsia="Times New Roman" w:hAnsi="Times New Roman" w:cs="Times New Roman"/>
          <w:color w:val="000000"/>
          <w:spacing w:val="0"/>
          <w:w w:val="100"/>
          <w:position w:val="0"/>
        </w:rPr>
        <w:t>2,877,465.67</w:t>
      </w:r>
      <w:r>
        <w:rPr>
          <w:color w:val="000000"/>
          <w:spacing w:val="0"/>
          <w:w w:val="100"/>
          <w:position w:val="0"/>
        </w:rPr>
        <w:t>元。</w:t>
      </w:r>
    </w:p>
    <w:p>
      <w:pPr>
        <w:pStyle w:val="Style31"/>
        <w:keepNext w:val="0"/>
        <w:keepLines w:val="0"/>
        <w:widowControl w:val="0"/>
        <w:numPr>
          <w:ilvl w:val="0"/>
          <w:numId w:val="175"/>
        </w:numPr>
        <w:shd w:val="clear" w:color="auto" w:fill="auto"/>
        <w:tabs>
          <w:tab w:pos="789" w:val="left"/>
        </w:tabs>
        <w:bidi w:val="0"/>
        <w:spacing w:before="0" w:line="312" w:lineRule="exact"/>
        <w:ind w:left="0" w:right="0" w:firstLine="440"/>
        <w:jc w:val="both"/>
      </w:pPr>
      <w:bookmarkStart w:id="1431" w:name="bookmark1431"/>
      <w:bookmarkEnd w:id="1431"/>
      <w:r>
        <w:rPr>
          <w:rFonts w:ascii="Times New Roman" w:eastAsia="Times New Roman" w:hAnsi="Times New Roman" w:cs="Times New Roman"/>
          <w:color w:val="000000"/>
          <w:spacing w:val="0"/>
          <w:w w:val="100"/>
          <w:position w:val="0"/>
        </w:rPr>
        <w:t>2020</w:t>
      </w:r>
      <w:r>
        <w:rPr>
          <w:color w:val="000000"/>
          <w:spacing w:val="0"/>
          <w:w w:val="100"/>
          <w:position w:val="0"/>
        </w:rPr>
        <w:t>年现金流量表中现金期末数为</w:t>
      </w:r>
      <w:r>
        <w:rPr>
          <w:rFonts w:ascii="Times New Roman" w:eastAsia="Times New Roman" w:hAnsi="Times New Roman" w:cs="Times New Roman"/>
          <w:color w:val="000000"/>
          <w:spacing w:val="0"/>
          <w:w w:val="100"/>
          <w:position w:val="0"/>
        </w:rPr>
        <w:t>175,035,799.93</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日资产负债表中货币资金为 </w:t>
      </w:r>
      <w:r>
        <w:rPr>
          <w:rFonts w:ascii="Times New Roman" w:eastAsia="Times New Roman" w:hAnsi="Times New Roman" w:cs="Times New Roman"/>
          <w:color w:val="000000"/>
          <w:spacing w:val="0"/>
          <w:w w:val="100"/>
          <w:position w:val="0"/>
        </w:rPr>
        <w:t>182,800,994.31</w:t>
      </w:r>
      <w:r>
        <w:rPr>
          <w:color w:val="000000"/>
          <w:spacing w:val="0"/>
          <w:w w:val="100"/>
          <w:position w:val="0"/>
        </w:rPr>
        <w:t>元，差额</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,765,194.38</w:t>
      </w:r>
      <w:r>
        <w:rPr>
          <w:color w:val="000000"/>
          <w:spacing w:val="0"/>
          <w:w w:val="100"/>
          <w:position w:val="0"/>
        </w:rPr>
        <w:t>元，系现金流量表现金期末数扣除了不符合现金及现金等价物标准的 己质押的银行存款、保函保证金、银行承兑汇票保证金</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,765,194.38</w:t>
      </w:r>
      <w:r>
        <w:rPr>
          <w:color w:val="000000"/>
          <w:spacing w:val="0"/>
          <w:w w:val="100"/>
          <w:position w:val="0"/>
        </w:rPr>
        <w:t>元。</w:t>
      </w:r>
    </w:p>
    <w:p>
      <w:pPr>
        <w:pStyle w:val="Style31"/>
        <w:keepNext w:val="0"/>
        <w:keepLines w:val="0"/>
        <w:widowControl w:val="0"/>
        <w:numPr>
          <w:ilvl w:val="0"/>
          <w:numId w:val="175"/>
        </w:numPr>
        <w:shd w:val="clear" w:color="auto" w:fill="auto"/>
        <w:tabs>
          <w:tab w:pos="789" w:val="left"/>
        </w:tabs>
        <w:bidi w:val="0"/>
        <w:spacing w:before="0" w:line="298" w:lineRule="exact"/>
        <w:ind w:left="0" w:right="0" w:firstLine="440"/>
        <w:jc w:val="both"/>
      </w:pPr>
      <w:bookmarkStart w:id="1432" w:name="bookmark1432"/>
      <w:bookmarkEnd w:id="1432"/>
      <w:r>
        <w:rPr>
          <w:color w:val="000000"/>
          <w:spacing w:val="0"/>
          <w:w w:val="100"/>
          <w:position w:val="0"/>
        </w:rPr>
        <w:t>“财务费用(收益以“一”号填列)”项目，包括冲减财务费用的财政贴息，其中</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年度金额 </w:t>
      </w:r>
      <w:r>
        <w:rPr>
          <w:rFonts w:ascii="Times New Roman" w:eastAsia="Times New Roman" w:hAnsi="Times New Roman" w:cs="Times New Roman"/>
          <w:color w:val="000000"/>
          <w:spacing w:val="0"/>
          <w:w w:val="100"/>
          <w:position w:val="0"/>
        </w:rPr>
        <w:t>144,275.00</w:t>
      </w:r>
      <w:r>
        <w:rPr>
          <w:color w:val="000000"/>
          <w:spacing w:val="0"/>
          <w:w w:val="100"/>
          <w:position w:val="0"/>
        </w:rPr>
        <w:t>元，</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年度金额</w:t>
      </w:r>
      <w:r>
        <w:rPr>
          <w:rFonts w:ascii="Times New Roman" w:eastAsia="Times New Roman" w:hAnsi="Times New Roman" w:cs="Times New Roman"/>
          <w:color w:val="000000"/>
          <w:spacing w:val="0"/>
          <w:w w:val="100"/>
          <w:position w:val="0"/>
        </w:rPr>
        <w:t>2,827.50</w:t>
      </w:r>
      <w:r>
        <w:rPr>
          <w:color w:val="000000"/>
          <w:spacing w:val="0"/>
          <w:w w:val="100"/>
          <w:position w:val="0"/>
        </w:rPr>
        <w:t>元。</w:t>
      </w:r>
    </w:p>
    <w:p>
      <w:pPr>
        <w:pStyle w:val="Style31"/>
        <w:keepNext w:val="0"/>
        <w:keepLines w:val="0"/>
        <w:widowControl w:val="0"/>
        <w:numPr>
          <w:ilvl w:val="0"/>
          <w:numId w:val="175"/>
        </w:numPr>
        <w:shd w:val="clear" w:color="auto" w:fill="auto"/>
        <w:tabs>
          <w:tab w:pos="803" w:val="left"/>
        </w:tabs>
        <w:bidi w:val="0"/>
        <w:spacing w:before="0" w:after="360" w:line="317" w:lineRule="exact"/>
        <w:ind w:left="0" w:right="0" w:firstLine="440"/>
        <w:jc w:val="both"/>
      </w:pPr>
      <w:bookmarkStart w:id="1433" w:name="bookmark1433"/>
      <w:bookmarkEnd w:id="1433"/>
      <w:r>
        <w:rPr>
          <w:rFonts w:ascii="Times New Roman" w:eastAsia="Times New Roman" w:hAnsi="Times New Roman" w:cs="Times New Roman"/>
          <w:color w:val="000000"/>
          <w:spacing w:val="0"/>
          <w:w w:val="100"/>
          <w:position w:val="0"/>
        </w:rPr>
        <w:t>“</w:t>
      </w:r>
      <w:r>
        <w:rPr>
          <w:color w:val="000000"/>
          <w:spacing w:val="0"/>
          <w:w w:val="100"/>
          <w:position w:val="0"/>
        </w:rPr>
        <w:t>递延所得税资产减少、递延所得税负债增加</w:t>
      </w:r>
      <w:r>
        <w:rPr>
          <w:rFonts w:ascii="Times New Roman" w:eastAsia="Times New Roman" w:hAnsi="Times New Roman" w:cs="Times New Roman"/>
          <w:color w:val="000000"/>
          <w:spacing w:val="0"/>
          <w:w w:val="100"/>
          <w:position w:val="0"/>
        </w:rPr>
        <w:t>”</w:t>
      </w:r>
      <w:r>
        <w:rPr>
          <w:color w:val="000000"/>
          <w:spacing w:val="0"/>
          <w:w w:val="100"/>
          <w:position w:val="0"/>
        </w:rPr>
        <w:t>项目，扣除了计入其他综合收益的变动、与使用权资 产及租赁负债相关的部分。</w:t>
      </w:r>
    </w:p>
    <w:p>
      <w:pPr>
        <w:pStyle w:val="Style28"/>
        <w:keepNext/>
        <w:keepLines/>
        <w:widowControl w:val="0"/>
        <w:shd w:val="clear" w:color="auto" w:fill="auto"/>
        <w:bidi w:val="0"/>
        <w:spacing w:before="0" w:after="300" w:line="326" w:lineRule="auto"/>
        <w:ind w:left="0" w:right="0" w:firstLine="0"/>
        <w:jc w:val="both"/>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4</w:t>
      </w:r>
      <w:bookmarkEnd w:id="1436"/>
      <w:r>
        <w:rPr>
          <w:rFonts w:ascii="Times New Roman" w:eastAsia="Times New Roman" w:hAnsi="Times New Roman" w:cs="Times New Roman"/>
          <w:color w:val="000000"/>
          <w:spacing w:val="0"/>
          <w:w w:val="100"/>
          <w:position w:val="0"/>
        </w:rPr>
        <w:t>9</w:t>
      </w:r>
      <w:r>
        <w:rPr>
          <w:color w:val="000000"/>
          <w:spacing w:val="0"/>
          <w:w w:val="100"/>
          <w:position w:val="0"/>
        </w:rPr>
        <w:t>、所有权或使用权受到限制的资产</w:t>
      </w:r>
      <w:bookmarkEnd w:id="1434"/>
      <w:bookmarkEnd w:id="1435"/>
      <w:bookmarkEnd w:id="1437"/>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683"/>
        <w:gridCol w:w="433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2,877,465.67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 w:right="0" w:firstLine="0"/>
              <w:jc w:val="center"/>
            </w:pPr>
            <w:r>
              <w:rPr>
                <w:color w:val="000000"/>
                <w:spacing w:val="0"/>
                <w:w w:val="100"/>
                <w:position w:val="0"/>
              </w:rPr>
              <w:t>质押的银行存款、保函保证金、银行承兑汇票保证金</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2,877,465.67</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其他说明：无。</w:t>
      </w:r>
      <w:r>
        <w:br w:type="page"/>
      </w:r>
    </w:p>
    <w:p>
      <w:pPr>
        <w:pStyle w:val="Style28"/>
        <w:keepNext/>
        <w:keepLines/>
        <w:widowControl w:val="0"/>
        <w:shd w:val="clear" w:color="auto" w:fill="auto"/>
        <w:bidi w:val="0"/>
        <w:spacing w:before="0" w:after="380" w:line="240" w:lineRule="auto"/>
        <w:ind w:left="0" w:right="0" w:firstLine="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5</w:t>
      </w:r>
      <w:bookmarkEnd w:id="1440"/>
      <w:r>
        <w:rPr>
          <w:rFonts w:ascii="Times New Roman" w:eastAsia="Times New Roman" w:hAnsi="Times New Roman" w:cs="Times New Roman"/>
          <w:color w:val="000000"/>
          <w:spacing w:val="0"/>
          <w:w w:val="100"/>
          <w:position w:val="0"/>
        </w:rPr>
        <w:t>0</w:t>
      </w:r>
      <w:r>
        <w:rPr>
          <w:color w:val="000000"/>
          <w:spacing w:val="0"/>
          <w:w w:val="100"/>
          <w:position w:val="0"/>
        </w:rPr>
        <w:t>、外币货币性项目</w:t>
      </w:r>
      <w:bookmarkEnd w:id="1438"/>
      <w:bookmarkEnd w:id="1439"/>
      <w:bookmarkEnd w:id="1441"/>
    </w:p>
    <w:p>
      <w:pPr>
        <w:pStyle w:val="Style35"/>
        <w:keepNext/>
        <w:keepLines/>
        <w:widowControl w:val="0"/>
        <w:shd w:val="clear" w:color="auto" w:fill="auto"/>
        <w:bidi w:val="0"/>
        <w:spacing w:before="0" w:after="380" w:line="240" w:lineRule="auto"/>
        <w:ind w:left="0" w:right="0" w:firstLine="0"/>
        <w:jc w:val="left"/>
      </w:pPr>
      <w:bookmarkStart w:id="1442" w:name="bookmark1442"/>
      <w:bookmarkStart w:id="1443" w:name="bookmark1443"/>
      <w:bookmarkStart w:id="1444" w:name="bookmark14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42"/>
      <w:bookmarkEnd w:id="1443"/>
      <w:bookmarkEnd w:id="1444"/>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933,616.43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0.81760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763,324.79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642,162.00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0.81760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525,031.66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38,069.16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0.81760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31,125.35</w:t>
            </w:r>
          </w:p>
        </w:tc>
      </w:tr>
    </w:tbl>
    <w:p>
      <w:pPr>
        <w:widowControl w:val="0"/>
        <w:spacing w:after="99" w:line="1" w:lineRule="exact"/>
      </w:pPr>
    </w:p>
    <w:p>
      <w:pPr>
        <w:pStyle w:val="Style31"/>
        <w:keepNext w:val="0"/>
        <w:keepLines w:val="0"/>
        <w:widowControl w:val="0"/>
        <w:shd w:val="clear" w:color="auto" w:fill="auto"/>
        <w:bidi w:val="0"/>
        <w:spacing w:before="0" w:after="280" w:line="317" w:lineRule="exact"/>
        <w:ind w:left="0" w:right="0" w:firstLine="0"/>
        <w:jc w:val="left"/>
      </w:pPr>
      <w:r>
        <w:rPr>
          <w:color w:val="000000"/>
          <w:spacing w:val="0"/>
          <w:w w:val="100"/>
          <w:position w:val="0"/>
        </w:rPr>
        <w:t>其他说明：无。</w:t>
      </w:r>
    </w:p>
    <w:p>
      <w:pPr>
        <w:pStyle w:val="Style35"/>
        <w:keepNext/>
        <w:keepLines/>
        <w:widowControl w:val="0"/>
        <w:shd w:val="clear" w:color="auto" w:fill="auto"/>
        <w:bidi w:val="0"/>
        <w:spacing w:before="0" w:after="380" w:line="317" w:lineRule="exact"/>
        <w:ind w:left="0" w:right="0" w:firstLine="0"/>
        <w:jc w:val="left"/>
      </w:pPr>
      <w:bookmarkStart w:id="1445" w:name="bookmark1445"/>
      <w:bookmarkStart w:id="1446" w:name="bookmark1446"/>
      <w:bookmarkStart w:id="1447" w:name="bookmark14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45"/>
      <w:bookmarkEnd w:id="1446"/>
      <w:bookmarkEnd w:id="1447"/>
    </w:p>
    <w:p>
      <w:pPr>
        <w:pStyle w:val="Style31"/>
        <w:keepNext w:val="0"/>
        <w:keepLines w:val="0"/>
        <w:widowControl w:val="0"/>
        <w:shd w:val="clear" w:color="auto" w:fill="auto"/>
        <w:bidi w:val="0"/>
        <w:spacing w:before="0" w:after="60" w:line="331" w:lineRule="auto"/>
        <w:ind w:left="0" w:right="0" w:firstLine="0"/>
        <w:jc w:val="both"/>
      </w:pP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after="380" w:line="317" w:lineRule="exact"/>
        <w:ind w:left="0" w:right="0" w:firstLine="440"/>
        <w:jc w:val="left"/>
      </w:pPr>
      <w:r>
        <w:rPr>
          <w:color w:val="000000"/>
          <w:spacing w:val="0"/>
          <w:w w:val="100"/>
          <w:position w:val="0"/>
        </w:rPr>
        <w:t>子公司天亿马（香港）信息产业有限公司主要经营地位于香港，以港币为记账本位币。</w:t>
      </w:r>
    </w:p>
    <w:p>
      <w:pPr>
        <w:pStyle w:val="Style28"/>
        <w:keepNext/>
        <w:keepLines/>
        <w:widowControl w:val="0"/>
        <w:shd w:val="clear" w:color="auto" w:fill="auto"/>
        <w:bidi w:val="0"/>
        <w:spacing w:before="0" w:after="200" w:line="331"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5</w:t>
      </w:r>
      <w:bookmarkEnd w:id="1450"/>
      <w:r>
        <w:rPr>
          <w:rFonts w:ascii="Times New Roman" w:eastAsia="Times New Roman" w:hAnsi="Times New Roman" w:cs="Times New Roman"/>
          <w:color w:val="000000"/>
          <w:spacing w:val="0"/>
          <w:w w:val="100"/>
          <w:position w:val="0"/>
        </w:rPr>
        <w:t>1</w:t>
      </w:r>
      <w:r>
        <w:rPr>
          <w:color w:val="000000"/>
          <w:spacing w:val="0"/>
          <w:w w:val="100"/>
          <w:position w:val="0"/>
        </w:rPr>
        <w:t>、政府补助</w:t>
      </w:r>
      <w:bookmarkEnd w:id="1448"/>
      <w:bookmarkEnd w:id="1449"/>
      <w:bookmarkEnd w:id="1451"/>
    </w:p>
    <w:p>
      <w:pPr>
        <w:pStyle w:val="Style35"/>
        <w:keepNext/>
        <w:keepLines/>
        <w:widowControl w:val="0"/>
        <w:shd w:val="clear" w:color="auto" w:fill="auto"/>
        <w:bidi w:val="0"/>
        <w:spacing w:before="0" w:after="380" w:line="317" w:lineRule="exact"/>
        <w:ind w:left="0" w:right="0" w:firstLine="0"/>
        <w:jc w:val="left"/>
      </w:pPr>
      <w:bookmarkStart w:id="1452" w:name="bookmark1452"/>
      <w:bookmarkStart w:id="1453" w:name="bookmark1453"/>
      <w:bookmarkStart w:id="1454" w:name="bookmark14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52"/>
      <w:bookmarkEnd w:id="1453"/>
      <w:bookmarkEnd w:id="1454"/>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04"/>
        <w:gridCol w:w="1210"/>
        <w:gridCol w:w="1157"/>
        <w:gridCol w:w="204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国家高新技术企业认定奖励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软件产品增值税即征即退税款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78,168.18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78,168.18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企业研究开发资助拨款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科技创新专项资金拨款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稳岗补贴、社保补贴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19,144.55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19,144.55</w:t>
            </w:r>
          </w:p>
        </w:tc>
      </w:tr>
    </w:tbl>
    <w:p>
      <w:pPr>
        <w:widowControl w:val="0"/>
        <w:spacing w:line="1" w:lineRule="exact"/>
      </w:pPr>
      <w:r>
        <w:br w:type="page"/>
      </w:r>
    </w:p>
    <w:tbl>
      <w:tblPr>
        <w:tblOverlap w:val="never"/>
        <w:jc w:val="center"/>
        <w:tblLayout w:type="fixed"/>
      </w:tblPr>
      <w:tblGrid>
        <w:gridCol w:w="5304"/>
        <w:gridCol w:w="1210"/>
        <w:gridCol w:w="1157"/>
        <w:gridCol w:w="204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知识产权、专利资助资金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52,155.00</w:t>
            </w:r>
          </w:p>
        </w:tc>
      </w:tr>
      <w:tr>
        <w:trPr>
          <w:trHeight w:val="57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中小企业创新创业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降低民营企业融资成本专项资金（上市挂牌融资奖补）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283,019.00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283,019.00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年度扶持产业发展政策奖励资金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2,790,714.30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2,790,714.30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企业培育考核奖补资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扶持产业发展政策企业落户奖励资金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4,252,028.53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4,252,028.53</w:t>
            </w:r>
          </w:p>
        </w:tc>
      </w:tr>
    </w:tbl>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left"/>
      </w:pPr>
      <w:bookmarkStart w:id="1455" w:name="bookmark1455"/>
      <w:bookmarkStart w:id="1456" w:name="bookmark1456"/>
      <w:bookmarkStart w:id="1457" w:name="bookmark14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455"/>
      <w:bookmarkEnd w:id="1456"/>
      <w:bookmarkEnd w:id="1457"/>
    </w:p>
    <w:p>
      <w:pPr>
        <w:pStyle w:val="Style31"/>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本年无政府补助退回情况。</w:t>
      </w:r>
    </w:p>
    <w:p>
      <w:pPr>
        <w:pStyle w:val="Style25"/>
        <w:keepNext/>
        <w:keepLines/>
        <w:widowControl w:val="0"/>
        <w:shd w:val="clear" w:color="auto" w:fill="auto"/>
        <w:tabs>
          <w:tab w:pos="517" w:val="left"/>
        </w:tabs>
        <w:bidi w:val="0"/>
        <w:spacing w:before="0" w:after="360" w:line="240" w:lineRule="auto"/>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八</w:t>
      </w:r>
      <w:bookmarkEnd w:id="1460"/>
      <w:r>
        <w:rPr>
          <w:color w:val="000000"/>
          <w:spacing w:val="0"/>
          <w:w w:val="100"/>
          <w:position w:val="0"/>
        </w:rPr>
        <w:t>、</w:t>
        <w:tab/>
        <w:t>合并范围的变更</w:t>
      </w:r>
      <w:bookmarkEnd w:id="1458"/>
      <w:bookmarkEnd w:id="1459"/>
      <w:bookmarkEnd w:id="1461"/>
    </w:p>
    <w:p>
      <w:pPr>
        <w:pStyle w:val="Style28"/>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462"/>
      <w:bookmarkEnd w:id="1463"/>
      <w:bookmarkEnd w:id="1464"/>
    </w:p>
    <w:p>
      <w:pPr>
        <w:pStyle w:val="Style31"/>
        <w:keepNext w:val="0"/>
        <w:keepLines w:val="0"/>
        <w:widowControl w:val="0"/>
        <w:shd w:val="clear" w:color="auto" w:fill="auto"/>
        <w:bidi w:val="0"/>
        <w:spacing w:before="0" w:after="360" w:line="240" w:lineRule="auto"/>
        <w:ind w:left="0" w:right="0" w:firstLine="500"/>
        <w:jc w:val="left"/>
      </w:pPr>
      <w:r>
        <w:rPr>
          <w:color w:val="000000"/>
          <w:spacing w:val="0"/>
          <w:w w:val="100"/>
          <w:position w:val="0"/>
        </w:rPr>
        <w:t>报告期内合并范围未发生变更。</w:t>
      </w:r>
    </w:p>
    <w:p>
      <w:pPr>
        <w:pStyle w:val="Style25"/>
        <w:keepNext/>
        <w:keepLines/>
        <w:widowControl w:val="0"/>
        <w:shd w:val="clear" w:color="auto" w:fill="auto"/>
        <w:tabs>
          <w:tab w:pos="517" w:val="left"/>
        </w:tabs>
        <w:bidi w:val="0"/>
        <w:spacing w:before="0" w:after="360" w:line="240" w:lineRule="auto"/>
        <w:ind w:left="0" w:right="0" w:firstLine="0"/>
        <w:jc w:val="left"/>
      </w:pPr>
      <w:bookmarkStart w:id="1465" w:name="bookmark1465"/>
      <w:bookmarkStart w:id="1466" w:name="bookmark1466"/>
      <w:bookmarkStart w:id="1467" w:name="bookmark1467"/>
      <w:bookmarkStart w:id="1468" w:name="bookmark1468"/>
      <w:r>
        <w:rPr>
          <w:color w:val="000000"/>
          <w:spacing w:val="0"/>
          <w:w w:val="100"/>
          <w:position w:val="0"/>
        </w:rPr>
        <w:t>九</w:t>
      </w:r>
      <w:bookmarkEnd w:id="1467"/>
      <w:r>
        <w:rPr>
          <w:color w:val="000000"/>
          <w:spacing w:val="0"/>
          <w:w w:val="100"/>
          <w:position w:val="0"/>
        </w:rPr>
        <w:t>、</w:t>
        <w:tab/>
        <w:t>在其他主体中的权益</w:t>
      </w:r>
      <w:bookmarkEnd w:id="1465"/>
      <w:bookmarkEnd w:id="1466"/>
      <w:bookmarkEnd w:id="1468"/>
    </w:p>
    <w:p>
      <w:pPr>
        <w:pStyle w:val="Style28"/>
        <w:keepNext/>
        <w:keepLines/>
        <w:widowControl w:val="0"/>
        <w:shd w:val="clear" w:color="auto" w:fill="auto"/>
        <w:bidi w:val="0"/>
        <w:spacing w:before="0" w:line="240" w:lineRule="auto"/>
        <w:ind w:left="0" w:right="0" w:firstLine="0"/>
        <w:jc w:val="left"/>
      </w:pPr>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69"/>
      <w:bookmarkEnd w:id="1470"/>
      <w:bookmarkEnd w:id="1471"/>
    </w:p>
    <w:p>
      <w:pPr>
        <w:pStyle w:val="Style35"/>
        <w:keepNext/>
        <w:keepLines/>
        <w:widowControl w:val="0"/>
        <w:shd w:val="clear" w:color="auto" w:fill="auto"/>
        <w:bidi w:val="0"/>
        <w:spacing w:before="0" w:after="360" w:line="240" w:lineRule="auto"/>
        <w:ind w:left="0" w:right="0" w:firstLine="0"/>
        <w:jc w:val="left"/>
      </w:pPr>
      <w:bookmarkStart w:id="1472" w:name="bookmark1472"/>
      <w:bookmarkStart w:id="1473" w:name="bookmark1473"/>
      <w:bookmarkStart w:id="1474" w:name="bookmark14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72"/>
      <w:bookmarkEnd w:id="1473"/>
      <w:bookmarkEnd w:id="1474"/>
    </w:p>
    <w:tbl>
      <w:tblPr>
        <w:tblOverlap w:val="never"/>
        <w:jc w:val="center"/>
        <w:tblLayout w:type="fixed"/>
      </w:tblPr>
      <w:tblGrid>
        <w:gridCol w:w="3048"/>
        <w:gridCol w:w="1056"/>
        <w:gridCol w:w="662"/>
        <w:gridCol w:w="1848"/>
        <w:gridCol w:w="778"/>
        <w:gridCol w:w="456"/>
        <w:gridCol w:w="186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深圳市互联精英信息技术有限公司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非同一控制企业合并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天亿马（香港）信息产业有限公司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同一控制企业合并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重庆天亿马信息技术有限公司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天亿马信息技术有限公司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汕头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广东天亿马信息科技有限公司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软件和信息技术服务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219" w:line="1" w:lineRule="exact"/>
      </w:pP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在子公司的持股比例不同于表决权比例的说明: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不适用。</w:t>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对于纳入合并范围的重要的结构化主体，控制的依据：</w:t>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不适用。</w:t>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确定公司是代理人还是委托人的依据：</w:t>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不适用。</w:t>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475" w:name="bookmark1475"/>
      <w:bookmarkStart w:id="1476" w:name="bookmark1476"/>
      <w:bookmarkStart w:id="1477" w:name="bookmark14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75"/>
      <w:bookmarkEnd w:id="1476"/>
      <w:bookmarkEnd w:id="1477"/>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10"/>
        <w:gridCol w:w="1987"/>
        <w:gridCol w:w="1277"/>
        <w:gridCol w:w="1675"/>
        <w:gridCol w:w="1762"/>
      </w:tblGrid>
      <w:tr>
        <w:trPr>
          <w:trHeight w:val="88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本期归属于少</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数股东的损益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期末少数股东权益余 额</w:t>
            </w:r>
          </w:p>
        </w:tc>
      </w:tr>
      <w:tr>
        <w:trPr>
          <w:trHeight w:val="528" w:hRule="exact"/>
        </w:trPr>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重庆天亿马信息技术有限公司</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-315,754.85</w:t>
            </w:r>
          </w:p>
        </w:tc>
      </w:tr>
    </w:tbl>
    <w:p>
      <w:pPr>
        <w:widowControl w:val="0"/>
        <w:spacing w:after="219" w:line="1" w:lineRule="exact"/>
      </w:pP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子公司少数股东的持股比例不同于表决权比例的说明:</w:t>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不适用。</w:t>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5"/>
        <w:keepNext/>
        <w:keepLines/>
        <w:widowControl w:val="0"/>
        <w:shd w:val="clear" w:color="auto" w:fill="auto"/>
        <w:bidi w:val="0"/>
        <w:spacing w:before="0" w:after="380" w:line="240" w:lineRule="auto"/>
        <w:ind w:left="0" w:right="0" w:firstLine="0"/>
        <w:jc w:val="left"/>
      </w:pPr>
      <w:bookmarkStart w:id="1478" w:name="bookmark1478"/>
      <w:bookmarkStart w:id="1479" w:name="bookmark1479"/>
      <w:bookmarkStart w:id="1480" w:name="bookmark1480"/>
      <w:bookmarkStart w:id="1481" w:name="bookmark1481"/>
      <w:r>
        <w:rPr>
          <w:color w:val="000000"/>
          <w:spacing w:val="0"/>
          <w:w w:val="100"/>
          <w:position w:val="0"/>
        </w:rPr>
        <w:t>（</w:t>
      </w:r>
      <w:bookmarkEnd w:id="1480"/>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478"/>
      <w:bookmarkEnd w:id="1479"/>
      <w:bookmarkEnd w:id="1481"/>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95"/>
        <w:gridCol w:w="869"/>
        <w:gridCol w:w="686"/>
        <w:gridCol w:w="859"/>
        <w:gridCol w:w="864"/>
        <w:gridCol w:w="494"/>
        <w:gridCol w:w="869"/>
        <w:gridCol w:w="773"/>
        <w:gridCol w:w="590"/>
        <w:gridCol w:w="778"/>
        <w:gridCol w:w="864"/>
        <w:gridCol w:w="590"/>
        <w:gridCol w:w="8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子公</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司名 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动资</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流动负债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动负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负债合计</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重庆 天亿 马信 息技 术有</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108,708.29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110,696.05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755,093.72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755,093.72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80,933.85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80,933.85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667,985.90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667,985.90</w:t>
            </w:r>
          </w:p>
        </w:tc>
      </w:tr>
    </w:tbl>
    <w:p>
      <w:pPr>
        <w:widowControl w:val="0"/>
        <w:spacing w:after="79" w:line="1" w:lineRule="exact"/>
      </w:pPr>
    </w:p>
    <w:p>
      <w:pPr>
        <w:widowControl w:val="0"/>
        <w:spacing w:line="1" w:lineRule="exact"/>
      </w:pP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80"/>
        <w:gridCol w:w="4296"/>
        <w:gridCol w:w="433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p>
    <w:tbl>
      <w:tblPr>
        <w:tblOverlap w:val="never"/>
        <w:jc w:val="center"/>
        <w:tblLayout w:type="fixed"/>
      </w:tblPr>
      <w:tblGrid>
        <w:gridCol w:w="1080"/>
        <w:gridCol w:w="1075"/>
        <w:gridCol w:w="1075"/>
        <w:gridCol w:w="1080"/>
        <w:gridCol w:w="1080"/>
        <w:gridCol w:w="1075"/>
        <w:gridCol w:w="1075"/>
        <w:gridCol w:w="1075"/>
        <w:gridCol w:w="1094"/>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重庆天亿马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信息技术有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-57,345.62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-57,345.62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32,557.85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-293,296.05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-293,296.05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-28,869.45</w:t>
            </w:r>
          </w:p>
        </w:tc>
      </w:tr>
    </w:tbl>
    <w:p>
      <w:pPr>
        <w:widowControl w:val="0"/>
        <w:spacing w:after="159" w:line="1" w:lineRule="exact"/>
      </w:pP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280" w:line="240" w:lineRule="auto"/>
        <w:ind w:left="0" w:right="0" w:firstLine="0"/>
        <w:jc w:val="left"/>
      </w:pPr>
      <w:bookmarkStart w:id="1482" w:name="bookmark1482"/>
      <w:bookmarkStart w:id="1483" w:name="bookmark1483"/>
      <w:bookmarkStart w:id="1484" w:name="bookmark1484"/>
      <w:r>
        <w:rPr>
          <w:color w:val="000000"/>
          <w:spacing w:val="0"/>
          <w:w w:val="100"/>
          <w:position w:val="0"/>
        </w:rPr>
        <w:t>十、与金融工具相关的风险</w:t>
      </w:r>
      <w:bookmarkEnd w:id="1482"/>
      <w:bookmarkEnd w:id="1483"/>
      <w:bookmarkEnd w:id="1484"/>
    </w:p>
    <w:p>
      <w:pPr>
        <w:pStyle w:val="Style31"/>
        <w:keepNext w:val="0"/>
        <w:keepLines w:val="0"/>
        <w:widowControl w:val="0"/>
        <w:shd w:val="clear" w:color="auto" w:fill="auto"/>
        <w:bidi w:val="0"/>
        <w:spacing w:before="0" w:after="160" w:line="311" w:lineRule="exact"/>
        <w:ind w:left="0" w:right="0" w:firstLine="0"/>
        <w:jc w:val="left"/>
      </w:pPr>
      <w:r>
        <w:rPr>
          <w:b/>
          <w:bCs/>
          <w:color w:val="000000"/>
          <w:spacing w:val="0"/>
          <w:w w:val="100"/>
          <w:position w:val="0"/>
        </w:rPr>
        <w:t>（一）与金融工具相关的风险</w:t>
      </w:r>
    </w:p>
    <w:p>
      <w:pPr>
        <w:pStyle w:val="Style31"/>
        <w:keepNext w:val="0"/>
        <w:keepLines w:val="0"/>
        <w:widowControl w:val="0"/>
        <w:shd w:val="clear" w:color="auto" w:fill="auto"/>
        <w:bidi w:val="0"/>
        <w:spacing w:before="0" w:after="220" w:line="311" w:lineRule="exact"/>
        <w:ind w:left="0" w:right="0" w:firstLine="540"/>
        <w:jc w:val="both"/>
      </w:pPr>
      <w:r>
        <w:rPr>
          <w:color w:val="000000"/>
          <w:spacing w:val="0"/>
          <w:w w:val="100"/>
          <w:position w:val="0"/>
        </w:rPr>
        <w:t>本集团的主要金融工具包括股权投资、债权投资、借款、应收款项、应付账款等，各项金融工具的详 细情况说明见本节、七相关项目。本集团从事风险管理的目标是在风险和收益之间取得适当的平衡，将风 险对本集团经营业绩的负面影响降低到最低水平，使股东及其他权益投资者的利益最大化。基于该风险管 理目标，本集团风险管理的基本策略是确定和分析本集团所面临的各种风险，建立适当的风险承受底线和 进行风险管理，并及时可靠地对各种风险进行监督，将风险控制在限定的范围之内。</w:t>
      </w:r>
    </w:p>
    <w:p>
      <w:pPr>
        <w:pStyle w:val="Style31"/>
        <w:keepNext w:val="0"/>
        <w:keepLines w:val="0"/>
        <w:widowControl w:val="0"/>
        <w:numPr>
          <w:ilvl w:val="0"/>
          <w:numId w:val="177"/>
        </w:numPr>
        <w:shd w:val="clear" w:color="auto" w:fill="auto"/>
        <w:bidi w:val="0"/>
        <w:spacing w:before="0" w:after="60" w:line="324" w:lineRule="auto"/>
        <w:ind w:left="0" w:right="0" w:firstLine="540"/>
        <w:jc w:val="both"/>
      </w:pPr>
      <w:bookmarkStart w:id="1485" w:name="bookmark1485"/>
      <w:bookmarkEnd w:id="1485"/>
      <w:r>
        <w:rPr>
          <w:b/>
          <w:bCs/>
          <w:color w:val="000000"/>
          <w:spacing w:val="0"/>
          <w:w w:val="100"/>
          <w:position w:val="0"/>
        </w:rPr>
        <w:t>市场风险</w:t>
      </w:r>
    </w:p>
    <w:p>
      <w:pPr>
        <w:pStyle w:val="Style31"/>
        <w:keepNext w:val="0"/>
        <w:keepLines w:val="0"/>
        <w:widowControl w:val="0"/>
        <w:shd w:val="clear" w:color="auto" w:fill="auto"/>
        <w:bidi w:val="0"/>
        <w:spacing w:before="0" w:after="160" w:line="302" w:lineRule="exact"/>
        <w:ind w:left="0" w:right="0" w:firstLine="540"/>
        <w:jc w:val="both"/>
      </w:pPr>
      <w:r>
        <w:rPr>
          <w:color w:val="000000"/>
          <w:spacing w:val="0"/>
          <w:w w:val="100"/>
          <w:position w:val="0"/>
        </w:rPr>
        <w:t>金融工具的市场风险，是指金融工具的公允价值或未来现金流量因市场价格变动而发生波动的风险， 包括汇率风险、利率风险和其他价格风险。</w:t>
      </w:r>
    </w:p>
    <w:p>
      <w:pPr>
        <w:pStyle w:val="Style31"/>
        <w:keepNext w:val="0"/>
        <w:keepLines w:val="0"/>
        <w:widowControl w:val="0"/>
        <w:shd w:val="clear" w:color="auto" w:fill="auto"/>
        <w:bidi w:val="0"/>
        <w:spacing w:before="0" w:after="160" w:line="312" w:lineRule="exact"/>
        <w:ind w:left="0" w:right="0" w:firstLine="540"/>
        <w:jc w:val="both"/>
      </w:pPr>
      <w:r>
        <w:rPr>
          <w:color w:val="000000"/>
          <w:spacing w:val="0"/>
          <w:w w:val="100"/>
          <w:position w:val="0"/>
        </w:rPr>
        <w:t>本集团采用敏感性分析技术分析市场风险相关变量的合理、可能变化对当期损益或股东权益可能产生 的影响。由于任何风险变量很少孤立地发生变化，而变量之间存在的相关性对某一风险变量的变化的最终 影响金额将产生重大作用，因此下述内容是在假设每一变量的变化是在独立的情况下进行的。</w:t>
      </w:r>
    </w:p>
    <w:p>
      <w:pPr>
        <w:pStyle w:val="Style31"/>
        <w:keepNext w:val="0"/>
        <w:keepLines w:val="0"/>
        <w:widowControl w:val="0"/>
        <w:shd w:val="clear" w:color="auto" w:fill="auto"/>
        <w:bidi w:val="0"/>
        <w:spacing w:before="0" w:after="160" w:line="311" w:lineRule="exact"/>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）汇率风险</w:t>
      </w:r>
    </w:p>
    <w:p>
      <w:pPr>
        <w:pStyle w:val="Style31"/>
        <w:keepNext w:val="0"/>
        <w:keepLines w:val="0"/>
        <w:widowControl w:val="0"/>
        <w:shd w:val="clear" w:color="auto" w:fill="auto"/>
        <w:bidi w:val="0"/>
        <w:spacing w:before="0" w:after="160" w:line="310" w:lineRule="exact"/>
        <w:ind w:left="0" w:right="0" w:firstLine="540"/>
        <w:jc w:val="both"/>
      </w:pPr>
      <w:r>
        <w:rPr>
          <w:color w:val="000000"/>
          <w:spacing w:val="0"/>
          <w:w w:val="100"/>
          <w:position w:val="0"/>
        </w:rPr>
        <w:t>汇率风险，是指金融工具的公允价值或未来现金流量因外汇汇率变动而发生波动的风险。本集团承受 外汇风险主要与港币有关，除本集团的几个下属子公司以港币进行采购和销售外，本集团的其他主要业务 活动以人民币计价结算。汇率风险对本集团的交易及境外经营的业绩均构成影响。于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 集团的外币货币性项目余额参见本节七、</w:t>
      </w:r>
      <w:r>
        <w:rPr>
          <w:rFonts w:ascii="Times New Roman" w:eastAsia="Times New Roman" w:hAnsi="Times New Roman" w:cs="Times New Roman"/>
          <w:color w:val="000000"/>
          <w:spacing w:val="0"/>
          <w:w w:val="100"/>
          <w:position w:val="0"/>
        </w:rPr>
        <w:t>50“</w:t>
      </w:r>
      <w:r>
        <w:rPr>
          <w:color w:val="000000"/>
          <w:spacing w:val="0"/>
          <w:w w:val="100"/>
          <w:position w:val="0"/>
        </w:rPr>
        <w:t>外币货币性项目</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4"/>
        <w:keepNext w:val="0"/>
        <w:keepLines w:val="0"/>
        <w:widowControl w:val="0"/>
        <w:shd w:val="clear" w:color="auto" w:fill="auto"/>
        <w:bidi w:val="0"/>
        <w:spacing w:before="0" w:after="0" w:line="312" w:lineRule="exact"/>
        <w:ind w:left="115" w:right="0" w:firstLine="0"/>
        <w:jc w:val="left"/>
        <w:rPr>
          <w:sz w:val="20"/>
          <w:szCs w:val="20"/>
        </w:rPr>
      </w:pPr>
      <w:r>
        <w:rPr>
          <w:color w:val="000000"/>
          <w:spacing w:val="0"/>
          <w:w w:val="100"/>
          <w:position w:val="0"/>
          <w:sz w:val="20"/>
          <w:szCs w:val="20"/>
        </w:rPr>
        <w:t>汇率风险的敏感性分析见下表，反映了在其他变量不变的假设下，以下所列外币汇率发生合理、可能 的变动时，由于货币性资产和货币性负债的公允价值变化将对净利润和股东权益产生的影响。</w:t>
      </w:r>
    </w:p>
    <w:tbl>
      <w:tblPr>
        <w:tblOverlap w:val="never"/>
        <w:jc w:val="center"/>
        <w:tblLayout w:type="fixed"/>
      </w:tblPr>
      <w:tblGrid>
        <w:gridCol w:w="3269"/>
        <w:gridCol w:w="1450"/>
        <w:gridCol w:w="1848"/>
        <w:gridCol w:w="1450"/>
        <w:gridCol w:w="1862"/>
      </w:tblGrid>
      <w:tr>
        <w:trPr>
          <w:trHeight w:val="341"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w:t>
            </w:r>
          </w:p>
        </w:tc>
      </w:tr>
      <w:tr>
        <w:trPr>
          <w:trHeight w:val="470" w:hRule="exact"/>
        </w:trPr>
        <w:tc>
          <w:tcPr>
            <w:vMerge/>
            <w:tcBorders>
              <w:left w:val="single" w:sz="4"/>
            </w:tcBorders>
            <w:shd w:val="clear" w:color="auto" w:fill="D3D3D3"/>
            <w:vAlign w:val="top"/>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对利润的影响</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对股东权益的影响</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对利润的影响</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对股东权益的影响</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人民币对港币汇率增加</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个基准点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-437.51</w:t>
            </w:r>
          </w:p>
        </w:tc>
      </w:tr>
      <w:tr>
        <w:trPr>
          <w:trHeight w:val="35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人民币对港币汇率降低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个基准点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437.51</w:t>
            </w:r>
          </w:p>
        </w:tc>
      </w:tr>
    </w:tbl>
    <w:p>
      <w:pPr>
        <w:pStyle w:val="Style14"/>
        <w:keepNext w:val="0"/>
        <w:keepLines w:val="0"/>
        <w:widowControl w:val="0"/>
        <w:shd w:val="clear" w:color="auto" w:fill="auto"/>
        <w:bidi w:val="0"/>
        <w:spacing w:before="0" w:after="0" w:line="240" w:lineRule="auto"/>
        <w:ind w:left="523"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：上表以正数表示增加，以负数表示减少。</w:t>
      </w:r>
    </w:p>
    <w:p>
      <w:pPr>
        <w:widowControl w:val="0"/>
        <w:spacing w:after="159" w:line="1" w:lineRule="exact"/>
      </w:pPr>
    </w:p>
    <w:p>
      <w:pPr>
        <w:pStyle w:val="Style31"/>
        <w:keepNext w:val="0"/>
        <w:keepLines w:val="0"/>
        <w:widowControl w:val="0"/>
        <w:shd w:val="clear" w:color="auto" w:fill="auto"/>
        <w:bidi w:val="0"/>
        <w:spacing w:before="0" w:after="220" w:line="240" w:lineRule="auto"/>
        <w:ind w:left="0" w:right="0" w:firstLine="54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：上表的股东权益变动不包括留存收益。</w:t>
      </w:r>
    </w:p>
    <w:p>
      <w:pPr>
        <w:pStyle w:val="Style31"/>
        <w:keepNext w:val="0"/>
        <w:keepLines w:val="0"/>
        <w:widowControl w:val="0"/>
        <w:shd w:val="clear" w:color="auto" w:fill="auto"/>
        <w:bidi w:val="0"/>
        <w:spacing w:before="0" w:after="22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）利率风险</w:t>
      </w:r>
    </w:p>
    <w:p>
      <w:pPr>
        <w:pStyle w:val="Style31"/>
        <w:keepNext w:val="0"/>
        <w:keepLines w:val="0"/>
        <w:widowControl w:val="0"/>
        <w:shd w:val="clear" w:color="auto" w:fill="auto"/>
        <w:bidi w:val="0"/>
        <w:spacing w:before="0" w:line="240" w:lineRule="auto"/>
        <w:ind w:left="0" w:right="0" w:firstLine="540"/>
        <w:jc w:val="both"/>
      </w:pPr>
      <w:r>
        <w:rPr>
          <w:color w:val="000000"/>
          <w:spacing w:val="0"/>
          <w:w w:val="100"/>
          <w:position w:val="0"/>
        </w:rPr>
        <w:t xml:space="preserve">利率风险，是指金融工具的公允价值或未来现金流量因市场利率变动而发生波动的风险。本集团的利 </w:t>
      </w:r>
      <w:r>
        <w:rPr>
          <w:color w:val="000000"/>
          <w:spacing w:val="0"/>
          <w:w w:val="100"/>
          <w:position w:val="0"/>
        </w:rPr>
        <w:t>率风险产生于银行借款及应付债券等带息债务。浮动利率的金融负债使本集团面临现金流量利率风险，固 定利率的金融负债使本集团面临公允价值利率风险。本集团根据当时的市场环境来决定固定利率及浮动利 率合同的相对比例。于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日，本集团的带息债务主要为以人民币计价的浮动利率借款合同，金 额合计为</w:t>
      </w:r>
      <w:r>
        <w:rPr>
          <w:rFonts w:ascii="Times New Roman" w:eastAsia="Times New Roman" w:hAnsi="Times New Roman" w:cs="Times New Roman"/>
          <w:color w:val="000000"/>
          <w:spacing w:val="0"/>
          <w:w w:val="100"/>
          <w:position w:val="0"/>
        </w:rPr>
        <w:t>0</w:t>
      </w:r>
      <w:r>
        <w:rPr>
          <w:color w:val="000000"/>
          <w:spacing w:val="0"/>
          <w:w w:val="100"/>
          <w:position w:val="0"/>
        </w:rPr>
        <w:t>元（上年末：</w:t>
      </w:r>
      <w:r>
        <w:rPr>
          <w:rFonts w:ascii="Times New Roman" w:eastAsia="Times New Roman" w:hAnsi="Times New Roman" w:cs="Times New Roman"/>
          <w:color w:val="000000"/>
          <w:spacing w:val="0"/>
          <w:w w:val="100"/>
          <w:position w:val="0"/>
        </w:rPr>
        <w:t>5,000,000.00</w:t>
      </w:r>
      <w:r>
        <w:rPr>
          <w:color w:val="000000"/>
          <w:spacing w:val="0"/>
          <w:w w:val="100"/>
          <w:position w:val="0"/>
        </w:rPr>
        <w:t>元）。</w:t>
      </w:r>
    </w:p>
    <w:p>
      <w:pPr>
        <w:pStyle w:val="Style14"/>
        <w:keepNext w:val="0"/>
        <w:keepLines w:val="0"/>
        <w:widowControl w:val="0"/>
        <w:shd w:val="clear" w:color="auto" w:fill="auto"/>
        <w:bidi w:val="0"/>
        <w:spacing w:before="0" w:after="0" w:line="307" w:lineRule="exact"/>
        <w:ind w:left="106" w:right="0" w:firstLine="0"/>
        <w:jc w:val="left"/>
        <w:rPr>
          <w:sz w:val="20"/>
          <w:szCs w:val="20"/>
        </w:rPr>
      </w:pPr>
      <w:r>
        <w:rPr>
          <w:color w:val="000000"/>
          <w:spacing w:val="0"/>
          <w:w w:val="100"/>
          <w:position w:val="0"/>
          <w:sz w:val="20"/>
          <w:szCs w:val="20"/>
        </w:rPr>
        <w:t>利率风险的敏感性分析见下表，反映了在其他变量不变的假设下，浮动利率金融资产和负债的利率发 生合理、可能的变动时，将对净利润和股东权益产生的影响。</w:t>
      </w:r>
    </w:p>
    <w:tbl>
      <w:tblPr>
        <w:tblOverlap w:val="never"/>
        <w:jc w:val="center"/>
        <w:tblLayout w:type="fixed"/>
      </w:tblPr>
      <w:tblGrid>
        <w:gridCol w:w="3283"/>
        <w:gridCol w:w="1416"/>
        <w:gridCol w:w="1877"/>
        <w:gridCol w:w="1411"/>
        <w:gridCol w:w="1891"/>
      </w:tblGrid>
      <w:tr>
        <w:trPr>
          <w:trHeight w:val="336"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w:t>
            </w:r>
          </w:p>
        </w:tc>
      </w:tr>
      <w:tr>
        <w:trPr>
          <w:trHeight w:val="475" w:hRule="exact"/>
        </w:trPr>
        <w:tc>
          <w:tcPr>
            <w:vMerge/>
            <w:tcBorders>
              <w:left w:val="single" w:sz="4"/>
            </w:tcBorders>
            <w:shd w:val="clear" w:color="auto" w:fill="D3D3D3"/>
            <w:vAlign w:val="top"/>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对利润的影响</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对股东权益的影响</w:t>
            </w: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对利润的影响</w:t>
            </w:r>
          </w:p>
        </w:tc>
        <w:tc>
          <w:tcPr>
            <w:tcBorders>
              <w:left w:val="single" w:sz="4"/>
              <w:righ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对股东权益的影响</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人民币基准利率增加</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个基准点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-1,726.48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-3,003.78</w:t>
            </w:r>
          </w:p>
        </w:tc>
      </w:tr>
      <w:tr>
        <w:trPr>
          <w:trHeight w:val="35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人民币基准利率降低</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个基准点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1,726.48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1,726.48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3,003.78</w:t>
            </w:r>
          </w:p>
        </w:tc>
      </w:tr>
    </w:tbl>
    <w:p>
      <w:pPr>
        <w:pStyle w:val="Style14"/>
        <w:keepNext w:val="0"/>
        <w:keepLines w:val="0"/>
        <w:widowControl w:val="0"/>
        <w:shd w:val="clear" w:color="auto" w:fill="auto"/>
        <w:bidi w:val="0"/>
        <w:spacing w:before="0" w:after="0" w:line="240" w:lineRule="auto"/>
        <w:ind w:left="523" w:right="0" w:firstLine="0"/>
        <w:jc w:val="left"/>
        <w:rPr>
          <w:sz w:val="20"/>
          <w:szCs w:val="20"/>
        </w:rPr>
      </w:pPr>
      <w:r>
        <w:rPr>
          <w:color w:val="000000"/>
          <w:spacing w:val="0"/>
          <w:w w:val="100"/>
          <w:position w:val="0"/>
          <w:sz w:val="20"/>
          <w:szCs w:val="2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：上表以正数表示增加，以负数表示减少。</w:t>
      </w:r>
    </w:p>
    <w:p>
      <w:pPr>
        <w:widowControl w:val="0"/>
        <w:spacing w:after="139" w:line="1" w:lineRule="exact"/>
      </w:pPr>
    </w:p>
    <w:p>
      <w:pPr>
        <w:pStyle w:val="Style31"/>
        <w:keepNext w:val="0"/>
        <w:keepLines w:val="0"/>
        <w:widowControl w:val="0"/>
        <w:shd w:val="clear" w:color="auto" w:fill="auto"/>
        <w:bidi w:val="0"/>
        <w:spacing w:before="0" w:line="310" w:lineRule="exact"/>
        <w:ind w:left="0" w:right="0" w:firstLine="54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：上表的股东权益变动不包括留存收益。</w:t>
      </w:r>
    </w:p>
    <w:p>
      <w:pPr>
        <w:pStyle w:val="Style31"/>
        <w:keepNext w:val="0"/>
        <w:keepLines w:val="0"/>
        <w:widowControl w:val="0"/>
        <w:shd w:val="clear" w:color="auto" w:fill="auto"/>
        <w:bidi w:val="0"/>
        <w:spacing w:before="0" w:line="310" w:lineRule="exact"/>
        <w:ind w:left="0" w:right="0" w:firstLine="540"/>
        <w:jc w:val="both"/>
      </w:pPr>
      <w:bookmarkStart w:id="1486" w:name="bookmark1486"/>
      <w:r>
        <w:rPr>
          <w:color w:val="000000"/>
          <w:spacing w:val="0"/>
          <w:w w:val="100"/>
          <w:position w:val="0"/>
        </w:rPr>
        <w:t>（</w:t>
      </w:r>
      <w:bookmarkEnd w:id="1486"/>
      <w:r>
        <w:rPr>
          <w:rFonts w:ascii="Times New Roman" w:eastAsia="Times New Roman" w:hAnsi="Times New Roman" w:cs="Times New Roman"/>
          <w:color w:val="000000"/>
          <w:spacing w:val="0"/>
          <w:w w:val="100"/>
          <w:position w:val="0"/>
        </w:rPr>
        <w:t>3</w:t>
      </w:r>
      <w:r>
        <w:rPr>
          <w:color w:val="000000"/>
          <w:spacing w:val="0"/>
          <w:w w:val="100"/>
          <w:position w:val="0"/>
        </w:rPr>
        <w:t>）其他价格风险</w:t>
      </w:r>
    </w:p>
    <w:p>
      <w:pPr>
        <w:pStyle w:val="Style31"/>
        <w:keepNext w:val="0"/>
        <w:keepLines w:val="0"/>
        <w:widowControl w:val="0"/>
        <w:shd w:val="clear" w:color="auto" w:fill="auto"/>
        <w:bidi w:val="0"/>
        <w:spacing w:before="0" w:line="313" w:lineRule="exact"/>
        <w:ind w:left="0" w:right="0" w:firstLine="540"/>
        <w:jc w:val="both"/>
      </w:pPr>
      <w:r>
        <w:rPr>
          <w:color w:val="000000"/>
          <w:spacing w:val="0"/>
          <w:w w:val="100"/>
          <w:position w:val="0"/>
        </w:rPr>
        <w:t>其他价格风险，是指金融工具的公允价值或未来现金流量因汇率风险和利率风险以外的市场价格变动 而发生波动的风险，无论这些变动是由于与单项金融工具或其发行方有关的因素而引起的，还是由于与市 场内交易的所有类似金融工具有关的因素而引起的。本集团持有的分类为以公允价值计量且其变动计入当 期损益、以公允价值计量且其变动计入其他综合收益的金融资产的投资在资产负债表日以公允价值计量。 因此，本集团承担着证券市场价格变动的风险。本集团采取持有多种权益证券组合的方式降低权益证券投 资的价格风险。</w:t>
      </w:r>
    </w:p>
    <w:p>
      <w:pPr>
        <w:pStyle w:val="Style31"/>
        <w:keepNext w:val="0"/>
        <w:keepLines w:val="0"/>
        <w:widowControl w:val="0"/>
        <w:shd w:val="clear" w:color="auto" w:fill="auto"/>
        <w:bidi w:val="0"/>
        <w:spacing w:before="0" w:line="307" w:lineRule="exact"/>
        <w:ind w:left="0" w:right="0" w:firstLine="540"/>
        <w:jc w:val="both"/>
      </w:pPr>
      <w:r>
        <w:rPr>
          <w:color w:val="000000"/>
          <w:spacing w:val="0"/>
          <w:w w:val="100"/>
          <w:position w:val="0"/>
        </w:rPr>
        <w:t>由于某些金融工具的公允价值是按照未来现金流量折现法为基础的通用定价模型或其他估值技术确 定的，而估值技术本身基于一定的估值假设，因此估值结果对估值假设具有重大的敏感性。</w:t>
      </w:r>
    </w:p>
    <w:p>
      <w:pPr>
        <w:pStyle w:val="Style31"/>
        <w:keepNext w:val="0"/>
        <w:keepLines w:val="0"/>
        <w:widowControl w:val="0"/>
        <w:shd w:val="clear" w:color="auto" w:fill="auto"/>
        <w:bidi w:val="0"/>
        <w:spacing w:before="0" w:line="310" w:lineRule="exact"/>
        <w:ind w:left="0" w:right="0" w:firstLine="54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信用风险</w:t>
      </w:r>
    </w:p>
    <w:p>
      <w:pPr>
        <w:pStyle w:val="Style31"/>
        <w:keepNext w:val="0"/>
        <w:keepLines w:val="0"/>
        <w:widowControl w:val="0"/>
        <w:shd w:val="clear" w:color="auto" w:fill="auto"/>
        <w:bidi w:val="0"/>
        <w:spacing w:before="0" w:line="310" w:lineRule="exact"/>
        <w:ind w:left="0" w:right="0" w:firstLine="540"/>
        <w:jc w:val="both"/>
      </w:pPr>
      <w:r>
        <w:rPr>
          <w:color w:val="000000"/>
          <w:spacing w:val="0"/>
          <w:w w:val="100"/>
          <w:position w:val="0"/>
        </w:rPr>
        <w:t>信用风险，是指金融工具的一方不能履行义务，造成另一方发生财务损失的风险。</w:t>
      </w:r>
    </w:p>
    <w:p>
      <w:pPr>
        <w:pStyle w:val="Style31"/>
        <w:keepNext w:val="0"/>
        <w:keepLines w:val="0"/>
        <w:widowControl w:val="0"/>
        <w:shd w:val="clear" w:color="auto" w:fill="auto"/>
        <w:bidi w:val="0"/>
        <w:spacing w:before="0" w:line="310" w:lineRule="exact"/>
        <w:ind w:left="0" w:right="0" w:firstLine="54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日，本集团的信用风险主要来自于本集团确认的金融资产，具体包括：</w:t>
      </w:r>
    </w:p>
    <w:p>
      <w:pPr>
        <w:pStyle w:val="Style31"/>
        <w:keepNext w:val="0"/>
        <w:keepLines w:val="0"/>
        <w:widowControl w:val="0"/>
        <w:shd w:val="clear" w:color="auto" w:fill="auto"/>
        <w:bidi w:val="0"/>
        <w:spacing w:before="0" w:line="310" w:lineRule="exact"/>
        <w:ind w:left="0" w:right="0" w:firstLine="540"/>
        <w:jc w:val="both"/>
      </w:pPr>
      <w:r>
        <w:rPr>
          <w:color w:val="000000"/>
          <w:spacing w:val="0"/>
          <w:w w:val="100"/>
          <w:position w:val="0"/>
        </w:rPr>
        <w:t>合并资产负债表中已确认的金融资产的账面金额，最大风险敞口等于这些金融资产的账面价值。</w:t>
      </w:r>
    </w:p>
    <w:p>
      <w:pPr>
        <w:pStyle w:val="Style31"/>
        <w:keepNext w:val="0"/>
        <w:keepLines w:val="0"/>
        <w:widowControl w:val="0"/>
        <w:shd w:val="clear" w:color="auto" w:fill="auto"/>
        <w:bidi w:val="0"/>
        <w:spacing w:before="0" w:line="310" w:lineRule="exact"/>
        <w:ind w:left="0" w:right="0" w:firstLine="540"/>
        <w:jc w:val="both"/>
      </w:pPr>
      <w:r>
        <w:rPr>
          <w:color w:val="000000"/>
          <w:spacing w:val="0"/>
          <w:w w:val="100"/>
          <w:position w:val="0"/>
        </w:rPr>
        <w:t>本节七、</w:t>
      </w:r>
      <w:r>
        <w:rPr>
          <w:rFonts w:ascii="Times New Roman" w:eastAsia="Times New Roman" w:hAnsi="Times New Roman" w:cs="Times New Roman"/>
          <w:color w:val="000000"/>
          <w:spacing w:val="0"/>
          <w:w w:val="100"/>
          <w:position w:val="0"/>
        </w:rPr>
        <w:t>7“</w:t>
      </w:r>
      <w:r>
        <w:rPr>
          <w:color w:val="000000"/>
          <w:spacing w:val="0"/>
          <w:w w:val="100"/>
          <w:position w:val="0"/>
        </w:rPr>
        <w:t>合同资产</w:t>
      </w:r>
      <w:r>
        <w:rPr>
          <w:rFonts w:ascii="Times New Roman" w:eastAsia="Times New Roman" w:hAnsi="Times New Roman" w:cs="Times New Roman"/>
          <w:color w:val="000000"/>
          <w:spacing w:val="0"/>
          <w:w w:val="100"/>
          <w:position w:val="0"/>
        </w:rPr>
        <w:t>”</w:t>
      </w:r>
      <w:r>
        <w:rPr>
          <w:color w:val="000000"/>
          <w:spacing w:val="0"/>
          <w:w w:val="100"/>
          <w:position w:val="0"/>
        </w:rPr>
        <w:t>中披露的合同资产金额。</w:t>
      </w:r>
    </w:p>
    <w:p>
      <w:pPr>
        <w:pStyle w:val="Style31"/>
        <w:keepNext w:val="0"/>
        <w:keepLines w:val="0"/>
        <w:widowControl w:val="0"/>
        <w:shd w:val="clear" w:color="auto" w:fill="auto"/>
        <w:bidi w:val="0"/>
        <w:spacing w:before="0" w:line="310" w:lineRule="exact"/>
        <w:ind w:left="0" w:right="0" w:firstLine="540"/>
        <w:jc w:val="both"/>
      </w:pPr>
      <w:r>
        <w:rPr>
          <w:color w:val="000000"/>
          <w:spacing w:val="0"/>
          <w:w w:val="100"/>
          <w:position w:val="0"/>
        </w:rPr>
        <w:t>本集团的流动资金存放在信用评级较高的银行，故流动资金的信用风险较低。本集团与客户间的贸易 条款以信用交易为主，且一般要求新客户预付款或采取货到付款方式进行。信用期通常为</w:t>
      </w:r>
      <w:r>
        <w:rPr>
          <w:rFonts w:ascii="Times New Roman" w:eastAsia="Times New Roman" w:hAnsi="Times New Roman" w:cs="Times New Roman"/>
          <w:color w:val="000000"/>
          <w:spacing w:val="0"/>
          <w:w w:val="100"/>
          <w:position w:val="0"/>
        </w:rPr>
        <w:t>1</w:t>
      </w:r>
      <w:r>
        <w:rPr>
          <w:color w:val="000000"/>
          <w:spacing w:val="0"/>
          <w:w w:val="100"/>
          <w:position w:val="0"/>
        </w:rPr>
        <w:t>个月，主要客 户可以延长至</w:t>
      </w:r>
      <w:r>
        <w:rPr>
          <w:rFonts w:ascii="Times New Roman" w:eastAsia="Times New Roman" w:hAnsi="Times New Roman" w:cs="Times New Roman"/>
          <w:color w:val="000000"/>
          <w:spacing w:val="0"/>
          <w:w w:val="100"/>
          <w:position w:val="0"/>
        </w:rPr>
        <w:t>6</w:t>
      </w:r>
      <w:r>
        <w:rPr>
          <w:color w:val="000000"/>
          <w:spacing w:val="0"/>
          <w:w w:val="100"/>
          <w:position w:val="0"/>
        </w:rPr>
        <w:t>个月，交易记录良好的客户可获得比较长的信贷期。由于本集团仅与经认可的且信誉良好 的第三方进行交易，所以无需担保物。</w:t>
      </w:r>
    </w:p>
    <w:p>
      <w:pPr>
        <w:pStyle w:val="Style31"/>
        <w:keepNext w:val="0"/>
        <w:keepLines w:val="0"/>
        <w:widowControl w:val="0"/>
        <w:shd w:val="clear" w:color="auto" w:fill="auto"/>
        <w:bidi w:val="0"/>
        <w:spacing w:before="0" w:line="307" w:lineRule="exact"/>
        <w:ind w:left="0" w:right="0" w:firstLine="540"/>
        <w:jc w:val="both"/>
      </w:pPr>
      <w:r>
        <w:rPr>
          <w:color w:val="000000"/>
          <w:spacing w:val="0"/>
          <w:w w:val="100"/>
          <w:position w:val="0"/>
        </w:rPr>
        <w:t>本集团评估信用风险自初始确认后是否已增加的方法、确定金融资产已发生信用减值的依据、划分组 合为基础评估预期信用风险的金融工具的组合方法、直接减记金融工具的政策等，参见本节、五、</w:t>
      </w:r>
      <w:r>
        <w:rPr>
          <w:rFonts w:ascii="Times New Roman" w:eastAsia="Times New Roman" w:hAnsi="Times New Roman" w:cs="Times New Roman"/>
          <w:color w:val="000000"/>
          <w:spacing w:val="0"/>
          <w:w w:val="100"/>
          <w:position w:val="0"/>
        </w:rPr>
        <w:t>11</w:t>
      </w:r>
      <w:r>
        <w:rPr>
          <w:color w:val="000000"/>
          <w:spacing w:val="0"/>
          <w:w w:val="100"/>
          <w:position w:val="0"/>
        </w:rPr>
        <w:t>。</w:t>
      </w:r>
    </w:p>
    <w:p>
      <w:pPr>
        <w:pStyle w:val="Style31"/>
        <w:keepNext w:val="0"/>
        <w:keepLines w:val="0"/>
        <w:widowControl w:val="0"/>
        <w:shd w:val="clear" w:color="auto" w:fill="auto"/>
        <w:bidi w:val="0"/>
        <w:spacing w:before="0" w:line="309" w:lineRule="exact"/>
        <w:ind w:left="0" w:right="0" w:firstLine="540"/>
        <w:jc w:val="both"/>
      </w:pPr>
      <w:r>
        <w:rPr>
          <w:color w:val="000000"/>
          <w:spacing w:val="0"/>
          <w:w w:val="100"/>
          <w:position w:val="0"/>
        </w:rPr>
        <w:t>本集团对不同的资产分别以</w:t>
      </w:r>
      <w:r>
        <w:rPr>
          <w:rFonts w:ascii="Times New Roman" w:eastAsia="Times New Roman" w:hAnsi="Times New Roman" w:cs="Times New Roman"/>
          <w:color w:val="000000"/>
          <w:spacing w:val="0"/>
          <w:w w:val="100"/>
          <w:position w:val="0"/>
        </w:rPr>
        <w:t>12</w:t>
      </w:r>
      <w:r>
        <w:rPr>
          <w:color w:val="000000"/>
          <w:spacing w:val="0"/>
          <w:w w:val="100"/>
          <w:position w:val="0"/>
        </w:rPr>
        <w:t>个月或整个存续期的预期信用损失计量减值准备。预期信用损失计量的 关键参数包括违约概率、违约损失率和违约风险敞口。本集团考虑历史统计数据</w:t>
      </w:r>
      <w:r>
        <w:rPr>
          <w:rFonts w:ascii="Times New Roman" w:eastAsia="Times New Roman" w:hAnsi="Times New Roman" w:cs="Times New Roman"/>
          <w:color w:val="000000"/>
          <w:spacing w:val="0"/>
          <w:w w:val="100"/>
          <w:position w:val="0"/>
        </w:rPr>
        <w:t>（</w:t>
      </w:r>
      <w:r>
        <w:rPr>
          <w:color w:val="000000"/>
          <w:spacing w:val="0"/>
          <w:w w:val="100"/>
          <w:position w:val="0"/>
        </w:rPr>
        <w:t>如交易对手评级、担保方 式及抵质押物类别、还款方式等</w:t>
      </w:r>
      <w:r>
        <w:rPr>
          <w:rFonts w:ascii="Times New Roman" w:eastAsia="Times New Roman" w:hAnsi="Times New Roman" w:cs="Times New Roman"/>
          <w:color w:val="000000"/>
          <w:spacing w:val="0"/>
          <w:w w:val="100"/>
          <w:position w:val="0"/>
        </w:rPr>
        <w:t>）</w:t>
      </w:r>
      <w:r>
        <w:rPr>
          <w:color w:val="000000"/>
          <w:spacing w:val="0"/>
          <w:w w:val="100"/>
          <w:position w:val="0"/>
        </w:rPr>
        <w:t>的定量分析及前瞻性信息，建立违约概率、违约损失率及违约风险敞口模 型。</w:t>
      </w:r>
    </w:p>
    <w:p>
      <w:pPr>
        <w:pStyle w:val="Style31"/>
        <w:keepNext w:val="0"/>
        <w:keepLines w:val="0"/>
        <w:widowControl w:val="0"/>
        <w:shd w:val="clear" w:color="auto" w:fill="auto"/>
        <w:bidi w:val="0"/>
        <w:spacing w:before="0" w:after="160" w:line="312" w:lineRule="exact"/>
        <w:ind w:left="0" w:right="0" w:firstLine="540"/>
        <w:jc w:val="both"/>
      </w:pPr>
      <w:r>
        <w:rPr>
          <w:color w:val="000000"/>
          <w:spacing w:val="0"/>
          <w:w w:val="100"/>
          <w:position w:val="0"/>
        </w:rPr>
        <w:t>前瞻性信息信用风险显著增加的评估及预期信用损失的计算均涉及前瞻性信息。本集团通过进行历史 数据分析，识别出影响各业务类型信用风险及预期信用损失的关键经济指标。</w:t>
      </w:r>
    </w:p>
    <w:p>
      <w:pPr>
        <w:pStyle w:val="Style31"/>
        <w:keepNext w:val="0"/>
        <w:keepLines w:val="0"/>
        <w:widowControl w:val="0"/>
        <w:shd w:val="clear" w:color="auto" w:fill="auto"/>
        <w:bidi w:val="0"/>
        <w:spacing w:before="0" w:after="220" w:line="298" w:lineRule="exact"/>
        <w:ind w:left="0" w:right="0" w:firstLine="540"/>
        <w:jc w:val="both"/>
      </w:pPr>
      <w:r>
        <w:rPr>
          <w:color w:val="000000"/>
          <w:spacing w:val="0"/>
          <w:w w:val="100"/>
          <w:position w:val="0"/>
        </w:rPr>
        <w:t xml:space="preserve">本集团因应收账款、其他应收款和合同资产产生的信用风险敞口、损失准备的量化数据，参见本节七、 </w:t>
      </w:r>
      <w:r>
        <w:rPr>
          <w:rFonts w:ascii="Times New Roman" w:eastAsia="Times New Roman" w:hAnsi="Times New Roman" w:cs="Times New Roman"/>
          <w:color w:val="000000"/>
          <w:spacing w:val="0"/>
          <w:w w:val="100"/>
          <w:position w:val="0"/>
        </w:rPr>
        <w:t>3 “</w:t>
      </w: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5 “</w:t>
      </w: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合同资产</w:t>
      </w:r>
      <w:r>
        <w:rPr>
          <w:rFonts w:ascii="Times New Roman" w:eastAsia="Times New Roman" w:hAnsi="Times New Roman" w:cs="Times New Roman"/>
          <w:color w:val="000000"/>
          <w:spacing w:val="0"/>
          <w:w w:val="100"/>
          <w:position w:val="0"/>
        </w:rPr>
        <w:t>”</w:t>
      </w:r>
      <w:r>
        <w:rPr>
          <w:color w:val="000000"/>
          <w:spacing w:val="0"/>
          <w:w w:val="100"/>
          <w:position w:val="0"/>
        </w:rPr>
        <w:t>的披露。</w:t>
      </w:r>
    </w:p>
    <w:p>
      <w:pPr>
        <w:pStyle w:val="Style31"/>
        <w:keepNext w:val="0"/>
        <w:keepLines w:val="0"/>
        <w:widowControl w:val="0"/>
        <w:numPr>
          <w:ilvl w:val="0"/>
          <w:numId w:val="179"/>
        </w:numPr>
        <w:shd w:val="clear" w:color="auto" w:fill="auto"/>
        <w:bidi w:val="0"/>
        <w:spacing w:before="0" w:after="60" w:line="326" w:lineRule="auto"/>
        <w:ind w:left="0" w:right="0" w:firstLine="540"/>
        <w:jc w:val="both"/>
      </w:pPr>
      <w:bookmarkStart w:id="1487" w:name="bookmark1487"/>
      <w:bookmarkEnd w:id="1487"/>
      <w:r>
        <w:rPr>
          <w:b/>
          <w:bCs/>
          <w:color w:val="000000"/>
          <w:spacing w:val="0"/>
          <w:w w:val="100"/>
          <w:position w:val="0"/>
        </w:rPr>
        <w:t>流动性风险</w:t>
      </w:r>
    </w:p>
    <w:p>
      <w:pPr>
        <w:pStyle w:val="Style31"/>
        <w:keepNext w:val="0"/>
        <w:keepLines w:val="0"/>
        <w:widowControl w:val="0"/>
        <w:shd w:val="clear" w:color="auto" w:fill="auto"/>
        <w:bidi w:val="0"/>
        <w:spacing w:before="0" w:after="160" w:line="312" w:lineRule="exact"/>
        <w:ind w:left="0" w:right="0" w:firstLine="540"/>
        <w:jc w:val="both"/>
      </w:pPr>
      <w:r>
        <w:rPr>
          <w:color w:val="000000"/>
          <w:spacing w:val="0"/>
          <w:w w:val="100"/>
          <w:position w:val="0"/>
        </w:rPr>
        <w:t>流动性风险，是指企业在履行以交付现金或其他金融资产的方式结算的义务时发生资金短缺的风险。</w:t>
      </w:r>
    </w:p>
    <w:p>
      <w:pPr>
        <w:pStyle w:val="Style31"/>
        <w:keepNext w:val="0"/>
        <w:keepLines w:val="0"/>
        <w:widowControl w:val="0"/>
        <w:shd w:val="clear" w:color="auto" w:fill="auto"/>
        <w:bidi w:val="0"/>
        <w:spacing w:before="0" w:after="220" w:line="312" w:lineRule="exact"/>
        <w:ind w:left="0" w:right="0" w:firstLine="540"/>
        <w:jc w:val="both"/>
      </w:pPr>
      <w:r>
        <w:rPr>
          <w:color w:val="000000"/>
          <w:spacing w:val="0"/>
          <w:w w:val="100"/>
          <w:position w:val="0"/>
        </w:rPr>
        <w:t>管理流动性风险时，本集团保持管理层认为充分的现金及现金等价物并对其进行监控，以满足本集团 经营需要，并降低现金流量波动的影响。本集团管理层对银行借款的使用情况进行监控并确保遵守借款协 议。</w:t>
      </w:r>
    </w:p>
    <w:tbl>
      <w:tblPr>
        <w:tblOverlap w:val="never"/>
        <w:jc w:val="center"/>
        <w:tblLayout w:type="fixed"/>
      </w:tblPr>
      <w:tblGrid>
        <w:gridCol w:w="3946"/>
        <w:gridCol w:w="1570"/>
        <w:gridCol w:w="1450"/>
        <w:gridCol w:w="1450"/>
        <w:gridCol w:w="1464"/>
      </w:tblGrid>
      <w:tr>
        <w:trPr>
          <w:trHeight w:val="288" w:hRule="exact"/>
        </w:trPr>
        <w:tc>
          <w:tcPr>
            <w:gridSpan w:val="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日，本集团持有的金融负债按未折现剩余合同义务的到期期限分析如「</w:t>
            </w:r>
          </w:p>
        </w:tc>
        <w:tc>
          <w:tcPr>
            <w:tcBorders>
              <w:lef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489,583.00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77,376,100.56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10,502,561.38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一年内到期的非流动负债（含利息）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4,001,998.65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租赁负债（含利息）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2,378,998.12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1,728,558.84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2,197,980.84</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both"/>
      </w:pPr>
      <w:bookmarkStart w:id="1488" w:name="bookmark1488"/>
      <w:bookmarkStart w:id="1489" w:name="bookmark1489"/>
      <w:bookmarkStart w:id="1490" w:name="bookmark1490"/>
      <w:r>
        <w:rPr>
          <w:color w:val="000000"/>
          <w:spacing w:val="0"/>
          <w:w w:val="100"/>
          <w:position w:val="0"/>
        </w:rPr>
        <w:t>十^一、公允价值的披露</w:t>
      </w:r>
      <w:bookmarkEnd w:id="1488"/>
      <w:bookmarkEnd w:id="1489"/>
      <w:bookmarkEnd w:id="1490"/>
    </w:p>
    <w:p>
      <w:pPr>
        <w:pStyle w:val="Style28"/>
        <w:keepNext/>
        <w:keepLines/>
        <w:widowControl w:val="0"/>
        <w:shd w:val="clear" w:color="auto" w:fill="auto"/>
        <w:bidi w:val="0"/>
        <w:spacing w:before="0" w:after="380" w:line="240" w:lineRule="auto"/>
        <w:ind w:left="0" w:right="0" w:firstLine="0"/>
        <w:jc w:val="both"/>
      </w:pPr>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491"/>
      <w:bookmarkEnd w:id="1492"/>
      <w:bookmarkEnd w:id="1493"/>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97"/>
        <w:gridCol w:w="2006"/>
        <w:gridCol w:w="2006"/>
        <w:gridCol w:w="2006"/>
        <w:gridCol w:w="109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both"/>
      </w:pPr>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2</w:t>
      </w:r>
      <w:r>
        <w:rPr>
          <w:color w:val="000000"/>
          <w:spacing w:val="0"/>
          <w:w w:val="100"/>
          <w:position w:val="0"/>
        </w:rPr>
        <w:t>、持续和非持续第二层次公允价值计量项目，采用的估值技术和重要参数的定性及定量信息</w:t>
      </w:r>
      <w:bookmarkEnd w:id="1494"/>
      <w:bookmarkEnd w:id="1495"/>
      <w:bookmarkEnd w:id="1496"/>
    </w:p>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）估值技术和输入值</w:t>
      </w:r>
    </w:p>
    <w:tbl>
      <w:tblPr>
        <w:tblOverlap w:val="never"/>
        <w:jc w:val="center"/>
        <w:tblLayout w:type="fixed"/>
      </w:tblPr>
      <w:tblGrid>
        <w:gridCol w:w="4901"/>
        <w:gridCol w:w="1258"/>
        <w:gridCol w:w="763"/>
        <w:gridCol w:w="1258"/>
        <w:gridCol w:w="1699"/>
      </w:tblGrid>
      <w:tr>
        <w:trPr>
          <w:trHeight w:val="653"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期末公允价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估值技 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重要可观察 输入值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范围区间（加权平 均值）</w:t>
            </w:r>
          </w:p>
        </w:tc>
      </w:tr>
      <w:tr>
        <w:trPr>
          <w:trHeight w:val="66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指定为以公允价值计量且其变动计入其他综合收益的金融 资产一其他权益工具投资</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市价法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新股东入股 价格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keepLines/>
        <w:widowControl w:val="0"/>
        <w:shd w:val="clear" w:color="auto" w:fill="auto"/>
        <w:bidi w:val="0"/>
        <w:spacing w:before="0" w:after="360" w:line="240" w:lineRule="auto"/>
        <w:ind w:left="0" w:right="0" w:firstLine="0"/>
        <w:jc w:val="left"/>
      </w:pPr>
      <w:bookmarkStart w:id="1497" w:name="bookmark1497"/>
      <w:bookmarkStart w:id="1498" w:name="bookmark1498"/>
      <w:bookmarkStart w:id="1499" w:name="bookmark1499"/>
      <w:r>
        <w:rPr>
          <w:color w:val="000000"/>
          <w:spacing w:val="0"/>
          <w:w w:val="100"/>
          <w:position w:val="0"/>
        </w:rPr>
        <w:t>十二、关联方及关联交易</w:t>
      </w:r>
      <w:bookmarkEnd w:id="1497"/>
      <w:bookmarkEnd w:id="1498"/>
      <w:bookmarkEnd w:id="1499"/>
    </w:p>
    <w:p>
      <w:pPr>
        <w:pStyle w:val="Style28"/>
        <w:keepNext/>
        <w:keepLines/>
        <w:widowControl w:val="0"/>
        <w:shd w:val="clear" w:color="auto" w:fill="auto"/>
        <w:tabs>
          <w:tab w:pos="368" w:val="left"/>
        </w:tabs>
        <w:bidi w:val="0"/>
        <w:spacing w:before="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1</w:t>
      </w:r>
      <w:bookmarkEnd w:id="1502"/>
      <w:r>
        <w:rPr>
          <w:color w:val="000000"/>
          <w:spacing w:val="0"/>
          <w:w w:val="100"/>
          <w:position w:val="0"/>
        </w:rPr>
        <w:t>、</w:t>
        <w:tab/>
        <w:t>本公司的控股股东和实际控制人</w:t>
      </w:r>
      <w:bookmarkEnd w:id="1500"/>
      <w:bookmarkEnd w:id="1501"/>
      <w:bookmarkEnd w:id="1503"/>
    </w:p>
    <w:p>
      <w:pPr>
        <w:pStyle w:val="Style31"/>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林明玲、马学沛夫妇直接和间接合计持有本公司</w:t>
      </w:r>
      <w:r>
        <w:rPr>
          <w:rFonts w:ascii="Times New Roman" w:eastAsia="Times New Roman" w:hAnsi="Times New Roman" w:cs="Times New Roman"/>
          <w:color w:val="000000"/>
          <w:spacing w:val="0"/>
          <w:w w:val="100"/>
          <w:position w:val="0"/>
        </w:rPr>
        <w:t>34.44%</w:t>
      </w:r>
      <w:r>
        <w:rPr>
          <w:color w:val="000000"/>
          <w:spacing w:val="0"/>
          <w:w w:val="100"/>
          <w:position w:val="0"/>
        </w:rPr>
        <w:t>的股份，为公司控股股东和实际控制人。</w:t>
      </w:r>
    </w:p>
    <w:p>
      <w:pPr>
        <w:pStyle w:val="Style28"/>
        <w:keepNext/>
        <w:keepLines/>
        <w:widowControl w:val="0"/>
        <w:shd w:val="clear" w:color="auto" w:fill="auto"/>
        <w:tabs>
          <w:tab w:pos="378" w:val="left"/>
        </w:tabs>
        <w:bidi w:val="0"/>
        <w:spacing w:before="0" w:line="240" w:lineRule="auto"/>
        <w:ind w:left="0" w:right="0" w:firstLine="0"/>
        <w:jc w:val="left"/>
      </w:pPr>
      <w:bookmarkStart w:id="1504" w:name="bookmark1504"/>
      <w:bookmarkStart w:id="1505" w:name="bookmark1505"/>
      <w:bookmarkStart w:id="1506" w:name="bookmark1506"/>
      <w:bookmarkStart w:id="1507" w:name="bookmark1507"/>
      <w:r>
        <w:rPr>
          <w:rFonts w:ascii="Times New Roman" w:eastAsia="Times New Roman" w:hAnsi="Times New Roman" w:cs="Times New Roman"/>
          <w:color w:val="000000"/>
          <w:spacing w:val="0"/>
          <w:w w:val="100"/>
          <w:position w:val="0"/>
        </w:rPr>
        <w:t>2</w:t>
      </w:r>
      <w:bookmarkEnd w:id="1506"/>
      <w:r>
        <w:rPr>
          <w:color w:val="000000"/>
          <w:spacing w:val="0"/>
          <w:w w:val="100"/>
          <w:position w:val="0"/>
        </w:rPr>
        <w:t>、</w:t>
        <w:tab/>
        <w:t>本企业的子公司情况</w:t>
      </w:r>
      <w:bookmarkEnd w:id="1504"/>
      <w:bookmarkEnd w:id="1505"/>
      <w:bookmarkEnd w:id="1507"/>
    </w:p>
    <w:p>
      <w:pPr>
        <w:pStyle w:val="Style31"/>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p>
    <w:p>
      <w:pPr>
        <w:pStyle w:val="Style28"/>
        <w:keepNext/>
        <w:keepLines/>
        <w:widowControl w:val="0"/>
        <w:shd w:val="clear" w:color="auto" w:fill="auto"/>
        <w:bidi w:val="0"/>
        <w:spacing w:before="0" w:line="240" w:lineRule="auto"/>
        <w:ind w:left="0" w:right="0" w:firstLine="0"/>
        <w:jc w:val="left"/>
      </w:pPr>
      <w:bookmarkStart w:id="1508" w:name="bookmark1508"/>
      <w:bookmarkStart w:id="1509" w:name="bookmark1509"/>
      <w:bookmarkStart w:id="1510" w:name="bookmark1510"/>
      <w:bookmarkStart w:id="1511" w:name="bookmark1511"/>
      <w:r>
        <w:rPr>
          <w:rFonts w:ascii="Times New Roman" w:eastAsia="Times New Roman" w:hAnsi="Times New Roman" w:cs="Times New Roman"/>
          <w:color w:val="000000"/>
          <w:spacing w:val="0"/>
          <w:w w:val="100"/>
          <w:position w:val="0"/>
        </w:rPr>
        <w:t>3</w:t>
      </w:r>
      <w:bookmarkEnd w:id="1510"/>
      <w:r>
        <w:rPr>
          <w:color w:val="000000"/>
          <w:spacing w:val="0"/>
          <w:w w:val="100"/>
          <w:position w:val="0"/>
        </w:rPr>
        <w:t>、其他关联方情况</w:t>
      </w:r>
      <w:bookmarkEnd w:id="1508"/>
      <w:bookmarkEnd w:id="1509"/>
      <w:bookmarkEnd w:id="1511"/>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国义招标股份有限公司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关联自然人担任董事、高管的其他法人或组织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广州洪森科技有限公司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关联自然人担任董事、高管的其他法人或组织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广东宝袋猪动漫文化有限公司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关联自然人担任董事、高管的其他法人或组织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广东唯诺冠动漫食品股份有限公司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关联自然人担任董事、高管的其他法人或组织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汕头潮阳融和村镇银行股份有限公司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林明玲持有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股权的企业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重庆佰裕通实业有限公司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子公司重庆天亿马的少数股东</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林明玲、马学沛、陈曼秋、高俊斌、李靖、李之佳、李业、 刘波、姚明安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毛晓玲、黄素芳、刘培璇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李华青</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w:t>
            </w:r>
          </w:p>
        </w:tc>
      </w:tr>
    </w:tbl>
    <w:p>
      <w:pPr>
        <w:widowControl w:val="0"/>
        <w:spacing w:after="59" w:line="1" w:lineRule="exact"/>
      </w:pPr>
    </w:p>
    <w:p>
      <w:pPr>
        <w:pStyle w:val="Style3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8"/>
        <w:keepNext/>
        <w:keepLines/>
        <w:widowControl w:val="0"/>
        <w:shd w:val="clear" w:color="auto" w:fill="auto"/>
        <w:bidi w:val="0"/>
        <w:spacing w:before="0" w:line="240" w:lineRule="auto"/>
        <w:ind w:left="0" w:right="0" w:firstLine="0"/>
        <w:jc w:val="left"/>
      </w:pPr>
      <w:bookmarkStart w:id="1512" w:name="bookmark1512"/>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4</w:t>
      </w:r>
      <w:bookmarkEnd w:id="1514"/>
      <w:r>
        <w:rPr>
          <w:color w:val="000000"/>
          <w:spacing w:val="0"/>
          <w:w w:val="100"/>
          <w:position w:val="0"/>
        </w:rPr>
        <w:t>、关联交易情况</w:t>
      </w:r>
      <w:bookmarkEnd w:id="1512"/>
      <w:bookmarkEnd w:id="1513"/>
      <w:bookmarkEnd w:id="1515"/>
    </w:p>
    <w:p>
      <w:pPr>
        <w:pStyle w:val="Style35"/>
        <w:keepNext/>
        <w:keepLines/>
        <w:widowControl w:val="0"/>
        <w:shd w:val="clear" w:color="auto" w:fill="auto"/>
        <w:bidi w:val="0"/>
        <w:spacing w:before="0" w:after="360" w:line="240" w:lineRule="auto"/>
        <w:ind w:left="0" w:right="0" w:firstLine="0"/>
        <w:jc w:val="left"/>
      </w:pPr>
      <w:bookmarkStart w:id="1516" w:name="bookmark1516"/>
      <w:bookmarkStart w:id="1517" w:name="bookmark1517"/>
      <w:bookmarkStart w:id="1518" w:name="bookmark15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16"/>
      <w:bookmarkEnd w:id="1517"/>
      <w:bookmarkEnd w:id="1518"/>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采购商品/接受劳务情况表</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38"/>
        <w:gridCol w:w="1430"/>
        <w:gridCol w:w="1200"/>
        <w:gridCol w:w="1651"/>
        <w:gridCol w:w="1882"/>
        <w:gridCol w:w="12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国义招标股份有限公司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中标服务费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73,786.21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20,784.63</w:t>
            </w:r>
          </w:p>
        </w:tc>
      </w:tr>
    </w:tbl>
    <w:p>
      <w:pPr>
        <w:widowControl w:val="0"/>
        <w:spacing w:after="19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出售商品/提供劳务情况表</w:t>
      </w:r>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汕头潮阳融和村镇银行股份有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运维服务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120" w:line="461" w:lineRule="exact"/>
        <w:ind w:left="0" w:right="0" w:firstLine="0"/>
        <w:jc w:val="left"/>
      </w:pPr>
      <w:r>
        <w:rPr>
          <w:color w:val="000000"/>
          <w:spacing w:val="0"/>
          <w:w w:val="100"/>
          <w:position w:val="0"/>
        </w:rPr>
        <w:t>购销商品、提供和接受劳务的关联交易说明 详见本节十二、</w:t>
      </w:r>
      <w:r>
        <w:rPr>
          <w:rFonts w:ascii="Times New Roman" w:eastAsia="Times New Roman" w:hAnsi="Times New Roman" w:cs="Times New Roman"/>
          <w:color w:val="000000"/>
          <w:spacing w:val="0"/>
          <w:w w:val="100"/>
          <w:position w:val="0"/>
        </w:rPr>
        <w:t>3</w:t>
      </w:r>
      <w:r>
        <w:rPr>
          <w:color w:val="000000"/>
          <w:spacing w:val="0"/>
          <w:w w:val="100"/>
          <w:position w:val="0"/>
        </w:rPr>
        <w:t>、“其他关联方情况”。</w:t>
      </w:r>
    </w:p>
    <w:p>
      <w:pPr>
        <w:pStyle w:val="Style35"/>
        <w:keepNext/>
        <w:keepLines/>
        <w:widowControl w:val="0"/>
        <w:shd w:val="clear" w:color="auto" w:fill="auto"/>
        <w:tabs>
          <w:tab w:pos="493" w:val="left"/>
        </w:tabs>
        <w:bidi w:val="0"/>
        <w:spacing w:before="0" w:after="120" w:line="461" w:lineRule="exact"/>
        <w:ind w:left="0" w:right="0" w:firstLine="0"/>
        <w:jc w:val="left"/>
      </w:pPr>
      <w:bookmarkStart w:id="1519" w:name="bookmark1519"/>
      <w:bookmarkStart w:id="1520" w:name="bookmark1520"/>
      <w:bookmarkStart w:id="1521" w:name="bookmark1521"/>
      <w:bookmarkStart w:id="1522" w:name="bookmark1522"/>
      <w:r>
        <w:rPr>
          <w:color w:val="000000"/>
          <w:spacing w:val="0"/>
          <w:w w:val="100"/>
          <w:position w:val="0"/>
        </w:rPr>
        <w:t>（</w:t>
      </w:r>
      <w:bookmarkEnd w:id="1521"/>
      <w:r>
        <w:rPr>
          <w:rFonts w:ascii="Times New Roman" w:eastAsia="Times New Roman" w:hAnsi="Times New Roman" w:cs="Times New Roman"/>
          <w:color w:val="000000"/>
          <w:spacing w:val="0"/>
          <w:w w:val="100"/>
          <w:position w:val="0"/>
        </w:rPr>
        <w:t>2</w:t>
      </w:r>
      <w:r>
        <w:rPr>
          <w:color w:val="000000"/>
          <w:spacing w:val="0"/>
          <w:w w:val="100"/>
          <w:position w:val="0"/>
        </w:rPr>
        <w:t>）</w:t>
        <w:tab/>
        <w:t>关联租赁情况</w:t>
      </w:r>
      <w:bookmarkEnd w:id="1519"/>
      <w:bookmarkEnd w:id="1520"/>
      <w:bookmarkEnd w:id="1522"/>
    </w:p>
    <w:p>
      <w:pPr>
        <w:pStyle w:val="Style31"/>
        <w:keepNext w:val="0"/>
        <w:keepLines w:val="0"/>
        <w:widowControl w:val="0"/>
        <w:shd w:val="clear" w:color="auto" w:fill="auto"/>
        <w:bidi w:val="0"/>
        <w:spacing w:before="0" w:after="120" w:line="461" w:lineRule="exact"/>
        <w:ind w:left="0" w:right="0" w:firstLine="0"/>
        <w:jc w:val="left"/>
      </w:pPr>
      <w:r>
        <w:rPr>
          <w:color w:val="000000"/>
          <w:spacing w:val="0"/>
          <w:w w:val="100"/>
          <w:position w:val="0"/>
        </w:rPr>
        <w:t>报告期内无关联租赁情况。</w:t>
      </w:r>
    </w:p>
    <w:p>
      <w:pPr>
        <w:pStyle w:val="Style35"/>
        <w:keepNext/>
        <w:keepLines/>
        <w:widowControl w:val="0"/>
        <w:shd w:val="clear" w:color="auto" w:fill="auto"/>
        <w:tabs>
          <w:tab w:pos="493" w:val="left"/>
        </w:tabs>
        <w:bidi w:val="0"/>
        <w:spacing w:before="0" w:after="120" w:line="461" w:lineRule="exact"/>
        <w:ind w:left="0" w:right="0" w:firstLine="0"/>
        <w:jc w:val="left"/>
      </w:pPr>
      <w:bookmarkStart w:id="1523" w:name="bookmark1523"/>
      <w:bookmarkStart w:id="1524" w:name="bookmark1524"/>
      <w:bookmarkStart w:id="1525" w:name="bookmark1525"/>
      <w:bookmarkStart w:id="1526" w:name="bookmark1526"/>
      <w:r>
        <w:rPr>
          <w:color w:val="000000"/>
          <w:spacing w:val="0"/>
          <w:w w:val="100"/>
          <w:position w:val="0"/>
        </w:rPr>
        <w:t>（</w:t>
      </w:r>
      <w:bookmarkEnd w:id="1525"/>
      <w:r>
        <w:rPr>
          <w:rFonts w:ascii="Times New Roman" w:eastAsia="Times New Roman" w:hAnsi="Times New Roman" w:cs="Times New Roman"/>
          <w:color w:val="000000"/>
          <w:spacing w:val="0"/>
          <w:w w:val="100"/>
          <w:position w:val="0"/>
        </w:rPr>
        <w:t>3</w:t>
      </w:r>
      <w:r>
        <w:rPr>
          <w:color w:val="000000"/>
          <w:spacing w:val="0"/>
          <w:w w:val="100"/>
          <w:position w:val="0"/>
        </w:rPr>
        <w:t>）</w:t>
        <w:tab/>
        <w:t>关联担保情况</w:t>
      </w:r>
      <w:bookmarkEnd w:id="1523"/>
      <w:bookmarkEnd w:id="1524"/>
      <w:bookmarkEnd w:id="1526"/>
    </w:p>
    <w:p>
      <w:pPr>
        <w:pStyle w:val="Style31"/>
        <w:keepNext w:val="0"/>
        <w:keepLines w:val="0"/>
        <w:widowControl w:val="0"/>
        <w:shd w:val="clear" w:color="auto" w:fill="auto"/>
        <w:bidi w:val="0"/>
        <w:spacing w:before="0" w:after="0" w:line="461" w:lineRule="exact"/>
        <w:ind w:left="0" w:right="0" w:firstLine="0"/>
        <w:jc w:val="left"/>
      </w:pPr>
      <w:r>
        <w:rPr>
          <w:color w:val="000000"/>
          <w:spacing w:val="0"/>
          <w:w w:val="100"/>
          <w:position w:val="0"/>
        </w:rPr>
        <w:t>本公司作为担保方</w:t>
      </w:r>
    </w:p>
    <w:p>
      <w:pPr>
        <w:pStyle w:val="Style31"/>
        <w:keepNext w:val="0"/>
        <w:keepLines w:val="0"/>
        <w:widowControl w:val="0"/>
        <w:shd w:val="clear" w:color="auto" w:fill="auto"/>
        <w:bidi w:val="0"/>
        <w:spacing w:before="0" w:after="0" w:line="461" w:lineRule="exact"/>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120" w:line="461" w:lineRule="exact"/>
        <w:ind w:left="0" w:right="0" w:firstLine="0"/>
        <w:jc w:val="left"/>
      </w:pPr>
      <w:r>
        <w:rPr>
          <w:color w:val="000000"/>
          <w:spacing w:val="0"/>
          <w:w w:val="100"/>
          <w:position w:val="0"/>
        </w:rPr>
        <w:t>本公司作为被担保方</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44"/>
        <w:gridCol w:w="1939"/>
        <w:gridCol w:w="1939"/>
        <w:gridCol w:w="1939"/>
        <w:gridCol w:w="194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38,000,000.00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17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tbl>
      <w:tblPr>
        <w:tblOverlap w:val="never"/>
        <w:jc w:val="center"/>
        <w:tblLayout w:type="fixed"/>
      </w:tblPr>
      <w:tblGrid>
        <w:gridCol w:w="586"/>
        <w:gridCol w:w="854"/>
        <w:gridCol w:w="1421"/>
        <w:gridCol w:w="2030"/>
        <w:gridCol w:w="571"/>
        <w:gridCol w:w="3269"/>
        <w:gridCol w:w="1147"/>
      </w:tblGrid>
      <w:tr>
        <w:trPr>
          <w:trHeight w:val="12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被</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担</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保</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合同编号及名称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担</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保</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方</w:t>
            </w:r>
          </w:p>
          <w:p>
            <w:pPr>
              <w:pStyle w:val="Style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担保范围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担保期间</w:t>
            </w:r>
          </w:p>
        </w:tc>
      </w:tr>
      <w:tr>
        <w:trPr>
          <w:trHeight w:val="12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 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林明玲、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马学沛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中国建设银行 股份有限公司 汕头市分行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汕头行外最高保字</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号《最高额保 证合同》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 带 保 证</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债权人与债务人自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日期间内的所有债权，担 保责任最高限额为</w:t>
            </w:r>
            <w:r>
              <w:rPr>
                <w:rFonts w:ascii="Times New Roman" w:eastAsia="Times New Roman" w:hAnsi="Times New Roman" w:cs="Times New Roman"/>
                <w:color w:val="000000"/>
                <w:spacing w:val="0"/>
                <w:w w:val="100"/>
                <w:position w:val="0"/>
                <w:sz w:val="18"/>
                <w:szCs w:val="18"/>
              </w:rPr>
              <w:t>4,800.00</w:t>
            </w:r>
            <w:r>
              <w:rPr>
                <w:color w:val="000000"/>
                <w:spacing w:val="0"/>
                <w:w w:val="100"/>
                <w:position w:val="0"/>
              </w:rPr>
              <w:t>万元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债务履行期 限届满之日 起三年</w:t>
            </w:r>
          </w:p>
        </w:tc>
      </w:tr>
      <w:tr>
        <w:trPr>
          <w:trHeight w:val="128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 公 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林明玲、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马学沛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中国工商银行 股份有限公司 汕头市安平支 行</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工行安平支行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年天 亿马高保字第</w:t>
            </w:r>
            <w:r>
              <w:rPr>
                <w:rFonts w:ascii="Times New Roman" w:eastAsia="Times New Roman" w:hAnsi="Times New Roman" w:cs="Times New Roman"/>
                <w:color w:val="000000"/>
                <w:spacing w:val="0"/>
                <w:w w:val="100"/>
                <w:position w:val="0"/>
                <w:sz w:val="18"/>
                <w:szCs w:val="18"/>
              </w:rPr>
              <w:t>001</w:t>
            </w:r>
            <w:r>
              <w:rPr>
                <w:color w:val="000000"/>
                <w:spacing w:val="0"/>
                <w:w w:val="100"/>
                <w:position w:val="0"/>
              </w:rPr>
              <w:t>号《最 高额保证合同》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 带 保 证</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债权人与债务人自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日期间内的所有债权，担 保责任最高限额为</w:t>
            </w:r>
            <w:r>
              <w:rPr>
                <w:rFonts w:ascii="Times New Roman" w:eastAsia="Times New Roman" w:hAnsi="Times New Roman" w:cs="Times New Roman"/>
                <w:color w:val="000000"/>
                <w:spacing w:val="0"/>
                <w:w w:val="100"/>
                <w:position w:val="0"/>
                <w:sz w:val="18"/>
                <w:szCs w:val="18"/>
              </w:rPr>
              <w:t>3,800.00</w:t>
            </w:r>
            <w:r>
              <w:rPr>
                <w:color w:val="000000"/>
                <w:spacing w:val="0"/>
                <w:w w:val="100"/>
                <w:position w:val="0"/>
              </w:rPr>
              <w:t>万元</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债务履行期 限届满之次 日起两年</w:t>
            </w:r>
          </w:p>
        </w:tc>
      </w:tr>
    </w:tbl>
    <w:p>
      <w:pPr>
        <w:widowControl w:val="0"/>
        <w:spacing w:after="179" w:line="1" w:lineRule="exact"/>
      </w:pPr>
    </w:p>
    <w:p>
      <w:pPr>
        <w:pStyle w:val="Style31"/>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日，本集团无银行借款余额，担保合同的主债务履行完毕。</w:t>
      </w:r>
    </w:p>
    <w:p>
      <w:pPr>
        <w:pStyle w:val="Style35"/>
        <w:keepNext/>
        <w:keepLines/>
        <w:widowControl w:val="0"/>
        <w:shd w:val="clear" w:color="auto" w:fill="auto"/>
        <w:bidi w:val="0"/>
        <w:spacing w:before="0" w:after="360" w:line="240" w:lineRule="auto"/>
        <w:ind w:left="0" w:right="0" w:firstLine="0"/>
        <w:jc w:val="left"/>
      </w:pPr>
      <w:bookmarkStart w:id="1527" w:name="bookmark1527"/>
      <w:bookmarkStart w:id="1528" w:name="bookmark1528"/>
      <w:bookmarkStart w:id="1529" w:name="bookmark1529"/>
      <w:bookmarkStart w:id="1530" w:name="bookmark1530"/>
      <w:r>
        <w:rPr>
          <w:color w:val="000000"/>
          <w:spacing w:val="0"/>
          <w:w w:val="100"/>
          <w:position w:val="0"/>
        </w:rPr>
        <w:t>（</w:t>
      </w:r>
      <w:bookmarkEnd w:id="1529"/>
      <w:r>
        <w:rPr>
          <w:rFonts w:ascii="Times New Roman" w:eastAsia="Times New Roman" w:hAnsi="Times New Roman" w:cs="Times New Roman"/>
          <w:color w:val="000000"/>
          <w:spacing w:val="0"/>
          <w:w w:val="100"/>
          <w:position w:val="0"/>
        </w:rPr>
        <w:t>4</w:t>
      </w:r>
      <w:r>
        <w:rPr>
          <w:color w:val="000000"/>
          <w:spacing w:val="0"/>
          <w:w w:val="100"/>
          <w:position w:val="0"/>
        </w:rPr>
        <w:t>） 关联方资产转让、债务重组情况</w:t>
      </w:r>
      <w:bookmarkEnd w:id="1527"/>
      <w:bookmarkEnd w:id="1528"/>
      <w:bookmarkEnd w:id="1530"/>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5"/>
        <w:keepNext/>
        <w:keepLines/>
        <w:widowControl w:val="0"/>
        <w:shd w:val="clear" w:color="auto" w:fill="auto"/>
        <w:tabs>
          <w:tab w:pos="493" w:val="left"/>
        </w:tabs>
        <w:bidi w:val="0"/>
        <w:spacing w:before="0" w:after="360" w:line="240" w:lineRule="auto"/>
        <w:ind w:left="0" w:right="0" w:firstLine="0"/>
        <w:jc w:val="left"/>
      </w:pPr>
      <w:bookmarkStart w:id="1531" w:name="bookmark1531"/>
      <w:bookmarkStart w:id="1532" w:name="bookmark1532"/>
      <w:bookmarkStart w:id="1533" w:name="bookmark1533"/>
      <w:bookmarkStart w:id="1534" w:name="bookmark1534"/>
      <w:r>
        <w:rPr>
          <w:color w:val="000000"/>
          <w:spacing w:val="0"/>
          <w:w w:val="100"/>
          <w:position w:val="0"/>
        </w:rPr>
        <w:t>（</w:t>
      </w:r>
      <w:bookmarkEnd w:id="1533"/>
      <w:r>
        <w:rPr>
          <w:rFonts w:ascii="Times New Roman" w:eastAsia="Times New Roman" w:hAnsi="Times New Roman" w:cs="Times New Roman"/>
          <w:color w:val="000000"/>
          <w:spacing w:val="0"/>
          <w:w w:val="100"/>
          <w:position w:val="0"/>
        </w:rPr>
        <w:t>5</w:t>
      </w:r>
      <w:r>
        <w:rPr>
          <w:color w:val="000000"/>
          <w:spacing w:val="0"/>
          <w:w w:val="100"/>
          <w:position w:val="0"/>
        </w:rPr>
        <w:t>）</w:t>
        <w:tab/>
        <w:t>关键管理人员报酬</w:t>
      </w:r>
      <w:bookmarkEnd w:id="1531"/>
      <w:bookmarkEnd w:id="1532"/>
      <w:bookmarkEnd w:id="1534"/>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2,396,756.80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2,151,141.37</w:t>
            </w:r>
          </w:p>
        </w:tc>
      </w:tr>
    </w:tbl>
    <w:p>
      <w:pPr>
        <w:spacing w:lineRule="exact" w:line="1"/>
        <w:rPr>
          <w:sz w:val="2"/>
          <w:szCs w:val="2"/>
        </w:rPr>
      </w:pPr>
      <w:r>
        <w:br w:type="page"/>
      </w:r>
    </w:p>
    <w:p>
      <w:pPr>
        <w:pStyle w:val="Style35"/>
        <w:keepNext/>
        <w:keepLines/>
        <w:widowControl w:val="0"/>
        <w:shd w:val="clear" w:color="auto" w:fill="auto"/>
        <w:bidi w:val="0"/>
        <w:spacing w:before="0" w:after="360" w:line="240" w:lineRule="auto"/>
        <w:ind w:left="0" w:right="0" w:firstLine="0"/>
        <w:jc w:val="left"/>
      </w:pPr>
      <w:bookmarkStart w:id="1535" w:name="bookmark1535"/>
      <w:bookmarkStart w:id="1536" w:name="bookmark1536"/>
      <w:bookmarkStart w:id="1537" w:name="bookmark1537"/>
      <w:bookmarkStart w:id="1538" w:name="bookmark1538"/>
      <w:r>
        <w:rPr>
          <w:color w:val="000000"/>
          <w:spacing w:val="0"/>
          <w:w w:val="100"/>
          <w:position w:val="0"/>
        </w:rPr>
        <w:t>（</w:t>
      </w:r>
      <w:bookmarkEnd w:id="1537"/>
      <w:r>
        <w:rPr>
          <w:rFonts w:ascii="Times New Roman" w:eastAsia="Times New Roman" w:hAnsi="Times New Roman" w:cs="Times New Roman"/>
          <w:color w:val="000000"/>
          <w:spacing w:val="0"/>
          <w:w w:val="100"/>
          <w:position w:val="0"/>
        </w:rPr>
        <w:t>6</w:t>
      </w:r>
      <w:r>
        <w:rPr>
          <w:color w:val="000000"/>
          <w:spacing w:val="0"/>
          <w:w w:val="100"/>
          <w:position w:val="0"/>
        </w:rPr>
        <w:t>）其他关联交易</w:t>
      </w:r>
      <w:bookmarkEnd w:id="1535"/>
      <w:bookmarkEnd w:id="1536"/>
      <w:bookmarkEnd w:id="1538"/>
    </w:p>
    <w:p>
      <w:pPr>
        <w:pStyle w:val="Style31"/>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关联方存款及利息收入</w:t>
      </w:r>
    </w:p>
    <w:p>
      <w:pPr>
        <w:pStyle w:val="Style14"/>
        <w:keepNext w:val="0"/>
        <w:keepLines w:val="0"/>
        <w:widowControl w:val="0"/>
        <w:shd w:val="clear" w:color="auto" w:fill="auto"/>
        <w:bidi w:val="0"/>
        <w:spacing w:before="0" w:after="0" w:line="307" w:lineRule="exact"/>
        <w:ind w:left="0" w:right="0" w:firstLine="0"/>
        <w:jc w:val="distribute"/>
        <w:rPr>
          <w:sz w:val="20"/>
          <w:szCs w:val="20"/>
        </w:rPr>
      </w:pPr>
      <w:r>
        <w:rPr>
          <w:color w:val="000000"/>
          <w:spacing w:val="0"/>
          <w:w w:val="100"/>
          <w:position w:val="0"/>
          <w:sz w:val="20"/>
          <w:szCs w:val="20"/>
        </w:rPr>
        <w:t>汕头潮阳融和村镇银行股份有限公司（以下简称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融和银行</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）系经中国银行业监督管理委员会批准成 立的金融机构。报告期内，融和银行为本公司提供存款服务，按市场费率标准计算存款利息，属于正常的 商业行为。报告期内，本公司在融和银行的利息收入情况如下：</w:t>
      </w:r>
    </w:p>
    <w:tbl>
      <w:tblPr>
        <w:tblOverlap w:val="never"/>
        <w:jc w:val="center"/>
        <w:tblLayout w:type="fixed"/>
      </w:tblPr>
      <w:tblGrid>
        <w:gridCol w:w="3379"/>
        <w:gridCol w:w="3120"/>
        <w:gridCol w:w="3379"/>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上年发生额</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236,609.05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209,131.93</w:t>
            </w:r>
          </w:p>
        </w:tc>
      </w:tr>
    </w:tbl>
    <w:p>
      <w:pPr>
        <w:widowControl w:val="0"/>
        <w:spacing w:after="179" w:line="1" w:lineRule="exact"/>
      </w:pPr>
    </w:p>
    <w:p>
      <w:pPr>
        <w:widowControl w:val="0"/>
        <w:spacing w:line="1" w:lineRule="exact"/>
      </w:pPr>
    </w:p>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公司在融和银行的存款余额情况如下:</w:t>
      </w:r>
    </w:p>
    <w:tbl>
      <w:tblPr>
        <w:tblOverlap w:val="never"/>
        <w:jc w:val="center"/>
        <w:tblLayout w:type="fixed"/>
      </w:tblPr>
      <w:tblGrid>
        <w:gridCol w:w="3379"/>
        <w:gridCol w:w="3120"/>
        <w:gridCol w:w="3379"/>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5,384,470.25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26,258,934.90</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5</w:t>
      </w:r>
      <w:bookmarkEnd w:id="1541"/>
      <w:r>
        <w:rPr>
          <w:color w:val="000000"/>
          <w:spacing w:val="0"/>
          <w:w w:val="100"/>
          <w:position w:val="0"/>
        </w:rPr>
        <w:t>、关联方应收应付款项</w:t>
      </w:r>
      <w:bookmarkEnd w:id="1539"/>
      <w:bookmarkEnd w:id="1540"/>
      <w:bookmarkEnd w:id="1542"/>
    </w:p>
    <w:p>
      <w:pPr>
        <w:pStyle w:val="Style35"/>
        <w:keepNext/>
        <w:keepLines/>
        <w:widowControl w:val="0"/>
        <w:shd w:val="clear" w:color="auto" w:fill="auto"/>
        <w:bidi w:val="0"/>
        <w:spacing w:before="0" w:after="360" w:line="240" w:lineRule="auto"/>
        <w:ind w:left="0" w:right="0" w:firstLine="0"/>
        <w:jc w:val="left"/>
      </w:pPr>
      <w:bookmarkStart w:id="1543" w:name="bookmark1543"/>
      <w:bookmarkStart w:id="1544" w:name="bookmark1544"/>
      <w:bookmarkStart w:id="1545" w:name="bookmark15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43"/>
      <w:bookmarkEnd w:id="1544"/>
      <w:bookmarkEnd w:id="1545"/>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915"/>
        <w:gridCol w:w="1584"/>
        <w:gridCol w:w="1603"/>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国义招标股份有限公司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26,018.00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1,300.90</w:t>
            </w:r>
          </w:p>
        </w:tc>
      </w:tr>
    </w:tbl>
    <w:p>
      <w:pPr>
        <w:pStyle w:val="Style14"/>
        <w:keepNext w:val="0"/>
        <w:keepLines w:val="0"/>
        <w:widowControl w:val="0"/>
        <w:shd w:val="clear" w:color="auto" w:fill="auto"/>
        <w:bidi w:val="0"/>
        <w:spacing w:before="0" w:after="0" w:line="240" w:lineRule="auto"/>
        <w:ind w:left="5" w:right="0" w:firstLine="0"/>
        <w:jc w:val="left"/>
        <w:rPr>
          <w:sz w:val="20"/>
          <w:szCs w:val="20"/>
        </w:rPr>
      </w:pPr>
      <w:bookmarkStart w:id="1546" w:name="bookmark1546"/>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）应付项目</w:t>
      </w:r>
      <w:bookmarkEnd w:id="1546"/>
    </w:p>
    <w:p>
      <w:pPr>
        <w:widowControl w:val="0"/>
        <w:spacing w:after="359" w:line="1" w:lineRule="exact"/>
      </w:pPr>
    </w:p>
    <w:p>
      <w:pPr>
        <w:widowControl w:val="0"/>
        <w:spacing w:line="1" w:lineRule="exact"/>
      </w:pP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毛晓玲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林明玲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10,462.97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国义招标股份有限公司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bl>
    <w:p>
      <w:pPr>
        <w:widowControl w:val="0"/>
        <w:spacing w:after="319" w:line="1" w:lineRule="exact"/>
      </w:pPr>
    </w:p>
    <w:p>
      <w:pPr>
        <w:pStyle w:val="Style25"/>
        <w:keepNext/>
        <w:keepLines/>
        <w:widowControl w:val="0"/>
        <w:shd w:val="clear" w:color="auto" w:fill="auto"/>
        <w:bidi w:val="0"/>
        <w:spacing w:before="0" w:after="360" w:line="240" w:lineRule="auto"/>
        <w:ind w:left="0" w:right="0" w:firstLine="0"/>
        <w:jc w:val="left"/>
      </w:pPr>
      <w:bookmarkStart w:id="1547" w:name="bookmark1547"/>
      <w:bookmarkStart w:id="1548" w:name="bookmark1548"/>
      <w:bookmarkStart w:id="1549" w:name="bookmark1549"/>
      <w:r>
        <w:rPr>
          <w:color w:val="000000"/>
          <w:spacing w:val="0"/>
          <w:w w:val="100"/>
          <w:position w:val="0"/>
        </w:rPr>
        <w:t>十三、承诺及或有事项</w:t>
      </w:r>
      <w:bookmarkEnd w:id="1547"/>
      <w:bookmarkEnd w:id="1548"/>
      <w:bookmarkEnd w:id="1549"/>
    </w:p>
    <w:p>
      <w:pPr>
        <w:pStyle w:val="Style28"/>
        <w:keepNext/>
        <w:keepLines/>
        <w:widowControl w:val="0"/>
        <w:shd w:val="clear" w:color="auto" w:fill="auto"/>
        <w:tabs>
          <w:tab w:pos="368" w:val="left"/>
        </w:tabs>
        <w:bidi w:val="0"/>
        <w:spacing w:before="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1</w:t>
      </w:r>
      <w:bookmarkEnd w:id="1552"/>
      <w:r>
        <w:rPr>
          <w:color w:val="000000"/>
          <w:spacing w:val="0"/>
          <w:w w:val="100"/>
          <w:position w:val="0"/>
        </w:rPr>
        <w:t>、</w:t>
        <w:tab/>
        <w:t>重要承诺事项</w:t>
      </w:r>
      <w:bookmarkEnd w:id="1550"/>
      <w:bookmarkEnd w:id="1551"/>
      <w:bookmarkEnd w:id="1553"/>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资产负债表日存在的重要承诺</w:t>
      </w:r>
    </w:p>
    <w:p>
      <w:pPr>
        <w:pStyle w:val="Style31"/>
        <w:keepNext w:val="0"/>
        <w:keepLines w:val="0"/>
        <w:widowControl w:val="0"/>
        <w:shd w:val="clear" w:color="auto" w:fill="auto"/>
        <w:bidi w:val="0"/>
        <w:spacing w:before="0" w:after="360" w:line="240" w:lineRule="auto"/>
        <w:ind w:left="0" w:right="0" w:firstLine="54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日，本集团无需要披露的重大承诺事项。</w:t>
      </w:r>
    </w:p>
    <w:p>
      <w:pPr>
        <w:pStyle w:val="Style28"/>
        <w:keepNext/>
        <w:keepLines/>
        <w:widowControl w:val="0"/>
        <w:shd w:val="clear" w:color="auto" w:fill="auto"/>
        <w:tabs>
          <w:tab w:pos="378" w:val="left"/>
        </w:tabs>
        <w:bidi w:val="0"/>
        <w:spacing w:before="0" w:line="240" w:lineRule="auto"/>
        <w:ind w:left="0" w:right="0" w:firstLine="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2</w:t>
      </w:r>
      <w:bookmarkEnd w:id="1556"/>
      <w:r>
        <w:rPr>
          <w:color w:val="000000"/>
          <w:spacing w:val="0"/>
          <w:w w:val="100"/>
          <w:position w:val="0"/>
        </w:rPr>
        <w:t>、</w:t>
        <w:tab/>
        <w:t>或有事项</w:t>
      </w:r>
      <w:bookmarkEnd w:id="1554"/>
      <w:bookmarkEnd w:id="1555"/>
      <w:bookmarkEnd w:id="1557"/>
    </w:p>
    <w:p>
      <w:pPr>
        <w:pStyle w:val="Style35"/>
        <w:keepNext/>
        <w:keepLines/>
        <w:widowControl w:val="0"/>
        <w:shd w:val="clear" w:color="auto" w:fill="auto"/>
        <w:bidi w:val="0"/>
        <w:spacing w:before="0" w:after="360" w:line="240" w:lineRule="auto"/>
        <w:ind w:left="0" w:right="0" w:firstLine="0"/>
        <w:jc w:val="left"/>
      </w:pPr>
      <w:bookmarkStart w:id="1558" w:name="bookmark1558"/>
      <w:bookmarkStart w:id="1559" w:name="bookmark1559"/>
      <w:bookmarkStart w:id="1560" w:name="bookmark15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558"/>
      <w:bookmarkEnd w:id="1559"/>
      <w:bookmarkEnd w:id="1560"/>
      <w:r>
        <w:rPr>
          <w:color w:val="000000"/>
          <w:spacing w:val="0"/>
          <w:w w:val="100"/>
          <w:position w:val="0"/>
        </w:rPr>
        <w:t xml:space="preserve"> </w:t>
      </w:r>
      <w:r>
        <w:rPr>
          <w:rStyle w:val="CharStyle32"/>
          <w:b w:val="0"/>
          <w:bCs w:val="0"/>
        </w:rPr>
        <w:t>截至</w:t>
      </w:r>
      <w:r>
        <w:rPr>
          <w:rStyle w:val="CharStyle32"/>
          <w:rFonts w:ascii="Times New Roman" w:eastAsia="Times New Roman" w:hAnsi="Times New Roman" w:cs="Times New Roman"/>
          <w:b w:val="0"/>
          <w:bCs w:val="0"/>
        </w:rPr>
        <w:t>2021</w:t>
      </w:r>
      <w:r>
        <w:rPr>
          <w:rStyle w:val="CharStyle32"/>
          <w:b w:val="0"/>
          <w:bCs w:val="0"/>
        </w:rPr>
        <w:t>年</w:t>
      </w:r>
      <w:r>
        <w:rPr>
          <w:rStyle w:val="CharStyle32"/>
          <w:rFonts w:ascii="Times New Roman" w:eastAsia="Times New Roman" w:hAnsi="Times New Roman" w:cs="Times New Roman"/>
          <w:b w:val="0"/>
          <w:bCs w:val="0"/>
        </w:rPr>
        <w:t>12</w:t>
      </w:r>
      <w:r>
        <w:rPr>
          <w:rStyle w:val="CharStyle32"/>
          <w:b w:val="0"/>
          <w:bCs w:val="0"/>
        </w:rPr>
        <w:t>月</w:t>
      </w:r>
      <w:r>
        <w:rPr>
          <w:rStyle w:val="CharStyle32"/>
          <w:rFonts w:ascii="Times New Roman" w:eastAsia="Times New Roman" w:hAnsi="Times New Roman" w:cs="Times New Roman"/>
          <w:b w:val="0"/>
          <w:bCs w:val="0"/>
        </w:rPr>
        <w:t>31</w:t>
      </w:r>
      <w:r>
        <w:rPr>
          <w:rStyle w:val="CharStyle32"/>
          <w:b w:val="0"/>
          <w:bCs w:val="0"/>
        </w:rPr>
        <w:t>日，本集团无需要披露的重大或有事项。</w:t>
      </w:r>
    </w:p>
    <w:p>
      <w:pPr>
        <w:pStyle w:val="Style35"/>
        <w:keepNext/>
        <w:keepLines/>
        <w:widowControl w:val="0"/>
        <w:shd w:val="clear" w:color="auto" w:fill="auto"/>
        <w:bidi w:val="0"/>
        <w:spacing w:before="0" w:after="360" w:line="240" w:lineRule="auto"/>
        <w:ind w:left="0" w:right="0" w:firstLine="0"/>
        <w:jc w:val="left"/>
      </w:pPr>
      <w:bookmarkStart w:id="1561" w:name="bookmark1561"/>
      <w:bookmarkStart w:id="1562" w:name="bookmark1562"/>
      <w:bookmarkStart w:id="1563" w:name="bookmark15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561"/>
      <w:bookmarkEnd w:id="1562"/>
      <w:bookmarkEnd w:id="1563"/>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25"/>
        <w:keepNext/>
        <w:keepLines/>
        <w:widowControl w:val="0"/>
        <w:shd w:val="clear" w:color="auto" w:fill="auto"/>
        <w:bidi w:val="0"/>
        <w:spacing w:before="0" w:after="360" w:line="240" w:lineRule="auto"/>
        <w:ind w:left="0" w:right="0" w:firstLine="0"/>
        <w:jc w:val="left"/>
      </w:pPr>
      <w:bookmarkStart w:id="1564" w:name="bookmark1564"/>
      <w:bookmarkStart w:id="1565" w:name="bookmark1565"/>
      <w:bookmarkStart w:id="1566" w:name="bookmark1566"/>
      <w:r>
        <w:rPr>
          <w:color w:val="000000"/>
          <w:spacing w:val="0"/>
          <w:w w:val="100"/>
          <w:position w:val="0"/>
        </w:rPr>
        <w:t>十四、资产负债表日后事项</w:t>
      </w:r>
      <w:bookmarkEnd w:id="1564"/>
      <w:bookmarkEnd w:id="1565"/>
      <w:bookmarkEnd w:id="1566"/>
    </w:p>
    <w:p>
      <w:pPr>
        <w:pStyle w:val="Style28"/>
        <w:keepNext/>
        <w:keepLines/>
        <w:widowControl w:val="0"/>
        <w:shd w:val="clear" w:color="auto" w:fill="auto"/>
        <w:bidi w:val="0"/>
        <w:spacing w:before="0" w:line="240" w:lineRule="auto"/>
        <w:ind w:left="0" w:right="0" w:firstLine="0"/>
        <w:jc w:val="left"/>
      </w:pPr>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567"/>
      <w:bookmarkEnd w:id="1568"/>
      <w:bookmarkEnd w:id="1569"/>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18,844,800.00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18,844,800.00</w:t>
            </w:r>
          </w:p>
        </w:tc>
      </w:tr>
    </w:tbl>
    <w:p>
      <w:pPr>
        <w:widowControl w:val="0"/>
        <w:spacing w:after="279" w:line="1" w:lineRule="exact"/>
      </w:pPr>
    </w:p>
    <w:p>
      <w:pPr>
        <w:pStyle w:val="Style28"/>
        <w:keepNext/>
        <w:keepLines/>
        <w:widowControl w:val="0"/>
        <w:shd w:val="clear" w:color="auto" w:fill="auto"/>
        <w:bidi w:val="0"/>
        <w:spacing w:before="0" w:after="280" w:line="314" w:lineRule="exact"/>
        <w:ind w:left="0" w:right="0" w:firstLine="0"/>
        <w:jc w:val="left"/>
      </w:pPr>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570"/>
      <w:bookmarkEnd w:id="1571"/>
      <w:bookmarkEnd w:id="1572"/>
    </w:p>
    <w:p>
      <w:pPr>
        <w:pStyle w:val="Style28"/>
        <w:keepNext/>
        <w:keepLines/>
        <w:widowControl w:val="0"/>
        <w:shd w:val="clear" w:color="auto" w:fill="auto"/>
        <w:tabs>
          <w:tab w:pos="975" w:val="left"/>
        </w:tabs>
        <w:bidi w:val="0"/>
        <w:spacing w:before="0" w:after="140" w:line="314" w:lineRule="exact"/>
        <w:ind w:left="0" w:right="0" w:firstLine="520"/>
        <w:jc w:val="both"/>
      </w:pPr>
      <w:bookmarkStart w:id="1570" w:name="bookmark1570"/>
      <w:bookmarkStart w:id="1571" w:name="bookmark1571"/>
      <w:bookmarkStart w:id="1573" w:name="bookmark1573"/>
      <w:r>
        <w:rPr>
          <w:color w:val="000000"/>
          <w:spacing w:val="0"/>
          <w:w w:val="100"/>
          <w:position w:val="0"/>
        </w:rPr>
        <w:t>（</w:t>
      </w:r>
      <w:bookmarkEnd w:id="1573"/>
      <w:r>
        <w:rPr>
          <w:rFonts w:ascii="Times New Roman" w:eastAsia="Times New Roman" w:hAnsi="Times New Roman" w:cs="Times New Roman"/>
          <w:color w:val="000000"/>
          <w:spacing w:val="0"/>
          <w:w w:val="100"/>
          <w:position w:val="0"/>
        </w:rPr>
        <w:t>1</w:t>
      </w:r>
      <w:r>
        <w:rPr>
          <w:color w:val="000000"/>
          <w:spacing w:val="0"/>
          <w:w w:val="100"/>
          <w:position w:val="0"/>
        </w:rPr>
        <w:t>）</w:t>
        <w:tab/>
        <w:t>利润分配预案</w:t>
      </w:r>
      <w:bookmarkEnd w:id="1570"/>
      <w:bookmarkEnd w:id="1571"/>
    </w:p>
    <w:p>
      <w:pPr>
        <w:pStyle w:val="Style31"/>
        <w:keepNext w:val="0"/>
        <w:keepLines w:val="0"/>
        <w:widowControl w:val="0"/>
        <w:shd w:val="clear" w:color="auto" w:fill="auto"/>
        <w:bidi w:val="0"/>
        <w:spacing w:before="0" w:line="317" w:lineRule="exact"/>
        <w:ind w:left="0" w:right="0" w:firstLine="5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日召开第三届董事会第三次会议，通过</w:t>
      </w:r>
      <w:r>
        <w:rPr>
          <w:rFonts w:ascii="Times New Roman" w:eastAsia="Times New Roman" w:hAnsi="Times New Roman" w:cs="Times New Roman"/>
          <w:color w:val="000000"/>
          <w:spacing w:val="0"/>
          <w:w w:val="100"/>
          <w:position w:val="0"/>
        </w:rPr>
        <w:t>2021</w:t>
      </w:r>
      <w:r>
        <w:rPr>
          <w:color w:val="000000"/>
          <w:spacing w:val="0"/>
          <w:w w:val="100"/>
          <w:position w:val="0"/>
        </w:rPr>
        <w:t>年度利润分配及资本公积金转增股本 预案：以公司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47,112,000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rPr>
        <w:t xml:space="preserve">4.00 </w:t>
      </w:r>
      <w:r>
        <w:rPr>
          <w:color w:val="000000"/>
          <w:spacing w:val="0"/>
          <w:w w:val="100"/>
          <w:position w:val="0"/>
        </w:rPr>
        <w:t>元（含税），合计派发现金股利人民币</w:t>
      </w:r>
      <w:r>
        <w:rPr>
          <w:rFonts w:ascii="Times New Roman" w:eastAsia="Times New Roman" w:hAnsi="Times New Roman" w:cs="Times New Roman"/>
          <w:color w:val="000000"/>
          <w:spacing w:val="0"/>
          <w:w w:val="100"/>
          <w:position w:val="0"/>
        </w:rPr>
        <w:t>18,844,800.00</w:t>
      </w:r>
      <w:r>
        <w:rPr>
          <w:color w:val="000000"/>
          <w:spacing w:val="0"/>
          <w:w w:val="100"/>
          <w:position w:val="0"/>
        </w:rPr>
        <w:t>元（含税）；不送红股，剩余未分配利润结转至以后 年度；以资本公积金向全体股东每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4</w:t>
      </w:r>
      <w:r>
        <w:rPr>
          <w:color w:val="000000"/>
          <w:spacing w:val="0"/>
          <w:w w:val="100"/>
          <w:position w:val="0"/>
        </w:rPr>
        <w:t>股，共计转增</w:t>
      </w:r>
      <w:r>
        <w:rPr>
          <w:rFonts w:ascii="Times New Roman" w:eastAsia="Times New Roman" w:hAnsi="Times New Roman" w:cs="Times New Roman"/>
          <w:color w:val="000000"/>
          <w:spacing w:val="0"/>
          <w:w w:val="100"/>
          <w:position w:val="0"/>
        </w:rPr>
        <w:t>18,844,800</w:t>
      </w:r>
      <w:r>
        <w:rPr>
          <w:color w:val="000000"/>
          <w:spacing w:val="0"/>
          <w:w w:val="100"/>
          <w:position w:val="0"/>
        </w:rPr>
        <w:t>股，转增后公司总股本为</w:t>
      </w:r>
      <w:r>
        <w:rPr>
          <w:rFonts w:ascii="Times New Roman" w:eastAsia="Times New Roman" w:hAnsi="Times New Roman" w:cs="Times New Roman"/>
          <w:color w:val="000000"/>
          <w:spacing w:val="0"/>
          <w:w w:val="100"/>
          <w:position w:val="0"/>
        </w:rPr>
        <w:t xml:space="preserve">65,956,800 </w:t>
      </w:r>
      <w:r>
        <w:rPr>
          <w:color w:val="000000"/>
          <w:spacing w:val="0"/>
          <w:w w:val="100"/>
          <w:position w:val="0"/>
        </w:rPr>
        <w:t>股。本预案将经股东大会批准后实施。</w:t>
      </w:r>
    </w:p>
    <w:p>
      <w:pPr>
        <w:pStyle w:val="Style31"/>
        <w:keepNext w:val="0"/>
        <w:keepLines w:val="0"/>
        <w:widowControl w:val="0"/>
        <w:shd w:val="clear" w:color="auto" w:fill="auto"/>
        <w:tabs>
          <w:tab w:pos="975" w:val="left"/>
        </w:tabs>
        <w:bidi w:val="0"/>
        <w:spacing w:before="0" w:line="314" w:lineRule="exact"/>
        <w:ind w:left="0" w:right="0" w:firstLine="520"/>
        <w:jc w:val="both"/>
      </w:pPr>
      <w:bookmarkStart w:id="1574" w:name="bookmark1574"/>
      <w:r>
        <w:rPr>
          <w:b/>
          <w:bCs/>
          <w:color w:val="000000"/>
          <w:spacing w:val="0"/>
          <w:w w:val="100"/>
          <w:position w:val="0"/>
        </w:rPr>
        <w:t>（</w:t>
      </w:r>
      <w:bookmarkEnd w:id="157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现金管理</w:t>
      </w:r>
    </w:p>
    <w:p>
      <w:pPr>
        <w:pStyle w:val="Style31"/>
        <w:keepNext w:val="0"/>
        <w:keepLines w:val="0"/>
        <w:widowControl w:val="0"/>
        <w:shd w:val="clear" w:color="auto" w:fill="auto"/>
        <w:bidi w:val="0"/>
        <w:spacing w:before="0" w:line="314" w:lineRule="exact"/>
        <w:ind w:left="0" w:right="0" w:firstLine="520"/>
        <w:jc w:val="both"/>
      </w:pPr>
      <w:r>
        <w:rPr>
          <w:color w:val="000000"/>
          <w:spacing w:val="0"/>
          <w:w w:val="100"/>
          <w:position w:val="0"/>
        </w:rPr>
        <w:t>资产负债表日后实施现金管理情况详见本节十五、</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现金管理</w:t>
      </w:r>
      <w:r>
        <w:rPr>
          <w:rFonts w:ascii="Times New Roman" w:eastAsia="Times New Roman" w:hAnsi="Times New Roman" w:cs="Times New Roman"/>
          <w:color w:val="000000"/>
          <w:spacing w:val="0"/>
          <w:w w:val="100"/>
          <w:position w:val="0"/>
        </w:rPr>
        <w:t>”</w:t>
      </w:r>
    </w:p>
    <w:p>
      <w:pPr>
        <w:pStyle w:val="Style31"/>
        <w:keepNext w:val="0"/>
        <w:keepLines w:val="0"/>
        <w:widowControl w:val="0"/>
        <w:shd w:val="clear" w:color="auto" w:fill="auto"/>
        <w:tabs>
          <w:tab w:pos="975" w:val="left"/>
        </w:tabs>
        <w:bidi w:val="0"/>
        <w:spacing w:before="0" w:line="314" w:lineRule="exact"/>
        <w:ind w:left="0" w:right="0" w:firstLine="520"/>
        <w:jc w:val="both"/>
      </w:pPr>
      <w:bookmarkStart w:id="1575" w:name="bookmark1575"/>
      <w:r>
        <w:rPr>
          <w:b/>
          <w:bCs/>
          <w:color w:val="000000"/>
          <w:spacing w:val="0"/>
          <w:w w:val="100"/>
          <w:position w:val="0"/>
        </w:rPr>
        <w:t>（</w:t>
      </w:r>
      <w:bookmarkEnd w:id="1575"/>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董事会、监事会换届选举</w:t>
      </w:r>
    </w:p>
    <w:p>
      <w:pPr>
        <w:pStyle w:val="Style31"/>
        <w:keepNext w:val="0"/>
        <w:keepLines w:val="0"/>
        <w:widowControl w:val="0"/>
        <w:shd w:val="clear" w:color="auto" w:fill="auto"/>
        <w:bidi w:val="0"/>
        <w:spacing w:before="0" w:line="304" w:lineRule="exact"/>
        <w:ind w:left="0" w:right="0" w:firstLine="5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日召开第二届董事会第二十四次会议，分别审议通过了《关于董事会换届选举暨 提名第三届董事会非独立董事候选人的议案》和《关于董事会换届选举暨提名第三届董事会独立董事候选 人的议案》。经董事会提名委员会审核，董事会提名林明玲女士、马学沛先生、高俊斌先生、张毅先生、 马淦江先生五人为公司第三届董事会非独立董事候选人，提名曹丽梅女士、蔡浩先生、李洁芝女士三人为 公司第三届董事会独立董事候选人，其中曹丽梅女士为会计专业人士。</w:t>
      </w:r>
    </w:p>
    <w:p>
      <w:pPr>
        <w:pStyle w:val="Style31"/>
        <w:keepNext w:val="0"/>
        <w:keepLines w:val="0"/>
        <w:widowControl w:val="0"/>
        <w:shd w:val="clear" w:color="auto" w:fill="auto"/>
        <w:bidi w:val="0"/>
        <w:spacing w:before="0" w:line="316" w:lineRule="exact"/>
        <w:ind w:left="0" w:right="0" w:firstLine="5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日召开第二届监事会第十五次会议，审议通过了《关于监事会换届选举暨提名第 三届监事会非职工代表监事候选人的议案》，同意提名毛晓玲女士为公司第三届监事会非职工代表监事。 非职工代表监事候选人需提交公司股东大会审议，通过后将与公司职工代表大会选举产生的职工代表监事 共同组成第三届监事会。第三届监事会中职工代表监事比例未低于三分之一，符合法律法规及《公司章程》 的相关规定。</w:t>
      </w:r>
    </w:p>
    <w:p>
      <w:pPr>
        <w:pStyle w:val="Style31"/>
        <w:keepNext w:val="0"/>
        <w:keepLines w:val="0"/>
        <w:widowControl w:val="0"/>
        <w:shd w:val="clear" w:color="auto" w:fill="auto"/>
        <w:bidi w:val="0"/>
        <w:spacing w:before="0" w:after="220" w:line="314" w:lineRule="exact"/>
        <w:ind w:left="0" w:right="0" w:firstLine="52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w:t>
      </w:r>
      <w:r>
        <w:rPr>
          <w:rFonts w:ascii="Times New Roman" w:eastAsia="Times New Roman" w:hAnsi="Times New Roman" w:cs="Times New Roman"/>
          <w:color w:val="000000"/>
          <w:spacing w:val="0"/>
          <w:w w:val="100"/>
          <w:position w:val="0"/>
        </w:rPr>
        <w:t>2022</w:t>
      </w:r>
      <w:r>
        <w:rPr>
          <w:color w:val="000000"/>
          <w:spacing w:val="0"/>
          <w:w w:val="100"/>
          <w:position w:val="0"/>
        </w:rPr>
        <w:t>年第一次临时股东大会，审议通过了《关于董事会换届暨选举第三届董 事会非独立董事的议案》《关于董事会换届选举暨提名第三届董事会独立董事候选人的议案》及《关于监 事会换届暨选举第三届监事会非职工代表监事的议案》，经选举产生了公司第三届董事会成员和第三届监 事会成员。同日，经全体董事豁免会议通知的时间要求，公司召开第三届董事会第一次会议，审议通过了 《关于选举公司第三届董事会董事长的议案》《关于选举公司第三届董事会副董事长的议案》《关于聘任 第三届董事会专门委员会委员的议案》及《关于聘任公司高级管理人员的议案》；经全体监事豁免会议通 知的时间要求，公司召开第三届监事会第一次会议，审议通过了《关于选举公司第三届监事会主席的议案》。</w:t>
      </w:r>
    </w:p>
    <w:p>
      <w:pPr>
        <w:pStyle w:val="Style31"/>
        <w:keepNext w:val="0"/>
        <w:keepLines w:val="0"/>
        <w:widowControl w:val="0"/>
        <w:shd w:val="clear" w:color="auto" w:fill="auto"/>
        <w:tabs>
          <w:tab w:pos="1033" w:val="left"/>
        </w:tabs>
        <w:bidi w:val="0"/>
        <w:spacing w:before="0" w:line="314" w:lineRule="exact"/>
        <w:ind w:left="0" w:right="0" w:firstLine="540"/>
        <w:jc w:val="both"/>
      </w:pPr>
      <w:bookmarkStart w:id="1576" w:name="bookmark1576"/>
      <w:r>
        <w:rPr>
          <w:b/>
          <w:bCs/>
          <w:color w:val="000000"/>
          <w:spacing w:val="0"/>
          <w:w w:val="100"/>
          <w:position w:val="0"/>
        </w:rPr>
        <w:t>（</w:t>
      </w:r>
      <w:bookmarkEnd w:id="1576"/>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实际控制人为全资子公司提供担保</w:t>
      </w:r>
    </w:p>
    <w:p>
      <w:pPr>
        <w:pStyle w:val="Style31"/>
        <w:keepNext w:val="0"/>
        <w:keepLines w:val="0"/>
        <w:widowControl w:val="0"/>
        <w:shd w:val="clear" w:color="auto" w:fill="auto"/>
        <w:bidi w:val="0"/>
        <w:spacing w:before="0" w:line="314" w:lineRule="exact"/>
        <w:ind w:left="0" w:right="0" w:firstLine="5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日召开第二届董事会第二十四次会议，审议通过了《关于实际控制人为全资子公 司提供担保暨偶发性关联交易的议案》：公司全资子公司天亿马信息技术有限公司（以下简称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天亿马技 术</w:t>
      </w:r>
      <w:r>
        <w:rPr>
          <w:rFonts w:ascii="Times New Roman" w:eastAsia="Times New Roman" w:hAnsi="Times New Roman" w:cs="Times New Roman"/>
          <w:color w:val="000000"/>
          <w:spacing w:val="0"/>
          <w:w w:val="100"/>
          <w:position w:val="0"/>
        </w:rPr>
        <w:t>”</w:t>
      </w:r>
      <w:r>
        <w:rPr>
          <w:color w:val="000000"/>
          <w:spacing w:val="0"/>
          <w:w w:val="100"/>
          <w:position w:val="0"/>
        </w:rPr>
        <w:t>）因业务需要，向供应商联想集团有限公司及其下属公司（以下简称</w:t>
      </w:r>
      <w:r>
        <w:rPr>
          <w:rFonts w:ascii="Times New Roman" w:eastAsia="Times New Roman" w:hAnsi="Times New Roman" w:cs="Times New Roman"/>
          <w:color w:val="000000"/>
          <w:spacing w:val="0"/>
          <w:w w:val="100"/>
          <w:position w:val="0"/>
        </w:rPr>
        <w:t>“</w:t>
      </w:r>
      <w:r>
        <w:rPr>
          <w:color w:val="000000"/>
          <w:spacing w:val="0"/>
          <w:w w:val="100"/>
          <w:position w:val="0"/>
        </w:rPr>
        <w:t>联想集团</w:t>
      </w:r>
      <w:r>
        <w:rPr>
          <w:rFonts w:ascii="Times New Roman" w:eastAsia="Times New Roman" w:hAnsi="Times New Roman" w:cs="Times New Roman"/>
          <w:color w:val="000000"/>
          <w:spacing w:val="0"/>
          <w:w w:val="100"/>
          <w:position w:val="0"/>
        </w:rPr>
        <w:t>”</w:t>
      </w:r>
      <w:r>
        <w:rPr>
          <w:color w:val="000000"/>
          <w:spacing w:val="0"/>
          <w:w w:val="100"/>
          <w:position w:val="0"/>
        </w:rPr>
        <w:t>）申请不超过人民币</w:t>
      </w:r>
      <w:r>
        <w:rPr>
          <w:rFonts w:ascii="Times New Roman" w:eastAsia="Times New Roman" w:hAnsi="Times New Roman" w:cs="Times New Roman"/>
          <w:color w:val="000000"/>
          <w:spacing w:val="0"/>
          <w:w w:val="100"/>
          <w:position w:val="0"/>
        </w:rPr>
        <w:t xml:space="preserve">800 </w:t>
      </w:r>
      <w:r>
        <w:rPr>
          <w:color w:val="000000"/>
          <w:spacing w:val="0"/>
          <w:w w:val="100"/>
          <w:position w:val="0"/>
        </w:rPr>
        <w:t>万元的信用额度，并由公司实际控制人马学沛、林明玲夫妇以全部个人财产、夫妻共同财产提供最高保证 金额为</w:t>
      </w:r>
      <w:r>
        <w:rPr>
          <w:rFonts w:ascii="Times New Roman" w:eastAsia="Times New Roman" w:hAnsi="Times New Roman" w:cs="Times New Roman"/>
          <w:color w:val="000000"/>
          <w:spacing w:val="0"/>
          <w:w w:val="100"/>
          <w:position w:val="0"/>
        </w:rPr>
        <w:t>1,200</w:t>
      </w:r>
      <w:r>
        <w:rPr>
          <w:color w:val="000000"/>
          <w:spacing w:val="0"/>
          <w:w w:val="100"/>
          <w:position w:val="0"/>
        </w:rPr>
        <w:t>万元的不可撤销的连带责任保证担保。信用额度有效期为一年，担保有效期为自签订保证书 起至</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日。本次实际控制人为天亿马技术提供担保未向公司收取担保费用，无需公司提供反担 保。</w:t>
      </w:r>
    </w:p>
    <w:p>
      <w:pPr>
        <w:pStyle w:val="Style31"/>
        <w:keepNext w:val="0"/>
        <w:keepLines w:val="0"/>
        <w:widowControl w:val="0"/>
        <w:shd w:val="clear" w:color="auto" w:fill="auto"/>
        <w:tabs>
          <w:tab w:pos="1033" w:val="left"/>
        </w:tabs>
        <w:bidi w:val="0"/>
        <w:spacing w:before="0" w:line="314" w:lineRule="exact"/>
        <w:ind w:left="0" w:right="0" w:firstLine="540"/>
        <w:jc w:val="both"/>
      </w:pPr>
      <w:bookmarkStart w:id="1577" w:name="bookmark1577"/>
      <w:r>
        <w:rPr>
          <w:b/>
          <w:bCs/>
          <w:color w:val="000000"/>
          <w:spacing w:val="0"/>
          <w:w w:val="100"/>
          <w:position w:val="0"/>
        </w:rPr>
        <w:t>（</w:t>
      </w:r>
      <w:bookmarkEnd w:id="1577"/>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涉密信息系统集成资质剥离</w:t>
      </w:r>
    </w:p>
    <w:p>
      <w:pPr>
        <w:pStyle w:val="Style31"/>
        <w:keepNext w:val="0"/>
        <w:keepLines w:val="0"/>
        <w:widowControl w:val="0"/>
        <w:shd w:val="clear" w:color="auto" w:fill="auto"/>
        <w:bidi w:val="0"/>
        <w:spacing w:before="0" w:line="322" w:lineRule="exact"/>
        <w:ind w:left="0" w:right="0" w:firstLine="5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日接到国家保密局《涉密信息系统集成资质注销通知书》，同意注销公司的《涉 密信息系统集成资质证书》（甲级）。</w:t>
      </w:r>
    </w:p>
    <w:p>
      <w:pPr>
        <w:pStyle w:val="Style31"/>
        <w:keepNext w:val="0"/>
        <w:keepLines w:val="0"/>
        <w:widowControl w:val="0"/>
        <w:shd w:val="clear" w:color="auto" w:fill="auto"/>
        <w:bidi w:val="0"/>
        <w:spacing w:before="0" w:after="380" w:line="307" w:lineRule="exact"/>
        <w:ind w:left="0" w:right="0" w:firstLine="5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日召开第三届董事会第二次会议，审议通过《关于就子公司申请涉密信息系统集成 资质事项制定相关控制措施的议案》，全资子公司天亿马信息技术有限公司涉密信息系统集成资质申请正 在办理中。本次资质剥离及子公司办理不会对公司已有业务造成影响。</w:t>
      </w:r>
    </w:p>
    <w:p>
      <w:pPr>
        <w:pStyle w:val="Style25"/>
        <w:keepNext/>
        <w:keepLines/>
        <w:widowControl w:val="0"/>
        <w:shd w:val="clear" w:color="auto" w:fill="auto"/>
        <w:bidi w:val="0"/>
        <w:spacing w:before="0" w:after="280" w:line="240" w:lineRule="auto"/>
        <w:ind w:left="0" w:right="0" w:firstLine="0"/>
        <w:jc w:val="left"/>
      </w:pPr>
      <w:bookmarkStart w:id="1578" w:name="bookmark1578"/>
      <w:bookmarkStart w:id="1579" w:name="bookmark1579"/>
      <w:bookmarkStart w:id="1580" w:name="bookmark1580"/>
      <w:r>
        <w:rPr>
          <w:color w:val="000000"/>
          <w:spacing w:val="0"/>
          <w:w w:val="100"/>
          <w:position w:val="0"/>
        </w:rPr>
        <w:t>十五、其他重要事项</w:t>
      </w:r>
      <w:bookmarkEnd w:id="1578"/>
      <w:bookmarkEnd w:id="1579"/>
      <w:bookmarkEnd w:id="1580"/>
    </w:p>
    <w:p>
      <w:pPr>
        <w:pStyle w:val="Style28"/>
        <w:keepNext/>
        <w:keepLines/>
        <w:widowControl w:val="0"/>
        <w:shd w:val="clear" w:color="auto" w:fill="auto"/>
        <w:bidi w:val="0"/>
        <w:spacing w:before="0" w:after="280" w:line="314" w:lineRule="exact"/>
        <w:ind w:left="0" w:right="0" w:firstLine="0"/>
        <w:jc w:val="both"/>
      </w:pPr>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581"/>
      <w:bookmarkEnd w:id="1582"/>
      <w:bookmarkEnd w:id="1583"/>
    </w:p>
    <w:p>
      <w:pPr>
        <w:pStyle w:val="Style28"/>
        <w:keepNext/>
        <w:keepLines/>
        <w:widowControl w:val="0"/>
        <w:shd w:val="clear" w:color="auto" w:fill="auto"/>
        <w:bidi w:val="0"/>
        <w:spacing w:before="0" w:after="140" w:line="314" w:lineRule="exact"/>
        <w:ind w:left="0" w:right="0" w:firstLine="540"/>
        <w:jc w:val="both"/>
      </w:pPr>
      <w:bookmarkStart w:id="1581" w:name="bookmark1581"/>
      <w:bookmarkStart w:id="1582" w:name="bookmark15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）租赁</w:t>
      </w:r>
      <w:bookmarkEnd w:id="1581"/>
      <w:bookmarkEnd w:id="1582"/>
    </w:p>
    <w:p>
      <w:pPr>
        <w:pStyle w:val="Style28"/>
        <w:keepNext/>
        <w:keepLines/>
        <w:widowControl w:val="0"/>
        <w:shd w:val="clear" w:color="auto" w:fill="auto"/>
        <w:bidi w:val="0"/>
        <w:spacing w:before="0" w:after="140" w:line="314" w:lineRule="exact"/>
        <w:ind w:left="0" w:right="0" w:firstLine="540"/>
        <w:jc w:val="both"/>
      </w:pPr>
      <w:bookmarkStart w:id="1581" w:name="bookmark1581"/>
      <w:bookmarkStart w:id="1582" w:name="bookmark1582"/>
      <w:r>
        <w:rPr>
          <w:rFonts w:ascii="Times New Roman" w:eastAsia="Times New Roman" w:hAnsi="Times New Roman" w:cs="Times New Roman"/>
          <w:color w:val="000000"/>
          <w:spacing w:val="0"/>
          <w:w w:val="100"/>
          <w:position w:val="0"/>
        </w:rPr>
        <w:t>1</w:t>
      </w:r>
      <w:r>
        <w:rPr>
          <w:color w:val="000000"/>
          <w:spacing w:val="0"/>
          <w:w w:val="100"/>
          <w:position w:val="0"/>
        </w:rPr>
        <w:t>）本集团作为承租人</w:t>
      </w:r>
      <w:bookmarkEnd w:id="1581"/>
      <w:bookmarkEnd w:id="1582"/>
    </w:p>
    <w:p>
      <w:pPr>
        <w:pStyle w:val="Style31"/>
        <w:keepNext w:val="0"/>
        <w:keepLines w:val="0"/>
        <w:widowControl w:val="0"/>
        <w:shd w:val="clear" w:color="auto" w:fill="auto"/>
        <w:bidi w:val="0"/>
        <w:spacing w:before="0" w:after="220" w:line="314" w:lineRule="exact"/>
        <w:ind w:left="0" w:right="0" w:firstLine="540"/>
        <w:jc w:val="both"/>
      </w:pPr>
      <w:r>
        <w:rPr>
          <w:color w:val="000000"/>
          <w:spacing w:val="0"/>
          <w:w w:val="100"/>
          <w:position w:val="0"/>
        </w:rPr>
        <w:t>①使用权资产、租赁负债情况参见本节本节七、</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27</w:t>
      </w:r>
      <w:r>
        <w:rPr>
          <w:color w:val="000000"/>
          <w:spacing w:val="0"/>
          <w:w w:val="100"/>
          <w:position w:val="0"/>
        </w:rPr>
        <w:t>。</w:t>
      </w:r>
    </w:p>
    <w:p>
      <w:pPr>
        <w:pStyle w:val="Style14"/>
        <w:keepNext w:val="0"/>
        <w:keepLines w:val="0"/>
        <w:widowControl w:val="0"/>
        <w:shd w:val="clear" w:color="auto" w:fill="auto"/>
        <w:bidi w:val="0"/>
        <w:spacing w:before="0" w:after="0" w:line="240" w:lineRule="auto"/>
        <w:ind w:left="518" w:right="0" w:firstLine="0"/>
        <w:jc w:val="left"/>
        <w:rPr>
          <w:sz w:val="20"/>
          <w:szCs w:val="20"/>
        </w:rPr>
      </w:pPr>
      <w:r>
        <w:rPr>
          <w:color w:val="000000"/>
          <w:spacing w:val="0"/>
          <w:w w:val="100"/>
          <w:position w:val="0"/>
          <w:sz w:val="20"/>
          <w:szCs w:val="20"/>
        </w:rPr>
        <w:t>②计入本年损益情况</w:t>
      </w:r>
    </w:p>
    <w:tbl>
      <w:tblPr>
        <w:tblOverlap w:val="never"/>
        <w:jc w:val="center"/>
        <w:tblLayout w:type="fixed"/>
      </w:tblPr>
      <w:tblGrid>
        <w:gridCol w:w="4440"/>
        <w:gridCol w:w="2558"/>
        <w:gridCol w:w="2880"/>
      </w:tblGrid>
      <w:tr>
        <w:trPr>
          <w:trHeight w:val="341" w:hRule="exact"/>
        </w:trPr>
        <w:tc>
          <w:tcPr>
            <w:vMerge w:val="restart"/>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2220" w:right="0" w:firstLine="0"/>
              <w:jc w:val="left"/>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计入本年损益</w:t>
            </w:r>
          </w:p>
        </w:tc>
      </w:tr>
      <w:tr>
        <w:trPr>
          <w:trHeight w:val="33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租赁负债的利息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财务费用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663,822.17</w:t>
            </w:r>
          </w:p>
        </w:tc>
      </w:tr>
    </w:tbl>
    <w:p>
      <w:pPr>
        <w:widowControl w:val="0"/>
        <w:spacing w:after="139" w:line="1" w:lineRule="exact"/>
      </w:pPr>
    </w:p>
    <w:p>
      <w:pPr>
        <w:pStyle w:val="Style31"/>
        <w:keepNext w:val="0"/>
        <w:keepLines w:val="0"/>
        <w:widowControl w:val="0"/>
        <w:shd w:val="clear" w:color="auto" w:fill="auto"/>
        <w:bidi w:val="0"/>
        <w:spacing w:before="0" w:after="220" w:line="317" w:lineRule="exact"/>
        <w:ind w:left="0" w:right="0" w:firstLine="540"/>
        <w:jc w:val="both"/>
      </w:pPr>
      <w:r>
        <w:rPr>
          <w:color w:val="000000"/>
          <w:spacing w:val="0"/>
          <w:w w:val="100"/>
          <w:position w:val="0"/>
        </w:rPr>
        <w:t>注：上表中“短期租赁费用”不包含租赁期在</w:t>
      </w:r>
      <w:r>
        <w:rPr>
          <w:rFonts w:ascii="Times New Roman" w:eastAsia="Times New Roman" w:hAnsi="Times New Roman" w:cs="Times New Roman"/>
          <w:color w:val="000000"/>
          <w:spacing w:val="0"/>
          <w:w w:val="100"/>
          <w:position w:val="0"/>
        </w:rPr>
        <w:t>1</w:t>
      </w:r>
      <w:r>
        <w:rPr>
          <w:color w:val="000000"/>
          <w:spacing w:val="0"/>
          <w:w w:val="100"/>
          <w:position w:val="0"/>
        </w:rPr>
        <w:t>个月以内的租赁相关费用；“低价值资产租赁费用” 不包含包括在“短期租赁费用”中的低价值资产短期租赁费用。</w:t>
      </w:r>
    </w:p>
    <w:p>
      <w:pPr>
        <w:pStyle w:val="Style1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③与租赁相关的现金流量流出情况</w:t>
      </w:r>
    </w:p>
    <w:tbl>
      <w:tblPr>
        <w:tblOverlap w:val="never"/>
        <w:jc w:val="center"/>
        <w:tblLayout w:type="fixed"/>
      </w:tblPr>
      <w:tblGrid>
        <w:gridCol w:w="5342"/>
        <w:gridCol w:w="2669"/>
        <w:gridCol w:w="1867"/>
      </w:tblGrid>
      <w:tr>
        <w:trPr>
          <w:trHeight w:val="34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偿还租赁负债本金和利息所支付的现金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筹资活动现金流出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4,396,726.94</w:t>
            </w:r>
          </w:p>
        </w:tc>
      </w:tr>
    </w:tbl>
    <w:p>
      <w:pPr>
        <w:pStyle w:val="Style14"/>
        <w:keepNext w:val="0"/>
        <w:keepLines w:val="0"/>
        <w:widowControl w:val="0"/>
        <w:shd w:val="clear" w:color="auto" w:fill="auto"/>
        <w:bidi w:val="0"/>
        <w:spacing w:before="0" w:after="0" w:line="240" w:lineRule="auto"/>
        <w:ind w:left="518" w:right="0" w:firstLine="0"/>
        <w:jc w:val="left"/>
        <w:rPr>
          <w:sz w:val="20"/>
          <w:szCs w:val="20"/>
        </w:rPr>
      </w:pPr>
      <w:r>
        <w:rPr>
          <w:color w:val="000000"/>
          <w:spacing w:val="0"/>
          <w:w w:val="100"/>
          <w:position w:val="0"/>
          <w:sz w:val="20"/>
          <w:szCs w:val="20"/>
        </w:rPr>
        <w:t>④其他信息</w:t>
      </w:r>
    </w:p>
    <w:p>
      <w:pPr>
        <w:widowControl w:val="0"/>
        <w:spacing w:after="139" w:line="1" w:lineRule="exact"/>
      </w:pPr>
    </w:p>
    <w:p>
      <w:pPr>
        <w:pStyle w:val="Style31"/>
        <w:keepNext w:val="0"/>
        <w:keepLines w:val="0"/>
        <w:widowControl w:val="0"/>
        <w:shd w:val="clear" w:color="auto" w:fill="auto"/>
        <w:bidi w:val="0"/>
        <w:spacing w:before="0" w:line="307" w:lineRule="exact"/>
        <w:ind w:left="0" w:right="0" w:firstLine="540"/>
        <w:jc w:val="both"/>
      </w:pPr>
      <w:r>
        <w:rPr>
          <w:color w:val="000000"/>
          <w:spacing w:val="0"/>
          <w:w w:val="100"/>
          <w:position w:val="0"/>
        </w:rPr>
        <w:t>本集团承租的租赁资产包括经营过程中使用的房屋建筑物，租赁期通常为</w:t>
      </w:r>
      <w:r>
        <w:rPr>
          <w:rFonts w:ascii="Times New Roman" w:eastAsia="Times New Roman" w:hAnsi="Times New Roman" w:cs="Times New Roman"/>
          <w:color w:val="000000"/>
          <w:spacing w:val="0"/>
          <w:w w:val="100"/>
          <w:position w:val="0"/>
        </w:rPr>
        <w:t>1-5</w:t>
      </w:r>
      <w:r>
        <w:rPr>
          <w:color w:val="000000"/>
          <w:spacing w:val="0"/>
          <w:w w:val="100"/>
          <w:position w:val="0"/>
        </w:rPr>
        <w:t>年不等。租赁条款系在个 别基础上磋商，包括各种不同条款及条件，部分租赁合同包括续租选择权。</w:t>
      </w:r>
    </w:p>
    <w:p>
      <w:pPr>
        <w:pStyle w:val="Style31"/>
        <w:keepNext w:val="0"/>
        <w:keepLines w:val="0"/>
        <w:widowControl w:val="0"/>
        <w:shd w:val="clear" w:color="auto" w:fill="auto"/>
        <w:bidi w:val="0"/>
        <w:spacing w:before="0" w:line="312" w:lineRule="exact"/>
        <w:ind w:left="0" w:right="0" w:firstLine="540"/>
        <w:jc w:val="both"/>
      </w:pPr>
      <w:r>
        <w:rPr>
          <w:color w:val="000000"/>
          <w:spacing w:val="0"/>
          <w:w w:val="100"/>
          <w:position w:val="0"/>
        </w:rPr>
        <w:t>除本集团向出租人支付的押金作为租入资产的担保权益外，租赁合同不附加任何其他担保条款，租赁 资产不能被用于抵押担保。</w:t>
      </w:r>
    </w:p>
    <w:p>
      <w:pPr>
        <w:pStyle w:val="Style31"/>
        <w:keepNext w:val="0"/>
        <w:keepLines w:val="0"/>
        <w:widowControl w:val="0"/>
        <w:shd w:val="clear" w:color="auto" w:fill="auto"/>
        <w:bidi w:val="0"/>
        <w:spacing w:before="0" w:after="220" w:line="310" w:lineRule="exact"/>
        <w:ind w:left="0" w:right="0" w:firstLine="5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月本公司原与汕头市海逸投资（集团）有限公司、广州寰城实业发展有限公司签订的租赁合 </w:t>
      </w:r>
      <w:r>
        <w:rPr>
          <w:color w:val="000000"/>
          <w:spacing w:val="0"/>
          <w:w w:val="100"/>
          <w:position w:val="0"/>
        </w:rPr>
        <w:t>同终止，缴纳的租赁押金退回。转变为全资子公司天亿马信息技术有限公司与出租方签订租赁合同，缴纳 租赁押金。</w:t>
      </w:r>
    </w:p>
    <w:p>
      <w:pPr>
        <w:pStyle w:val="Style31"/>
        <w:keepNext w:val="0"/>
        <w:keepLines w:val="0"/>
        <w:widowControl w:val="0"/>
        <w:shd w:val="clear" w:color="auto" w:fill="auto"/>
        <w:bidi w:val="0"/>
        <w:spacing w:before="0" w:after="60" w:line="326" w:lineRule="auto"/>
        <w:ind w:left="0" w:right="0" w:firstLine="54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）本集团作为出租人</w:t>
      </w:r>
    </w:p>
    <w:p>
      <w:pPr>
        <w:pStyle w:val="Style31"/>
        <w:keepNext w:val="0"/>
        <w:keepLines w:val="0"/>
        <w:widowControl w:val="0"/>
        <w:shd w:val="clear" w:color="auto" w:fill="auto"/>
        <w:bidi w:val="0"/>
        <w:spacing w:before="0" w:line="314" w:lineRule="exact"/>
        <w:ind w:left="0" w:right="0" w:firstLine="540"/>
        <w:jc w:val="both"/>
      </w:pPr>
      <w:r>
        <w:rPr>
          <w:color w:val="000000"/>
          <w:spacing w:val="0"/>
          <w:w w:val="100"/>
          <w:position w:val="0"/>
        </w:rPr>
        <w:t>本集团无作为出租人的情况。</w:t>
      </w:r>
    </w:p>
    <w:p>
      <w:pPr>
        <w:pStyle w:val="Style31"/>
        <w:keepNext w:val="0"/>
        <w:keepLines w:val="0"/>
        <w:widowControl w:val="0"/>
        <w:shd w:val="clear" w:color="auto" w:fill="auto"/>
        <w:tabs>
          <w:tab w:pos="973" w:val="left"/>
        </w:tabs>
        <w:bidi w:val="0"/>
        <w:spacing w:before="0" w:line="314" w:lineRule="exact"/>
        <w:ind w:left="0" w:right="0" w:firstLine="540"/>
        <w:jc w:val="both"/>
      </w:pPr>
      <w:bookmarkStart w:id="1584" w:name="bookmark1584"/>
      <w:r>
        <w:rPr>
          <w:b/>
          <w:bCs/>
          <w:color w:val="000000"/>
          <w:spacing w:val="0"/>
          <w:w w:val="100"/>
          <w:position w:val="0"/>
        </w:rPr>
        <w:t>（</w:t>
      </w:r>
      <w:bookmarkEnd w:id="1584"/>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新冠疫情影响</w:t>
      </w:r>
    </w:p>
    <w:p>
      <w:pPr>
        <w:pStyle w:val="Style31"/>
        <w:keepNext w:val="0"/>
        <w:keepLines w:val="0"/>
        <w:widowControl w:val="0"/>
        <w:shd w:val="clear" w:color="auto" w:fill="auto"/>
        <w:bidi w:val="0"/>
        <w:spacing w:before="0" w:line="314" w:lineRule="exact"/>
        <w:ind w:left="0" w:right="0" w:firstLine="5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年初，新型冠状病毒在国内爆发，对全国多数行业均造成了不同程度的影响。因隔离、交通管制 等防疫管控措施的影响，公司的业务短期内也受到了一定的影响。一方面体现在对己验收项目，因政府财 政付款审批流程有所滞后，导致公司回款进度受到一定影响；另一方面，体现在公司新中标项目上，受新 冠疫情影响，部分地区政府的相关项目招投标时间有所延后。另外公司已中标在实施的项目因隔离措施、 交通管制等原因，施工进度有所延后。目前公司已顺利复工，并加紧推进各项项目工作，积极与客户沟通 加紧应收款的回款，做好项目承接和实施工作，新冠疫情未对公司生产经营造成重大不利影响。但若后续 疫情出现不利变化，仍将可能对公司业绩产生不利影响。</w:t>
      </w:r>
    </w:p>
    <w:p>
      <w:pPr>
        <w:pStyle w:val="Style31"/>
        <w:keepNext w:val="0"/>
        <w:keepLines w:val="0"/>
        <w:widowControl w:val="0"/>
        <w:shd w:val="clear" w:color="auto" w:fill="auto"/>
        <w:tabs>
          <w:tab w:pos="973" w:val="left"/>
        </w:tabs>
        <w:bidi w:val="0"/>
        <w:spacing w:before="0" w:line="314" w:lineRule="exact"/>
        <w:ind w:left="0" w:right="0" w:firstLine="540"/>
        <w:jc w:val="both"/>
      </w:pPr>
      <w:bookmarkStart w:id="1585" w:name="bookmark1585"/>
      <w:r>
        <w:rPr>
          <w:b/>
          <w:bCs/>
          <w:color w:val="000000"/>
          <w:spacing w:val="0"/>
          <w:w w:val="100"/>
          <w:position w:val="0"/>
        </w:rPr>
        <w:t>（</w:t>
      </w:r>
      <w:bookmarkEnd w:id="1585"/>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现金管理</w:t>
      </w:r>
    </w:p>
    <w:p>
      <w:pPr>
        <w:pStyle w:val="Style31"/>
        <w:keepNext w:val="0"/>
        <w:keepLines w:val="0"/>
        <w:widowControl w:val="0"/>
        <w:shd w:val="clear" w:color="auto" w:fill="auto"/>
        <w:bidi w:val="0"/>
        <w:spacing w:before="0" w:line="315" w:lineRule="exact"/>
        <w:ind w:left="0" w:right="0" w:firstLine="5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日召开第二届董事会第二十三次会议、第二届监事会第十四次会议，并于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年第三次临时股东大会，审议通过了《关于使用部分闲置募集资金（含超募资金）进行 现金管理的议案》，同意公司使用不超过人民币</w:t>
      </w:r>
      <w:r>
        <w:rPr>
          <w:rFonts w:ascii="Times New Roman" w:eastAsia="Times New Roman" w:hAnsi="Times New Roman" w:cs="Times New Roman"/>
          <w:color w:val="000000"/>
          <w:spacing w:val="0"/>
          <w:w w:val="100"/>
          <w:position w:val="0"/>
        </w:rPr>
        <w:t>4.5</w:t>
      </w:r>
      <w:r>
        <w:rPr>
          <w:color w:val="000000"/>
          <w:spacing w:val="0"/>
          <w:w w:val="100"/>
          <w:position w:val="0"/>
        </w:rPr>
        <w:t>亿元（含本数）的闲置募集资金（含超募资金）进行现 金管理，用于投资安全性高、流动性好且投资期限不超过</w:t>
      </w:r>
      <w:r>
        <w:rPr>
          <w:rFonts w:ascii="Times New Roman" w:eastAsia="Times New Roman" w:hAnsi="Times New Roman" w:cs="Times New Roman"/>
          <w:color w:val="000000"/>
          <w:spacing w:val="0"/>
          <w:w w:val="100"/>
          <w:position w:val="0"/>
        </w:rPr>
        <w:t>12</w:t>
      </w:r>
      <w:r>
        <w:rPr>
          <w:color w:val="000000"/>
          <w:spacing w:val="0"/>
          <w:w w:val="100"/>
          <w:position w:val="0"/>
        </w:rPr>
        <w:t>个月的产品，使用期限为自股东大会审议通过 之日起</w:t>
      </w:r>
      <w:r>
        <w:rPr>
          <w:rFonts w:ascii="Times New Roman" w:eastAsia="Times New Roman" w:hAnsi="Times New Roman" w:cs="Times New Roman"/>
          <w:color w:val="000000"/>
          <w:spacing w:val="0"/>
          <w:w w:val="100"/>
          <w:position w:val="0"/>
        </w:rPr>
        <w:t>12</w:t>
      </w:r>
      <w:r>
        <w:rPr>
          <w:color w:val="000000"/>
          <w:spacing w:val="0"/>
          <w:w w:val="100"/>
          <w:position w:val="0"/>
        </w:rPr>
        <w:t>个月内。在上述额度和期限范围内，资金可循环滚动使用，同时授权董事长或其指定授权对象， 在上述额度内签署相关合同文件，并负责办理公司使用闲置募集资金进行现金管理的相关事宜，具体事项 由财务部负责组织实施。公司独立董事、监事会、保荐机构均发表了同意意见。</w:t>
      </w:r>
    </w:p>
    <w:p>
      <w:pPr>
        <w:pStyle w:val="Style31"/>
        <w:keepNext w:val="0"/>
        <w:keepLines w:val="0"/>
        <w:widowControl w:val="0"/>
        <w:shd w:val="clear" w:color="auto" w:fill="auto"/>
        <w:bidi w:val="0"/>
        <w:spacing w:before="0" w:after="220" w:line="312" w:lineRule="exact"/>
        <w:ind w:left="0" w:right="0" w:firstLine="5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日召开第二届董事会第二十四次会议、第二届监事会第十五次会议，并于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日召开</w:t>
      </w:r>
      <w:r>
        <w:rPr>
          <w:rFonts w:ascii="Times New Roman" w:eastAsia="Times New Roman" w:hAnsi="Times New Roman" w:cs="Times New Roman"/>
          <w:color w:val="000000"/>
          <w:spacing w:val="0"/>
          <w:w w:val="100"/>
          <w:position w:val="0"/>
        </w:rPr>
        <w:t>2022</w:t>
      </w:r>
      <w:r>
        <w:rPr>
          <w:color w:val="000000"/>
          <w:spacing w:val="0"/>
          <w:w w:val="100"/>
          <w:position w:val="0"/>
        </w:rPr>
        <w:t>年第一次临时股东大会，审议通过了《关于使用部分闲置自有资金进行现金管理的议案》， 同意公司使用不超过人民币</w:t>
      </w:r>
      <w:r>
        <w:rPr>
          <w:rFonts w:ascii="Times New Roman" w:eastAsia="Times New Roman" w:hAnsi="Times New Roman" w:cs="Times New Roman"/>
          <w:color w:val="000000"/>
          <w:spacing w:val="0"/>
          <w:w w:val="100"/>
          <w:position w:val="0"/>
        </w:rPr>
        <w:t>2</w:t>
      </w:r>
      <w:r>
        <w:rPr>
          <w:color w:val="000000"/>
          <w:spacing w:val="0"/>
          <w:w w:val="100"/>
          <w:position w:val="0"/>
        </w:rPr>
        <w:t>亿元（含本数）的闲置自有资金进行现金管理，用于投资指定品种，使用期 限自股东大会审议通过之日起</w:t>
      </w:r>
      <w:r>
        <w:rPr>
          <w:rFonts w:ascii="Times New Roman" w:eastAsia="Times New Roman" w:hAnsi="Times New Roman" w:cs="Times New Roman"/>
          <w:color w:val="000000"/>
          <w:spacing w:val="0"/>
          <w:w w:val="100"/>
          <w:position w:val="0"/>
        </w:rPr>
        <w:t>12</w:t>
      </w:r>
      <w:r>
        <w:rPr>
          <w:color w:val="000000"/>
          <w:spacing w:val="0"/>
          <w:w w:val="100"/>
          <w:position w:val="0"/>
        </w:rPr>
        <w:t>个月内。在上述额度和期限范围内，资金可循环滚动使用，同时授权董事 长或其指定授权对象，在上述额度内签署相关合同文件，并负责办理公司使用闲置自有资金进行现金管理 的相关事宜，具体事项由财务部负责组织实施。公司独立董事、监事会、保荐机构均发表了同意意见。</w:t>
      </w:r>
    </w:p>
    <w:p>
      <w:pPr>
        <w:pStyle w:val="Style14"/>
        <w:keepNext w:val="0"/>
        <w:keepLines w:val="0"/>
        <w:widowControl w:val="0"/>
        <w:shd w:val="clear" w:color="auto" w:fill="auto"/>
        <w:bidi w:val="0"/>
        <w:spacing w:before="0" w:after="0" w:line="240" w:lineRule="auto"/>
        <w:ind w:left="523" w:right="0" w:firstLine="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日，现金管理实施情况如下:</w:t>
      </w:r>
    </w:p>
    <w:tbl>
      <w:tblPr>
        <w:tblOverlap w:val="never"/>
        <w:jc w:val="center"/>
        <w:tblLayout w:type="fixed"/>
      </w:tblPr>
      <w:tblGrid>
        <w:gridCol w:w="864"/>
        <w:gridCol w:w="1814"/>
        <w:gridCol w:w="850"/>
        <w:gridCol w:w="1310"/>
        <w:gridCol w:w="1320"/>
        <w:gridCol w:w="1320"/>
        <w:gridCol w:w="1325"/>
        <w:gridCol w:w="1099"/>
      </w:tblGrid>
      <w:tr>
        <w:trPr>
          <w:trHeight w:val="65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购买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主体</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受托方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金额：万元</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到期日期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预期年化 收益率</w:t>
            </w:r>
          </w:p>
        </w:tc>
      </w:tr>
      <w:tr>
        <w:trPr>
          <w:trHeight w:val="64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兴业银行股份有限 公司汕头分行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保本型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新型协定存款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20,655.78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2021-12-14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2022-12-13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1.65%</w:t>
            </w:r>
          </w:p>
        </w:tc>
      </w:tr>
      <w:tr>
        <w:trPr>
          <w:trHeight w:val="64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兴业银行股份有限 公司汕头分行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保本型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新型协定存款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12,572.70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2021-12-14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2022-12-13</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1.65%</w:t>
            </w:r>
          </w:p>
        </w:tc>
      </w:tr>
      <w:tr>
        <w:trPr>
          <w:trHeight w:val="960"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pPr>
            <w:r>
              <w:rPr>
                <w:color w:val="000000"/>
                <w:spacing w:val="0"/>
                <w:w w:val="100"/>
                <w:position w:val="0"/>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交通银行股份有限 公司汕头分行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保本型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单位</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天通知 存款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2021-12-15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righ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天滚动，本金 如不申请赎回</w:t>
            </w:r>
          </w:p>
          <w:p>
            <w:pPr>
              <w:pStyle w:val="Style2"/>
              <w:keepNext w:val="0"/>
              <w:keepLines w:val="0"/>
              <w:widowControl w:val="0"/>
              <w:shd w:val="clear" w:color="auto" w:fill="auto"/>
              <w:bidi w:val="0"/>
              <w:spacing w:before="0" w:after="0" w:line="322" w:lineRule="exact"/>
              <w:ind w:left="0" w:right="0" w:firstLine="0"/>
              <w:jc w:val="right"/>
            </w:pPr>
            <w:r>
              <w:rPr>
                <w:color w:val="000000"/>
                <w:spacing w:val="0"/>
                <w:w w:val="100"/>
                <w:position w:val="0"/>
              </w:rPr>
              <w:t>续作投资</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w:t>
            </w:r>
          </w:p>
        </w:tc>
      </w:tr>
      <w:tr>
        <w:trPr>
          <w:trHeight w:val="97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中国建设银行股份 有限公司汕头市分 行</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保本型</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人民币单位协</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定存款</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6,874.81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2021-12-17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2022-12-16</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1.65%</w:t>
            </w:r>
          </w:p>
        </w:tc>
      </w:tr>
    </w:tbl>
    <w:p>
      <w:pPr>
        <w:spacing w:lineRule="exact" w:line="1"/>
        <w:rPr>
          <w:sz w:val="2"/>
          <w:szCs w:val="2"/>
        </w:rPr>
      </w:pPr>
      <w:r>
        <w:br w:type="page"/>
      </w:r>
    </w:p>
    <w:p>
      <w:pPr>
        <w:pStyle w:val="Style31"/>
        <w:keepNext w:val="0"/>
        <w:keepLines w:val="0"/>
        <w:widowControl w:val="0"/>
        <w:shd w:val="clear" w:color="auto" w:fill="auto"/>
        <w:bidi w:val="0"/>
        <w:spacing w:before="0" w:line="316" w:lineRule="exact"/>
        <w:ind w:left="0" w:right="0" w:firstLine="540"/>
        <w:jc w:val="both"/>
      </w:pPr>
      <w:r>
        <w:rPr>
          <w:color w:val="000000"/>
          <w:spacing w:val="0"/>
          <w:w w:val="100"/>
          <w:position w:val="0"/>
        </w:rPr>
        <w:t>资产负债表日后，现金管理实施情况如下：</w:t>
      </w:r>
    </w:p>
    <w:p>
      <w:pPr>
        <w:pStyle w:val="Style31"/>
        <w:keepNext w:val="0"/>
        <w:keepLines w:val="0"/>
        <w:widowControl w:val="0"/>
        <w:shd w:val="clear" w:color="auto" w:fill="auto"/>
        <w:tabs>
          <w:tab w:pos="1012" w:val="left"/>
        </w:tabs>
        <w:bidi w:val="0"/>
        <w:spacing w:before="0" w:line="314" w:lineRule="exact"/>
        <w:ind w:left="0" w:right="0" w:firstLine="540"/>
        <w:jc w:val="both"/>
      </w:pPr>
      <w:bookmarkStart w:id="1586" w:name="bookmark1586"/>
      <w:r>
        <w:rPr>
          <w:color w:val="000000"/>
          <w:spacing w:val="0"/>
          <w:w w:val="100"/>
          <w:position w:val="0"/>
        </w:rPr>
        <w:t>（</w:t>
      </w:r>
      <w:bookmarkEnd w:id="1586"/>
      <w:r>
        <w:rPr>
          <w:rFonts w:ascii="Times New Roman" w:eastAsia="Times New Roman" w:hAnsi="Times New Roman" w:cs="Times New Roman"/>
          <w:color w:val="000000"/>
          <w:spacing w:val="0"/>
          <w:w w:val="100"/>
          <w:position w:val="0"/>
        </w:rPr>
        <w:t>1</w:t>
      </w:r>
      <w:r>
        <w:rPr>
          <w:color w:val="000000"/>
          <w:spacing w:val="0"/>
          <w:w w:val="100"/>
          <w:position w:val="0"/>
        </w:rPr>
        <w:t>）</w:t>
        <w:tab/>
        <w:t>开立募集资金现金管理专用结算账户：公司于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月在南洋商业银行（中国）有限公司汕头 分行、中国民生银行股份有限公司汕头华山路支行开立募集资金现金管理专用结算账户，仅用于募集资金 购买理财产品专用结算，不会存放非募集资金或者用作其他用途。</w:t>
      </w:r>
    </w:p>
    <w:p>
      <w:pPr>
        <w:pStyle w:val="Style31"/>
        <w:keepNext w:val="0"/>
        <w:keepLines w:val="0"/>
        <w:widowControl w:val="0"/>
        <w:shd w:val="clear" w:color="auto" w:fill="auto"/>
        <w:tabs>
          <w:tab w:pos="1007" w:val="left"/>
        </w:tabs>
        <w:bidi w:val="0"/>
        <w:spacing w:before="0" w:after="220" w:line="317" w:lineRule="exact"/>
        <w:ind w:left="0" w:right="0" w:firstLine="540"/>
        <w:jc w:val="both"/>
      </w:pPr>
      <w:bookmarkStart w:id="1587" w:name="bookmark1587"/>
      <w:r>
        <w:rPr>
          <w:color w:val="000000"/>
          <w:spacing w:val="0"/>
          <w:w w:val="100"/>
          <w:position w:val="0"/>
        </w:rPr>
        <w:t>（</w:t>
      </w:r>
      <w:bookmarkEnd w:id="1587"/>
      <w:r>
        <w:rPr>
          <w:rFonts w:ascii="Times New Roman" w:eastAsia="Times New Roman" w:hAnsi="Times New Roman" w:cs="Times New Roman"/>
          <w:color w:val="000000"/>
          <w:spacing w:val="0"/>
          <w:w w:val="100"/>
          <w:position w:val="0"/>
        </w:rPr>
        <w:t>2</w:t>
      </w:r>
      <w:r>
        <w:rPr>
          <w:color w:val="000000"/>
          <w:spacing w:val="0"/>
          <w:w w:val="100"/>
          <w:position w:val="0"/>
        </w:rPr>
        <w:t>）</w:t>
        <w:tab/>
        <w:t>赎回银行产品：公司于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月赎回兴业银行股份有限公司汕头分行的新型协定存款</w:t>
      </w:r>
      <w:r>
        <w:rPr>
          <w:rFonts w:ascii="Times New Roman" w:eastAsia="Times New Roman" w:hAnsi="Times New Roman" w:cs="Times New Roman"/>
          <w:color w:val="000000"/>
          <w:spacing w:val="0"/>
          <w:w w:val="100"/>
          <w:position w:val="0"/>
        </w:rPr>
        <w:t>31,500</w:t>
      </w:r>
      <w:r>
        <w:rPr>
          <w:color w:val="000000"/>
          <w:spacing w:val="0"/>
          <w:w w:val="100"/>
          <w:position w:val="0"/>
        </w:rPr>
        <w:t>万 元；于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月赎回交通银行股份有限公司汕头分行单位</w:t>
      </w:r>
      <w:r>
        <w:rPr>
          <w:rFonts w:ascii="Times New Roman" w:eastAsia="Times New Roman" w:hAnsi="Times New Roman" w:cs="Times New Roman"/>
          <w:color w:val="000000"/>
          <w:spacing w:val="0"/>
          <w:w w:val="100"/>
          <w:position w:val="0"/>
        </w:rPr>
        <w:t>7</w:t>
      </w:r>
      <w:r>
        <w:rPr>
          <w:color w:val="000000"/>
          <w:spacing w:val="0"/>
          <w:w w:val="100"/>
          <w:position w:val="0"/>
        </w:rPr>
        <w:t>天通知存款</w:t>
      </w:r>
      <w:r>
        <w:rPr>
          <w:rFonts w:ascii="Times New Roman" w:eastAsia="Times New Roman" w:hAnsi="Times New Roman" w:cs="Times New Roman"/>
          <w:color w:val="000000"/>
          <w:spacing w:val="0"/>
          <w:w w:val="100"/>
          <w:position w:val="0"/>
        </w:rPr>
        <w:t>4,000</w:t>
      </w:r>
      <w:r>
        <w:rPr>
          <w:color w:val="000000"/>
          <w:spacing w:val="0"/>
          <w:w w:val="100"/>
          <w:position w:val="0"/>
        </w:rPr>
        <w:t>万元；于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月赎回中国 工商银行股份有限公司汕头安平支行传统型协定存款</w:t>
      </w:r>
      <w:r>
        <w:rPr>
          <w:rFonts w:ascii="Times New Roman" w:eastAsia="Times New Roman" w:hAnsi="Times New Roman" w:cs="Times New Roman"/>
          <w:color w:val="000000"/>
          <w:spacing w:val="0"/>
          <w:w w:val="100"/>
          <w:position w:val="0"/>
        </w:rPr>
        <w:t>1,600</w:t>
      </w:r>
      <w:r>
        <w:rPr>
          <w:color w:val="000000"/>
          <w:spacing w:val="0"/>
          <w:w w:val="100"/>
          <w:position w:val="0"/>
        </w:rPr>
        <w:t>万元。</w:t>
      </w:r>
    </w:p>
    <w:p>
      <w:pPr>
        <w:pStyle w:val="Style31"/>
        <w:keepNext w:val="0"/>
        <w:keepLines w:val="0"/>
        <w:widowControl w:val="0"/>
        <w:shd w:val="clear" w:color="auto" w:fill="auto"/>
        <w:bidi w:val="0"/>
        <w:spacing w:before="0" w:after="0" w:line="240" w:lineRule="auto"/>
        <w:ind w:left="0" w:right="0" w:firstLine="540"/>
        <w:jc w:val="both"/>
      </w:pPr>
      <w:bookmarkStart w:id="1588" w:name="bookmark1588"/>
      <w:r>
        <w:rPr>
          <w:color w:val="000000"/>
          <w:spacing w:val="0"/>
          <w:w w:val="100"/>
          <w:position w:val="0"/>
        </w:rPr>
        <w:t>（</w:t>
      </w:r>
      <w:bookmarkEnd w:id="1588"/>
      <w:r>
        <w:rPr>
          <w:rFonts w:ascii="Times New Roman" w:eastAsia="Times New Roman" w:hAnsi="Times New Roman" w:cs="Times New Roman"/>
          <w:color w:val="000000"/>
          <w:spacing w:val="0"/>
          <w:w w:val="100"/>
          <w:position w:val="0"/>
        </w:rPr>
        <w:t>3</w:t>
      </w:r>
      <w:r>
        <w:rPr>
          <w:color w:val="000000"/>
          <w:spacing w:val="0"/>
          <w:w w:val="100"/>
          <w:position w:val="0"/>
        </w:rPr>
        <w:t>）购买银行产品情况如下:</w:t>
      </w:r>
    </w:p>
    <w:tbl>
      <w:tblPr>
        <w:tblOverlap w:val="never"/>
        <w:jc w:val="center"/>
        <w:tblLayout w:type="fixed"/>
      </w:tblPr>
      <w:tblGrid>
        <w:gridCol w:w="974"/>
        <w:gridCol w:w="1416"/>
        <w:gridCol w:w="1138"/>
        <w:gridCol w:w="1277"/>
        <w:gridCol w:w="994"/>
        <w:gridCol w:w="1133"/>
        <w:gridCol w:w="1277"/>
        <w:gridCol w:w="1670"/>
      </w:tblGrid>
      <w:tr>
        <w:trPr>
          <w:trHeight w:val="6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购买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产品</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产品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金额：万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预期年化收益率</w:t>
            </w:r>
          </w:p>
        </w:tc>
      </w:tr>
      <w:tr>
        <w:trPr>
          <w:trHeight w:val="9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中国银行股份</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有限公司汕头</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保本保最低</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挂钩型结构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性存款（机构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1.30%-3.3%</w:t>
            </w:r>
          </w:p>
        </w:tc>
      </w:tr>
      <w:tr>
        <w:trPr>
          <w:trHeight w:val="12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南洋商业银行 （中国）有限公</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司汕头分行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本金保证浮</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动收益型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南商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汇益 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汇率挂钩 保本人民币 结构性存款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3.60%-3.45%-1.95</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95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中国工商银行 股份有限公司 汕头安平支行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传统型协定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1,600.45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2022-12-16</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（可提前支</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按央行基准利率浮 动，加点值为</w:t>
            </w:r>
            <w:r>
              <w:rPr>
                <w:rFonts w:ascii="Times New Roman" w:eastAsia="Times New Roman" w:hAnsi="Times New Roman" w:cs="Times New Roman"/>
                <w:color w:val="000000"/>
                <w:spacing w:val="0"/>
                <w:w w:val="100"/>
                <w:position w:val="0"/>
                <w:sz w:val="18"/>
                <w:szCs w:val="18"/>
              </w:rPr>
              <w:t>50BP</w:t>
            </w:r>
          </w:p>
        </w:tc>
      </w:tr>
      <w:tr>
        <w:trPr>
          <w:trHeight w:val="189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中国民生银行 股份有限公司 汕头分行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保本浮动收</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聚赢股票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挂 钩消费</w:t>
            </w:r>
            <w:r>
              <w:rPr>
                <w:rFonts w:ascii="Times New Roman" w:eastAsia="Times New Roman" w:hAnsi="Times New Roman" w:cs="Times New Roman"/>
                <w:color w:val="000000"/>
                <w:spacing w:val="0"/>
                <w:w w:val="100"/>
                <w:position w:val="0"/>
                <w:sz w:val="18"/>
                <w:szCs w:val="18"/>
              </w:rPr>
              <w:t>ETF</w:t>
            </w:r>
            <w:r>
              <w:rPr>
                <w:color w:val="000000"/>
                <w:spacing w:val="0"/>
                <w:w w:val="100"/>
                <w:position w:val="0"/>
              </w:rPr>
              <w:t>结 构性存款（标</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准款）</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SDGA2200 82N</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w:t>
              <w:softHyphen/>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1.1%-3.5%</w:t>
            </w:r>
          </w:p>
        </w:tc>
      </w:tr>
      <w:tr>
        <w:trPr>
          <w:trHeight w:val="126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兴业银行股份 有限公司汕头 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保本浮动收</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兴业银行企 业金融人民 币结构性存 款产品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固定收益率：</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浮动收益率：</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2.09%-1.88%-0%</w:t>
            </w:r>
          </w:p>
        </w:tc>
      </w:tr>
      <w:tr>
        <w:trPr>
          <w:trHeight w:val="12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20"/>
              <w:jc w:val="left"/>
            </w:pPr>
            <w:r>
              <w:rPr>
                <w:color w:val="000000"/>
                <w:spacing w:val="0"/>
                <w:w w:val="100"/>
                <w:position w:val="0"/>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兴业银行股份 有限公司汕头 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left"/>
            </w:pPr>
            <w:r>
              <w:rPr>
                <w:color w:val="000000"/>
                <w:spacing w:val="0"/>
                <w:w w:val="100"/>
                <w:position w:val="0"/>
              </w:rPr>
              <w:t>保本浮动收</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益型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兴业银行企 业金融人民 币结构性存 款产品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固定收益率：</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浮动收益率：</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2.09%-1.88%-0%</w:t>
            </w:r>
          </w:p>
        </w:tc>
      </w:tr>
      <w:tr>
        <w:trPr>
          <w:trHeight w:val="253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中国工商银行 股份有限公司 汕头安平支行</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保本浮动收</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益型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中国工商银 行挂钩汇率 区间累积型 法人人民币 结构性存款 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专户型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年第 </w:t>
            </w:r>
            <w:r>
              <w:rPr>
                <w:rFonts w:ascii="Times New Roman" w:eastAsia="Times New Roman" w:hAnsi="Times New Roman" w:cs="Times New Roman"/>
                <w:color w:val="000000"/>
                <w:spacing w:val="0"/>
                <w:w w:val="100"/>
                <w:position w:val="0"/>
                <w:sz w:val="18"/>
                <w:szCs w:val="18"/>
              </w:rPr>
              <w:t xml:space="preserve">093 </w:t>
            </w:r>
            <w:r>
              <w:rPr>
                <w:color w:val="000000"/>
                <w:spacing w:val="0"/>
                <w:w w:val="100"/>
                <w:position w:val="0"/>
              </w:rPr>
              <w:t>期</w:t>
            </w:r>
            <w:r>
              <w:rPr>
                <w:rFonts w:ascii="Times New Roman" w:eastAsia="Times New Roman" w:hAnsi="Times New Roman" w:cs="Times New Roman"/>
                <w:color w:val="000000"/>
                <w:spacing w:val="0"/>
                <w:w w:val="100"/>
                <w:position w:val="0"/>
                <w:sz w:val="18"/>
                <w:szCs w:val="18"/>
              </w:rPr>
              <w:t>H</w:t>
            </w:r>
            <w:r>
              <w:rPr>
                <w:color w:val="000000"/>
                <w:spacing w:val="0"/>
                <w:w w:val="100"/>
                <w:position w:val="0"/>
              </w:rPr>
              <w:t>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最低值为</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最高值为</w:t>
            </w:r>
            <w:r>
              <w:rPr>
                <w:rFonts w:ascii="Times New Roman" w:eastAsia="Times New Roman" w:hAnsi="Times New Roman" w:cs="Times New Roman"/>
                <w:color w:val="000000"/>
                <w:spacing w:val="0"/>
                <w:w w:val="100"/>
                <w:position w:val="0"/>
                <w:sz w:val="18"/>
                <w:szCs w:val="18"/>
              </w:rPr>
              <w:t>3.45%</w:t>
            </w:r>
          </w:p>
        </w:tc>
      </w:tr>
    </w:tbl>
    <w:p>
      <w:pPr>
        <w:widowControl w:val="0"/>
        <w:spacing w:line="1" w:lineRule="exact"/>
      </w:pPr>
      <w:r>
        <w:br w:type="page"/>
      </w:r>
    </w:p>
    <w:tbl>
      <w:tblPr>
        <w:tblOverlap w:val="never"/>
        <w:jc w:val="center"/>
        <w:tblLayout w:type="fixed"/>
      </w:tblPr>
      <w:tblGrid>
        <w:gridCol w:w="974"/>
        <w:gridCol w:w="1421"/>
        <w:gridCol w:w="1133"/>
        <w:gridCol w:w="1277"/>
        <w:gridCol w:w="994"/>
        <w:gridCol w:w="1133"/>
        <w:gridCol w:w="1277"/>
        <w:gridCol w:w="1670"/>
      </w:tblGrid>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购买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受托方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金额：万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预期年化收益率</w:t>
            </w:r>
          </w:p>
        </w:tc>
      </w:tr>
      <w:tr>
        <w:trPr>
          <w:trHeight w:val="1570"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交通银行股份</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有限公司汕头</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分行</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保本浮动收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益型</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交通银行蕴 通财富定期 型结构性存 款</w:t>
            </w:r>
            <w:r>
              <w:rPr>
                <w:rFonts w:ascii="Times New Roman" w:eastAsia="Times New Roman" w:hAnsi="Times New Roman" w:cs="Times New Roman"/>
                <w:color w:val="000000"/>
                <w:spacing w:val="0"/>
                <w:w w:val="100"/>
                <w:position w:val="0"/>
                <w:sz w:val="18"/>
                <w:szCs w:val="18"/>
              </w:rPr>
              <w:t>126</w:t>
            </w:r>
            <w:r>
              <w:rPr>
                <w:color w:val="000000"/>
                <w:spacing w:val="0"/>
                <w:w w:val="100"/>
                <w:position w:val="0"/>
              </w:rPr>
              <w:t>天(黄 金挂钩看涨)</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2022-3-7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2022-7-11</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高档收益率：</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2.65%</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低档收益率：</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w:t>
            </w:r>
          </w:p>
        </w:tc>
      </w:tr>
      <w:tr>
        <w:trPr>
          <w:trHeight w:val="970"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中国银行汕头</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金园支行</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保本保最低</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挂钩型结构 性存款(机构 客户)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2022-4-13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2022-5-18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1.30% </w:t>
            </w:r>
            <w:r>
              <w:rPr>
                <w:color w:val="000000"/>
                <w:spacing w:val="0"/>
                <w:w w:val="100"/>
                <w:position w:val="0"/>
                <w:sz w:val="17"/>
                <w:szCs w:val="17"/>
              </w:rPr>
              <w:t xml:space="preserve">或 </w:t>
            </w:r>
            <w:r>
              <w:rPr>
                <w:rFonts w:ascii="Times New Roman" w:eastAsia="Times New Roman" w:hAnsi="Times New Roman" w:cs="Times New Roman"/>
                <w:color w:val="000000"/>
                <w:spacing w:val="0"/>
                <w:w w:val="100"/>
                <w:position w:val="0"/>
                <w:sz w:val="18"/>
                <w:szCs w:val="18"/>
              </w:rPr>
              <w:t>3.2%</w:t>
            </w:r>
          </w:p>
        </w:tc>
      </w:tr>
    </w:tbl>
    <w:p>
      <w:pPr>
        <w:widowControl w:val="0"/>
        <w:spacing w:after="279" w:line="1" w:lineRule="exact"/>
      </w:pPr>
    </w:p>
    <w:p>
      <w:pPr>
        <w:pStyle w:val="Style25"/>
        <w:keepNext/>
        <w:keepLines/>
        <w:widowControl w:val="0"/>
        <w:shd w:val="clear" w:color="auto" w:fill="auto"/>
        <w:bidi w:val="0"/>
        <w:spacing w:before="0" w:after="360" w:line="240" w:lineRule="auto"/>
        <w:ind w:left="0" w:right="0" w:firstLine="0"/>
        <w:jc w:val="left"/>
      </w:pPr>
      <w:bookmarkStart w:id="1589" w:name="bookmark1589"/>
      <w:bookmarkStart w:id="1590" w:name="bookmark1590"/>
      <w:bookmarkStart w:id="1591" w:name="bookmark1591"/>
      <w:r>
        <w:rPr>
          <w:color w:val="000000"/>
          <w:spacing w:val="0"/>
          <w:w w:val="100"/>
          <w:position w:val="0"/>
        </w:rPr>
        <w:t>十六、母公司财务报表主要项目注释</w:t>
      </w:r>
      <w:bookmarkEnd w:id="1589"/>
      <w:bookmarkEnd w:id="1590"/>
      <w:bookmarkEnd w:id="1591"/>
    </w:p>
    <w:p>
      <w:pPr>
        <w:pStyle w:val="Style28"/>
        <w:keepNext/>
        <w:keepLines/>
        <w:widowControl w:val="0"/>
        <w:shd w:val="clear" w:color="auto" w:fill="auto"/>
        <w:bidi w:val="0"/>
        <w:spacing w:before="0" w:line="240" w:lineRule="auto"/>
        <w:ind w:left="0" w:right="0" w:firstLine="0"/>
        <w:jc w:val="left"/>
      </w:pPr>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92"/>
      <w:bookmarkEnd w:id="1593"/>
      <w:bookmarkEnd w:id="1594"/>
    </w:p>
    <w:p>
      <w:pPr>
        <w:pStyle w:val="Style35"/>
        <w:keepNext/>
        <w:keepLines/>
        <w:widowControl w:val="0"/>
        <w:shd w:val="clear" w:color="auto" w:fill="auto"/>
        <w:bidi w:val="0"/>
        <w:spacing w:before="0" w:after="360" w:line="240" w:lineRule="auto"/>
        <w:ind w:left="0" w:right="0" w:firstLine="0"/>
        <w:jc w:val="left"/>
      </w:pPr>
      <w:bookmarkStart w:id="1595" w:name="bookmark1595"/>
      <w:bookmarkStart w:id="1596" w:name="bookmark1596"/>
      <w:bookmarkStart w:id="1597" w:name="bookmark15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595"/>
      <w:bookmarkEnd w:id="1596"/>
      <w:bookmarkEnd w:id="1597"/>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48"/>
        <w:gridCol w:w="1181"/>
        <w:gridCol w:w="552"/>
        <w:gridCol w:w="1090"/>
        <w:gridCol w:w="523"/>
        <w:gridCol w:w="1186"/>
        <w:gridCol w:w="1176"/>
        <w:gridCol w:w="552"/>
        <w:gridCol w:w="1090"/>
        <w:gridCol w:w="494"/>
        <w:gridCol w:w="119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106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8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rPr>
                <w:sz w:val="18"/>
                <w:szCs w:val="18"/>
              </w:rPr>
            </w:pPr>
            <w:r>
              <w:rPr>
                <w:color w:val="000000"/>
                <w:spacing w:val="0"/>
                <w:w w:val="100"/>
                <w:position w:val="0"/>
                <w:sz w:val="17"/>
                <w:szCs w:val="17"/>
              </w:rPr>
              <w:t xml:space="preserve">计提 比例 </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80" w:line="240" w:lineRule="auto"/>
              <w:ind w:left="0" w:right="0" w:firstLine="0"/>
              <w:jc w:val="righ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rPr>
                <w:sz w:val="18"/>
                <w:szCs w:val="18"/>
              </w:rPr>
            </w:pPr>
            <w:r>
              <w:rPr>
                <w:color w:val="000000"/>
                <w:spacing w:val="0"/>
                <w:w w:val="100"/>
                <w:position w:val="0"/>
                <w:sz w:val="17"/>
                <w:szCs w:val="17"/>
              </w:rPr>
              <w:t xml:space="preserve">计提 比例 </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按单项 计提坏 账准备 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6,089,135.85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6,089,135.85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6,082,274.00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6,082,274.00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按组合 计提坏 账准备 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194,659,655.79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22,572,118.06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172,087,537.73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119,347,060.72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14,294,631.32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105,052,429.40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应收账</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款组合</w:t>
            </w:r>
          </w:p>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68,554,309.28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6,747,594.65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61,806,714.63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61,265,748.28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5,205,906.91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56,059,841.37</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应收账</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款组合</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126,105,346.51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15,824,523.41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110,280,823.10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58,081,312.44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9,088,724.41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48,992,588.03</w:t>
            </w:r>
          </w:p>
        </w:tc>
      </w:tr>
    </w:tbl>
    <w:p>
      <w:pPr>
        <w:widowControl w:val="0"/>
        <w:spacing w:line="1" w:lineRule="exact"/>
      </w:pPr>
      <w:r>
        <w:br w:type="page"/>
      </w:r>
    </w:p>
    <w:tbl>
      <w:tblPr>
        <w:tblOverlap w:val="never"/>
        <w:jc w:val="center"/>
        <w:tblLayout w:type="fixed"/>
      </w:tblPr>
      <w:tblGrid>
        <w:gridCol w:w="648"/>
        <w:gridCol w:w="1181"/>
        <w:gridCol w:w="552"/>
        <w:gridCol w:w="1090"/>
        <w:gridCol w:w="523"/>
        <w:gridCol w:w="1190"/>
        <w:gridCol w:w="1171"/>
        <w:gridCol w:w="552"/>
        <w:gridCol w:w="1090"/>
        <w:gridCol w:w="494"/>
        <w:gridCol w:w="119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107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计提 比例 </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3" w:lineRule="exact"/>
              <w:ind w:left="0" w:right="0" w:firstLine="0"/>
              <w:jc w:val="center"/>
              <w:rPr>
                <w:sz w:val="18"/>
                <w:szCs w:val="18"/>
              </w:rPr>
            </w:pPr>
            <w:r>
              <w:rPr>
                <w:color w:val="000000"/>
                <w:spacing w:val="0"/>
                <w:w w:val="100"/>
                <w:position w:val="0"/>
                <w:sz w:val="17"/>
                <w:szCs w:val="17"/>
              </w:rPr>
              <w:t xml:space="preserve">计提 比例 </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200,748,791.64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22,572,118.06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178,176,673.58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125,429,334.72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14,294,631.32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111,134,703.40</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按单项计提坏账准备:</w:t>
      </w:r>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931"/>
        <w:gridCol w:w="1426"/>
        <w:gridCol w:w="1104"/>
        <w:gridCol w:w="1104"/>
        <w:gridCol w:w="214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深圳市互联精英信息技术有限公司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天亿马信息技术有限公司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6,065,275.00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广东天亿马信息科技有限公司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合并范围内子公司</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6,089,135.85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按组合计提坏账准备：应收账款组合</w:t>
      </w:r>
      <w:r>
        <w:rPr>
          <w:rFonts w:ascii="Times New Roman" w:eastAsia="Times New Roman" w:hAnsi="Times New Roman" w:cs="Times New Roman"/>
          <w:color w:val="000000"/>
          <w:spacing w:val="0"/>
          <w:w w:val="100"/>
          <w:position w:val="0"/>
        </w:rPr>
        <w:t>1</w:t>
      </w: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47,407,171.01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2,370,358.55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12,660,117.55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1,266,011.76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7,438,793.58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2,231,638.07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268,833.60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134,416.80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171,120.36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136,896.29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608,273.18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608,273.18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68,554,309.28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6,747,594.65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19" w:line="1" w:lineRule="exact"/>
      </w:pP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：确定应收账款组合的依据详见本节五、</w:t>
      </w:r>
      <w:r>
        <w:rPr>
          <w:rFonts w:ascii="Times New Roman" w:eastAsia="Times New Roman" w:hAnsi="Times New Roman" w:cs="Times New Roman"/>
          <w:color w:val="000000"/>
          <w:spacing w:val="0"/>
          <w:w w:val="100"/>
          <w:position w:val="0"/>
        </w:rPr>
        <w:t>11</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金融资产减值</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1"/>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：合同资产</w:t>
      </w:r>
      <w:r>
        <w:rPr>
          <w:rFonts w:ascii="Times New Roman" w:eastAsia="Times New Roman" w:hAnsi="Times New Roman" w:cs="Times New Roman"/>
          <w:color w:val="000000"/>
          <w:spacing w:val="0"/>
          <w:w w:val="100"/>
          <w:position w:val="0"/>
        </w:rPr>
        <w:t>-</w:t>
      </w:r>
      <w:r>
        <w:rPr>
          <w:color w:val="000000"/>
          <w:spacing w:val="0"/>
          <w:w w:val="100"/>
          <w:position w:val="0"/>
        </w:rPr>
        <w:t>质保金在质保期限届满之后转入应收账款核算，其账龄连续计算。</w:t>
      </w:r>
    </w:p>
    <w:p>
      <w:pPr>
        <w:pStyle w:val="Style3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按组合计提坏账准备：应收账款组合</w:t>
      </w:r>
      <w:r>
        <w:rPr>
          <w:rFonts w:ascii="Times New Roman" w:eastAsia="Times New Roman" w:hAnsi="Times New Roman" w:cs="Times New Roman"/>
          <w:color w:val="000000"/>
          <w:spacing w:val="0"/>
          <w:w w:val="100"/>
          <w:position w:val="0"/>
        </w:rPr>
        <w:t>2</w:t>
      </w:r>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87,054,049.72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4,352,702.49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16,787,262.44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1,678,726.24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14,511,722.51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4,353,516.75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4,625,467.83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2,312,733.92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1,230,211.53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1,230,211.53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1,896,632.48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1,896,632.48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126,105,346.51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15,824,523.41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7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line="312"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确定应收账款组合的依据详见本节五、</w:t>
      </w:r>
      <w:r>
        <w:rPr>
          <w:rFonts w:ascii="Times New Roman" w:eastAsia="Times New Roman" w:hAnsi="Times New Roman" w:cs="Times New Roman"/>
          <w:color w:val="000000"/>
          <w:spacing w:val="0"/>
          <w:w w:val="100"/>
          <w:position w:val="0"/>
        </w:rPr>
        <w:t>11</w:t>
      </w:r>
      <w:r>
        <w:rPr>
          <w:color w:val="000000"/>
          <w:spacing w:val="0"/>
          <w:w w:val="100"/>
          <w:position w:val="0"/>
        </w:rPr>
        <w:t>、“金融资产减值”。</w:t>
      </w:r>
    </w:p>
    <w:p>
      <w:pPr>
        <w:pStyle w:val="Style31"/>
        <w:keepNext w:val="0"/>
        <w:keepLines w:val="0"/>
        <w:widowControl w:val="0"/>
        <w:shd w:val="clear" w:color="auto" w:fill="auto"/>
        <w:bidi w:val="0"/>
        <w:spacing w:before="0" w:line="312" w:lineRule="exact"/>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合同资产-质保金在质保期限届满之后转入应收账款核算，其账龄连续计算。</w:t>
      </w:r>
    </w:p>
    <w:p>
      <w:pPr>
        <w:pStyle w:val="Style31"/>
        <w:keepNext w:val="0"/>
        <w:keepLines w:val="0"/>
        <w:widowControl w:val="0"/>
        <w:shd w:val="clear" w:color="auto" w:fill="auto"/>
        <w:bidi w:val="0"/>
        <w:spacing w:before="0" w:line="312" w:lineRule="exact"/>
        <w:ind w:left="0" w:right="0" w:firstLine="0"/>
        <w:jc w:val="left"/>
      </w:pPr>
      <w:r>
        <w:rPr>
          <w:color w:val="000000"/>
          <w:spacing w:val="0"/>
          <w:w w:val="100"/>
          <w:position w:val="0"/>
        </w:rPr>
        <w:t>如是按照预期信用损失一般模型计提应收账款坏账准备，请参照其他应收款的披露方式披露坏账准备的相 关信息：</w:t>
      </w:r>
    </w:p>
    <w:p>
      <w:pPr>
        <w:pStyle w:val="Style31"/>
        <w:keepNext w:val="0"/>
        <w:keepLines w:val="0"/>
        <w:widowControl w:val="0"/>
        <w:shd w:val="clear" w:color="auto" w:fill="auto"/>
        <w:bidi w:val="0"/>
        <w:spacing w:before="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val="0"/>
        <w:keepLines w:val="0"/>
        <w:widowControl w:val="0"/>
        <w:shd w:val="clear" w:color="auto" w:fill="auto"/>
        <w:bidi w:val="0"/>
        <w:spacing w:before="0" w:line="312" w:lineRule="exact"/>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140,550,356.58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29,447,379.99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21,950,516.09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8,800,538.98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4,894,301.43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1,401,331.89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2,504,905.66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200,748,791.64</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1598" w:name="bookmark1598"/>
      <w:bookmarkStart w:id="1599" w:name="bookmark1599"/>
      <w:bookmarkStart w:id="1600" w:name="bookmark16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598"/>
      <w:bookmarkEnd w:id="1599"/>
      <w:bookmarkEnd w:id="1600"/>
    </w:p>
    <w:p>
      <w:pPr>
        <w:pStyle w:val="Style21"/>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14,294,631.32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8,277,486.74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22,572,118.06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14,294,631.32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8,277,486.74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22,572,118.06</w:t>
            </w:r>
          </w:p>
        </w:tc>
      </w:tr>
    </w:tbl>
    <w:p>
      <w:pPr>
        <w:spacing w:lineRule="exact" w:line="1"/>
        <w:rPr>
          <w:sz w:val="2"/>
          <w:szCs w:val="2"/>
        </w:rPr>
      </w:pPr>
      <w:r>
        <w:br w:type="page"/>
      </w:r>
    </w:p>
    <w:p>
      <w:pPr>
        <w:pStyle w:val="Style35"/>
        <w:keepNext/>
        <w:keepLines/>
        <w:widowControl w:val="0"/>
        <w:shd w:val="clear" w:color="auto" w:fill="auto"/>
        <w:bidi w:val="0"/>
        <w:spacing w:before="0" w:after="380" w:line="240" w:lineRule="auto"/>
        <w:ind w:left="0" w:right="0" w:firstLine="0"/>
        <w:jc w:val="left"/>
      </w:pPr>
      <w:bookmarkStart w:id="1601" w:name="bookmark1601"/>
      <w:bookmarkStart w:id="1602" w:name="bookmark1602"/>
      <w:bookmarkStart w:id="1603" w:name="bookmark1603"/>
      <w:bookmarkStart w:id="1604" w:name="bookmark1604"/>
      <w:r>
        <w:rPr>
          <w:color w:val="000000"/>
          <w:spacing w:val="0"/>
          <w:w w:val="100"/>
          <w:position w:val="0"/>
        </w:rPr>
        <w:t>（</w:t>
      </w:r>
      <w:bookmarkEnd w:id="1603"/>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601"/>
      <w:bookmarkEnd w:id="1602"/>
      <w:bookmarkEnd w:id="1604"/>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91,532,866.99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8,150,221.51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91,532,866.99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本公司按欠款方归集的年末余额前五名应收账款汇总金额为</w:t>
      </w:r>
      <w:r>
        <w:rPr>
          <w:rFonts w:ascii="Times New Roman" w:eastAsia="Times New Roman" w:hAnsi="Times New Roman" w:cs="Times New Roman"/>
          <w:color w:val="000000"/>
          <w:spacing w:val="0"/>
          <w:w w:val="100"/>
          <w:position w:val="0"/>
        </w:rPr>
        <w:t>91,532,866.99</w:t>
      </w:r>
      <w:r>
        <w:rPr>
          <w:color w:val="000000"/>
          <w:spacing w:val="0"/>
          <w:w w:val="100"/>
          <w:position w:val="0"/>
        </w:rPr>
        <w:t>元，占应收账款年末余额合 计数的比例为</w:t>
      </w:r>
      <w:r>
        <w:rPr>
          <w:rFonts w:ascii="Times New Roman" w:eastAsia="Times New Roman" w:hAnsi="Times New Roman" w:cs="Times New Roman"/>
          <w:color w:val="000000"/>
          <w:spacing w:val="0"/>
          <w:w w:val="100"/>
          <w:position w:val="0"/>
        </w:rPr>
        <w:t>45.60%</w:t>
      </w:r>
      <w:r>
        <w:rPr>
          <w:color w:val="000000"/>
          <w:spacing w:val="0"/>
          <w:w w:val="100"/>
          <w:position w:val="0"/>
        </w:rPr>
        <w:t>，相应计提的坏账准备年末余额汇总金额为</w:t>
      </w:r>
      <w:r>
        <w:rPr>
          <w:rFonts w:ascii="Times New Roman" w:eastAsia="Times New Roman" w:hAnsi="Times New Roman" w:cs="Times New Roman"/>
          <w:color w:val="000000"/>
          <w:spacing w:val="0"/>
          <w:w w:val="100"/>
          <w:position w:val="0"/>
        </w:rPr>
        <w:t>8,150,221.51</w:t>
      </w:r>
      <w:r>
        <w:rPr>
          <w:color w:val="000000"/>
          <w:spacing w:val="0"/>
          <w:w w:val="100"/>
          <w:position w:val="0"/>
        </w:rPr>
        <w:t>元。</w:t>
      </w:r>
    </w:p>
    <w:p>
      <w:pPr>
        <w:pStyle w:val="Style28"/>
        <w:keepNext/>
        <w:keepLines/>
        <w:widowControl w:val="0"/>
        <w:shd w:val="clear" w:color="auto" w:fill="auto"/>
        <w:bidi w:val="0"/>
        <w:spacing w:before="0" w:after="320" w:line="322" w:lineRule="auto"/>
        <w:ind w:left="0" w:right="0" w:firstLine="0"/>
        <w:jc w:val="left"/>
      </w:pPr>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05"/>
      <w:bookmarkEnd w:id="1606"/>
      <w:bookmarkEnd w:id="1607"/>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33,123,576.47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4,170,591.93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33,123,576.47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4,170,591.93</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608" w:name="bookmark1608"/>
      <w:bookmarkStart w:id="1609" w:name="bookmark1609"/>
      <w:bookmarkStart w:id="1610" w:name="bookmark161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608"/>
      <w:bookmarkEnd w:id="1609"/>
      <w:bookmarkEnd w:id="1610"/>
    </w:p>
    <w:p>
      <w:pPr>
        <w:pStyle w:val="Style73"/>
        <w:keepNext/>
        <w:keepLines/>
        <w:widowControl w:val="0"/>
        <w:shd w:val="clear" w:color="auto" w:fill="auto"/>
        <w:bidi w:val="0"/>
        <w:spacing w:before="0" w:after="720" w:line="240" w:lineRule="auto"/>
        <w:ind w:left="0" w:right="0" w:firstLine="0"/>
        <w:jc w:val="left"/>
      </w:pPr>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611"/>
      <w:bookmarkEnd w:id="1612"/>
      <w:bookmarkEnd w:id="1613"/>
    </w:p>
    <w:p>
      <w:pPr>
        <w:pStyle w:val="Style21"/>
        <w:keepNext w:val="0"/>
        <w:keepLines w:val="0"/>
        <w:widowControl w:val="0"/>
        <w:shd w:val="clear" w:color="auto" w:fill="auto"/>
        <w:bidi w:val="0"/>
        <w:spacing w:before="0" w:after="44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28,497,111.91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665,612.50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4,579,265.15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3,733,884.34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356,214.09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380,592.90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28,568.00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代扣代缴社保公积金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119,669.87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95,636.26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-435,824.55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-733,702.07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33,123,576.47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4,170,591.93</w:t>
            </w:r>
          </w:p>
        </w:tc>
      </w:tr>
    </w:tbl>
    <w:p>
      <w:pPr>
        <w:widowControl w:val="0"/>
        <w:spacing w:after="319" w:line="1" w:lineRule="exact"/>
      </w:pPr>
    </w:p>
    <w:p>
      <w:pPr>
        <w:pStyle w:val="Style73"/>
        <w:keepNext/>
        <w:keepLines/>
        <w:widowControl w:val="0"/>
        <w:shd w:val="clear" w:color="auto" w:fill="auto"/>
        <w:bidi w:val="0"/>
        <w:spacing w:before="0" w:line="240" w:lineRule="auto"/>
        <w:ind w:left="0" w:right="0" w:firstLine="0"/>
        <w:jc w:val="left"/>
      </w:pPr>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614"/>
      <w:bookmarkEnd w:id="1615"/>
      <w:bookmarkEnd w:id="1616"/>
    </w:p>
    <w:p>
      <w:pPr>
        <w:pStyle w:val="Style21"/>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5"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733,702.07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733,702.07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-297,877.52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-297,877.52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435,824.55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435,824.55</w:t>
            </w:r>
          </w:p>
        </w:tc>
      </w:tr>
    </w:tbl>
    <w:p>
      <w:pPr>
        <w:widowControl w:val="0"/>
        <w:spacing w:after="199" w:line="1" w:lineRule="exact"/>
      </w:pPr>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rPr>
        <w:t>损失准备本期变动金额重大的账面余额变动情况</w:t>
      </w:r>
    </w:p>
    <w:p>
      <w:pPr>
        <w:pStyle w:val="Style31"/>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31,673,850.40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1,631,475.83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140,986.79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113,088.00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83,088.00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33,559,401.02</w:t>
            </w:r>
          </w:p>
        </w:tc>
      </w:tr>
    </w:tbl>
    <w:p>
      <w:pPr>
        <w:widowControl w:val="0"/>
        <w:spacing w:after="339" w:line="1" w:lineRule="exact"/>
      </w:pPr>
    </w:p>
    <w:p>
      <w:pPr>
        <w:pStyle w:val="Style73"/>
        <w:keepNext/>
        <w:keepLines/>
        <w:widowControl w:val="0"/>
        <w:shd w:val="clear" w:color="auto" w:fill="auto"/>
        <w:bidi w:val="0"/>
        <w:spacing w:before="0" w:after="340" w:line="240" w:lineRule="auto"/>
        <w:ind w:left="0" w:right="0" w:firstLine="0"/>
        <w:jc w:val="left"/>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3</w:t>
      </w:r>
      <w:bookmarkEnd w:id="1619"/>
      <w:r>
        <w:rPr>
          <w:color w:val="000000"/>
          <w:spacing w:val="0"/>
          <w:w w:val="100"/>
          <w:position w:val="0"/>
        </w:rPr>
        <w:t>）本期计提、收回或转回的坏账准备情况</w:t>
      </w:r>
      <w:bookmarkEnd w:id="1617"/>
      <w:bookmarkEnd w:id="1618"/>
      <w:bookmarkEnd w:id="1620"/>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4"/>
        <w:gridCol w:w="158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733,702.07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-297,877.52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435,824.55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733,702.07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-297,877.52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435,824.55</w:t>
            </w:r>
          </w:p>
        </w:tc>
      </w:tr>
    </w:tbl>
    <w:p>
      <w:pPr>
        <w:widowControl w:val="0"/>
        <w:spacing w:after="339" w:line="1" w:lineRule="exact"/>
      </w:pPr>
    </w:p>
    <w:p>
      <w:pPr>
        <w:pStyle w:val="Style73"/>
        <w:keepNext/>
        <w:keepLines/>
        <w:widowControl w:val="0"/>
        <w:shd w:val="clear" w:color="auto" w:fill="auto"/>
        <w:bidi w:val="0"/>
        <w:spacing w:before="0" w:after="34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4</w:t>
      </w:r>
      <w:bookmarkEnd w:id="1623"/>
      <w:r>
        <w:rPr>
          <w:color w:val="000000"/>
          <w:spacing w:val="0"/>
          <w:w w:val="100"/>
          <w:position w:val="0"/>
        </w:rPr>
        <w:t>）本期实际核销的其他应收款情况</w:t>
      </w:r>
      <w:bookmarkEnd w:id="1621"/>
      <w:bookmarkEnd w:id="1622"/>
      <w:bookmarkEnd w:id="1624"/>
    </w:p>
    <w:p>
      <w:pPr>
        <w:pStyle w:val="Style31"/>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本年无实际核销的其他应收款情况。</w:t>
      </w:r>
      <w:r>
        <w:br w:type="page"/>
      </w:r>
    </w:p>
    <w:p>
      <w:pPr>
        <w:pStyle w:val="Style73"/>
        <w:keepNext/>
        <w:keepLines/>
        <w:widowControl w:val="0"/>
        <w:shd w:val="clear" w:color="auto" w:fill="auto"/>
        <w:bidi w:val="0"/>
        <w:spacing w:before="0" w:after="40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5</w:t>
      </w:r>
      <w:bookmarkEnd w:id="1627"/>
      <w:r>
        <w:rPr>
          <w:color w:val="000000"/>
          <w:spacing w:val="0"/>
          <w:w w:val="100"/>
          <w:position w:val="0"/>
        </w:rPr>
        <w:t>）按欠款方归集的期末余额前五名的其他应收款情况</w:t>
      </w:r>
      <w:bookmarkEnd w:id="1625"/>
      <w:bookmarkEnd w:id="1626"/>
      <w:bookmarkEnd w:id="1628"/>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26"/>
        <w:gridCol w:w="994"/>
        <w:gridCol w:w="1416"/>
        <w:gridCol w:w="1421"/>
        <w:gridCol w:w="1714"/>
        <w:gridCol w:w="144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占其他应收款期末余 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坏账准备期末余 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广东天亿马信息科技有限公司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26,941,803.51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天亿马信息技术有限公司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重庆天亿马信息技术有限公司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755,308.40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广东汕头幼儿师范高等专科学校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833,434.12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83,343.41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汕头市濠江区教育局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553,527.75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42,552.78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29,884,073.78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125,896.19</w:t>
            </w:r>
          </w:p>
        </w:tc>
      </w:tr>
    </w:tbl>
    <w:p>
      <w:pPr>
        <w:widowControl w:val="0"/>
        <w:spacing w:after="339" w:line="1" w:lineRule="exact"/>
      </w:pPr>
    </w:p>
    <w:p>
      <w:pPr>
        <w:pStyle w:val="Style28"/>
        <w:keepNext/>
        <w:keepLines/>
        <w:widowControl w:val="0"/>
        <w:shd w:val="clear" w:color="auto" w:fill="auto"/>
        <w:bidi w:val="0"/>
        <w:spacing w:before="0" w:after="400" w:line="240" w:lineRule="auto"/>
        <w:ind w:left="0" w:right="0" w:firstLine="0"/>
        <w:jc w:val="both"/>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3</w:t>
      </w:r>
      <w:bookmarkEnd w:id="1631"/>
      <w:r>
        <w:rPr>
          <w:color w:val="000000"/>
          <w:spacing w:val="0"/>
          <w:w w:val="100"/>
          <w:position w:val="0"/>
        </w:rPr>
        <w:t>、长期股权投资</w:t>
      </w:r>
      <w:bookmarkEnd w:id="1629"/>
      <w:bookmarkEnd w:id="1630"/>
      <w:bookmarkEnd w:id="1632"/>
    </w:p>
    <w:p>
      <w:pPr>
        <w:pStyle w:val="Style21"/>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58,517,111.42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58,517,111.42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58,517,111.42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58,517,111.42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58,517,111.42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58,517,111.42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58,517,111.42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58,517,111.42</w:t>
            </w: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1633" w:name="bookmark1633"/>
      <w:bookmarkStart w:id="1634" w:name="bookmark1634"/>
      <w:bookmarkStart w:id="1635" w:name="bookmark16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33"/>
      <w:bookmarkEnd w:id="1634"/>
      <w:bookmarkEnd w:id="1635"/>
    </w:p>
    <w:p>
      <w:pPr>
        <w:pStyle w:val="Style1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43"/>
        <w:gridCol w:w="1546"/>
        <w:gridCol w:w="701"/>
        <w:gridCol w:w="706"/>
        <w:gridCol w:w="1013"/>
        <w:gridCol w:w="394"/>
        <w:gridCol w:w="1546"/>
        <w:gridCol w:w="133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深圳市互联精英信息技术有限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天亿马（香港）信息产业有限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7,111.42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重庆天亿马信息技术有限公司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天亿马信息技术有限公司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广东天亿马信息科技有限公司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58,517,111.42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58,517,111.42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keepLines/>
        <w:widowControl w:val="0"/>
        <w:shd w:val="clear" w:color="auto" w:fill="auto"/>
        <w:bidi w:val="0"/>
        <w:spacing w:before="0" w:after="40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4</w:t>
      </w:r>
      <w:bookmarkEnd w:id="1638"/>
      <w:r>
        <w:rPr>
          <w:color w:val="000000"/>
          <w:spacing w:val="0"/>
          <w:w w:val="100"/>
          <w:position w:val="0"/>
        </w:rPr>
        <w:t>、营业收入和营业成本</w:t>
      </w:r>
      <w:bookmarkEnd w:id="1636"/>
      <w:bookmarkEnd w:id="1637"/>
      <w:bookmarkEnd w:id="1639"/>
    </w:p>
    <w:p>
      <w:pPr>
        <w:pStyle w:val="Style21"/>
        <w:keepNext w:val="0"/>
        <w:keepLines w:val="0"/>
        <w:widowControl w:val="0"/>
        <w:shd w:val="clear" w:color="auto" w:fill="auto"/>
        <w:bidi w:val="0"/>
        <w:spacing w:before="0" w:after="3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446,241,941.88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337,539,837.27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304,752,156.68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203,581,511.67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398,707.54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275,099.14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204,245.28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128,764.47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446,640,649.42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337,814,936.41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304,956,401.96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203,710,276.14</w:t>
            </w:r>
          </w:p>
        </w:tc>
      </w:tr>
    </w:tbl>
    <w:p>
      <w:pPr>
        <w:widowControl w:val="0"/>
        <w:spacing w:after="79" w:line="1" w:lineRule="exact"/>
      </w:pPr>
    </w:p>
    <w:p>
      <w:pPr>
        <w:pStyle w:val="Style31"/>
        <w:keepNext w:val="0"/>
        <w:keepLines w:val="0"/>
        <w:widowControl w:val="0"/>
        <w:shd w:val="clear" w:color="auto" w:fill="auto"/>
        <w:bidi w:val="0"/>
        <w:spacing w:before="0" w:after="80" w:line="240" w:lineRule="auto"/>
        <w:ind w:left="0" w:right="0" w:firstLine="0"/>
        <w:jc w:val="both"/>
      </w:pPr>
      <w:r>
        <w:rPr>
          <w:color w:val="000000"/>
          <w:spacing w:val="0"/>
          <w:w w:val="100"/>
          <w:position w:val="0"/>
        </w:rPr>
        <w:t>与履约义务相关的信息：无。</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与分摊至剩余履约义务的交易价格相关的信息：无。</w:t>
      </w:r>
    </w:p>
    <w:p>
      <w:pPr>
        <w:pStyle w:val="Style25"/>
        <w:keepNext/>
        <w:keepLines/>
        <w:widowControl w:val="0"/>
        <w:shd w:val="clear" w:color="auto" w:fill="auto"/>
        <w:bidi w:val="0"/>
        <w:spacing w:before="0" w:after="360" w:line="240" w:lineRule="auto"/>
        <w:ind w:left="0" w:right="0" w:firstLine="0"/>
        <w:jc w:val="both"/>
      </w:pPr>
      <w:bookmarkStart w:id="1640" w:name="bookmark1640"/>
      <w:bookmarkStart w:id="1641" w:name="bookmark1641"/>
      <w:bookmarkStart w:id="1642" w:name="bookmark1642"/>
      <w:r>
        <w:rPr>
          <w:color w:val="000000"/>
          <w:spacing w:val="0"/>
          <w:w w:val="100"/>
          <w:position w:val="0"/>
        </w:rPr>
        <w:t>十七、补充资料</w:t>
      </w:r>
      <w:bookmarkEnd w:id="1640"/>
      <w:bookmarkEnd w:id="1641"/>
      <w:bookmarkEnd w:id="1642"/>
    </w:p>
    <w:p>
      <w:pPr>
        <w:pStyle w:val="Style28"/>
        <w:keepNext/>
        <w:keepLines/>
        <w:widowControl w:val="0"/>
        <w:shd w:val="clear" w:color="auto" w:fill="auto"/>
        <w:bidi w:val="0"/>
        <w:spacing w:before="0" w:line="240" w:lineRule="auto"/>
        <w:ind w:left="0" w:right="0" w:firstLine="0"/>
        <w:jc w:val="both"/>
      </w:pPr>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43"/>
      <w:bookmarkEnd w:id="1644"/>
      <w:bookmarkEnd w:id="1645"/>
    </w:p>
    <w:p>
      <w:pPr>
        <w:pStyle w:val="Style2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240,565.11</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4,173,860.35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-16,735.50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28,035.82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717,129.92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3,708,588.12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line="240" w:lineRule="auto"/>
        <w:ind w:left="0" w:right="0" w:firstLine="0"/>
        <w:jc w:val="both"/>
      </w:pPr>
      <w:r>
        <w:rPr>
          <w:color w:val="000000"/>
          <w:spacing w:val="0"/>
          <w:w w:val="100"/>
          <w:position w:val="0"/>
        </w:rPr>
        <w:t>其他符合非经常性损益定义的损益项目的具体情况:</w:t>
      </w:r>
    </w:p>
    <w:p>
      <w:pPr>
        <w:pStyle w:val="Style31"/>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val="0"/>
        <w:keepLines w:val="0"/>
        <w:widowControl w:val="0"/>
        <w:shd w:val="clear" w:color="auto" w:fill="auto"/>
        <w:bidi w:val="0"/>
        <w:spacing w:before="0" w:line="317" w:lineRule="exact"/>
        <w:ind w:left="0" w:right="0" w:firstLine="56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：非经常性损益项目中的数字</w:t>
      </w:r>
      <w:r>
        <w:rPr>
          <w:rFonts w:ascii="Times New Roman" w:eastAsia="Times New Roman" w:hAnsi="Times New Roman" w:cs="Times New Roman"/>
          <w:color w:val="000000"/>
          <w:spacing w:val="0"/>
          <w:w w:val="100"/>
          <w:position w:val="0"/>
        </w:rPr>
        <w:t>"+”</w:t>
      </w:r>
      <w:r>
        <w:rPr>
          <w:color w:val="000000"/>
          <w:spacing w:val="0"/>
          <w:w w:val="100"/>
          <w:position w:val="0"/>
        </w:rPr>
        <w:t>表示收益及收入，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表示损失或支出。</w:t>
      </w:r>
    </w:p>
    <w:p>
      <w:pPr>
        <w:pStyle w:val="Style31"/>
        <w:keepNext w:val="0"/>
        <w:keepLines w:val="0"/>
        <w:widowControl w:val="0"/>
        <w:shd w:val="clear" w:color="auto" w:fill="auto"/>
        <w:bidi w:val="0"/>
        <w:spacing w:before="0" w:line="317" w:lineRule="exact"/>
        <w:ind w:left="0" w:right="0" w:firstLine="56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：本集团对非经常性损益项目的确认依照《公开发行证券的公司信息披露解释性公告第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 非经常性损益》（证监会公告</w:t>
      </w:r>
      <w:r>
        <w:rPr>
          <w:rFonts w:ascii="Times New Roman" w:eastAsia="Times New Roman" w:hAnsi="Times New Roman" w:cs="Times New Roman"/>
          <w:color w:val="000000"/>
          <w:spacing w:val="0"/>
          <w:w w:val="100"/>
          <w:position w:val="0"/>
        </w:rPr>
        <w:t>[2008]43</w:t>
      </w:r>
      <w:r>
        <w:rPr>
          <w:color w:val="000000"/>
          <w:spacing w:val="0"/>
          <w:w w:val="100"/>
          <w:position w:val="0"/>
        </w:rPr>
        <w:t>号）的规定执行。</w:t>
      </w:r>
    </w:p>
    <w:p>
      <w:pPr>
        <w:pStyle w:val="Style31"/>
        <w:keepNext w:val="0"/>
        <w:keepLines w:val="0"/>
        <w:widowControl w:val="0"/>
        <w:shd w:val="clear" w:color="auto" w:fill="auto"/>
        <w:bidi w:val="0"/>
        <w:spacing w:before="0" w:after="360" w:line="317" w:lineRule="exact"/>
        <w:ind w:left="0" w:right="0" w:firstLine="56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：其他符合非经常性损益定义的损益项目，包括银行理财产品取得的投资收益、代扣个人所得税 手续费返还、增值税进项税额加计扣除等</w:t>
      </w:r>
    </w:p>
    <w:p>
      <w:pPr>
        <w:pStyle w:val="Style31"/>
        <w:keepNext w:val="0"/>
        <w:keepLines w:val="0"/>
        <w:widowControl w:val="0"/>
        <w:shd w:val="clear" w:color="auto" w:fill="auto"/>
        <w:bidi w:val="0"/>
        <w:spacing w:before="0" w:after="8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 为经常性损益项目的情况说明</w:t>
      </w:r>
    </w:p>
    <w:p>
      <w:pPr>
        <w:pStyle w:val="Style31"/>
        <w:keepNext w:val="0"/>
        <w:keepLines w:val="0"/>
        <w:widowControl w:val="0"/>
        <w:shd w:val="clear" w:color="auto" w:fill="auto"/>
        <w:bidi w:val="0"/>
        <w:spacing w:before="0" w:line="317"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tbl>
      <w:tblPr>
        <w:tblOverlap w:val="never"/>
        <w:jc w:val="center"/>
        <w:tblLayout w:type="fixed"/>
      </w:tblPr>
      <w:tblGrid>
        <w:gridCol w:w="3547"/>
        <w:gridCol w:w="2126"/>
        <w:gridCol w:w="3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软件产品增值税税负超过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部分即征即退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78,168.18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与公司主营业务活动相关，可以持续取得</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46"/>
      <w:bookmarkEnd w:id="1647"/>
      <w:bookmarkEnd w:id="1648"/>
    </w:p>
    <w:tbl>
      <w:tblPr>
        <w:tblOverlap w:val="never"/>
        <w:jc w:val="center"/>
        <w:tblLayout w:type="fixed"/>
      </w:tblPr>
      <w:tblGrid>
        <w:gridCol w:w="3547"/>
        <w:gridCol w:w="2208"/>
        <w:gridCol w:w="1906"/>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r>
    </w:tbl>
    <w:p>
      <w:pPr>
        <w:widowControl w:val="0"/>
        <w:spacing w:after="779" w:line="1" w:lineRule="exact"/>
      </w:pP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广东天亿马信息产业股份有限公司</w:t>
      </w:r>
    </w:p>
    <w:p>
      <w:pPr>
        <w:pStyle w:val="Style64"/>
        <w:keepNext w:val="0"/>
        <w:keepLines w:val="0"/>
        <w:widowControl w:val="0"/>
        <w:shd w:val="clear" w:color="auto" w:fill="auto"/>
        <w:bidi w:val="0"/>
        <w:spacing w:before="0" w:after="320" w:line="240" w:lineRule="auto"/>
        <w:ind w:left="0" w:right="0" w:firstLine="0"/>
        <w:jc w:val="righ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sectPr>
      <w:footnotePr>
        <w:pos w:val="pageBottom"/>
        <w:numFmt w:val="decimal"/>
        <w:numRestart w:val="continuous"/>
      </w:footnotePr>
      <w:pgSz w:w="11900" w:h="16840"/>
      <w:pgMar w:top="1254" w:right="994" w:bottom="1436" w:left="100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9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5"/>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0">
    <w:name w:val="Heading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2">
    <w:name w:val="Body text (3)_"/>
    <w:basedOn w:val="DefaultParagraphFont"/>
    <w:link w:val="Style11"/>
    <w:rPr>
      <w:rFonts w:ascii="SimSun" w:eastAsia="SimSun" w:hAnsi="SimSun" w:cs="SimSun"/>
      <w:b/>
      <w:bCs/>
      <w:i w:val="0"/>
      <w:iCs w:val="0"/>
      <w:smallCaps w:val="0"/>
      <w:strike w:val="0"/>
      <w:sz w:val="28"/>
      <w:szCs w:val="28"/>
      <w:u w:val="none"/>
      <w:shd w:val="clear" w:color="auto" w:fill="auto"/>
    </w:rPr>
  </w:style>
  <w:style w:type="character" w:customStyle="1" w:styleId="CharStyle15">
    <w:name w:val="Table caption_"/>
    <w:basedOn w:val="DefaultParagraphFont"/>
    <w:link w:val="Style14"/>
    <w:rPr>
      <w:rFonts w:ascii="SimSun" w:eastAsia="SimSun" w:hAnsi="SimSun" w:cs="SimSun"/>
      <w:b w:val="0"/>
      <w:bCs w:val="0"/>
      <w:i w:val="0"/>
      <w:iCs w:val="0"/>
      <w:smallCaps w:val="0"/>
      <w:strike w:val="0"/>
      <w:sz w:val="17"/>
      <w:szCs w:val="17"/>
      <w:u w:val="none"/>
      <w:shd w:val="clear" w:color="auto" w:fill="auto"/>
    </w:rPr>
  </w:style>
  <w:style w:type="character" w:customStyle="1" w:styleId="CharStyle19">
    <w:name w:val="Table of contents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2">
    <w:name w:val="Body text (2)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Heading #2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29">
    <w:name w:val="Heading #3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2">
    <w:name w:val="Body text_"/>
    <w:basedOn w:val="DefaultParagraphFont"/>
    <w:link w:val="Style31"/>
    <w:rPr>
      <w:rFonts w:ascii="SimSun" w:eastAsia="SimSun" w:hAnsi="SimSun" w:cs="SimSun"/>
      <w:b w:val="0"/>
      <w:bCs w:val="0"/>
      <w:i w:val="0"/>
      <w:iCs w:val="0"/>
      <w:smallCaps w:val="0"/>
      <w:strike w:val="0"/>
      <w:sz w:val="20"/>
      <w:szCs w:val="20"/>
      <w:u w:val="none"/>
      <w:shd w:val="clear" w:color="auto" w:fill="auto"/>
    </w:rPr>
  </w:style>
  <w:style w:type="character" w:customStyle="1" w:styleId="CharStyle36">
    <w:name w:val="Heading #4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65">
    <w:name w:val="Body text (6)_"/>
    <w:basedOn w:val="DefaultParagraphFont"/>
    <w:link w:val="Style6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4">
    <w:name w:val="Heading #5_"/>
    <w:basedOn w:val="DefaultParagraphFont"/>
    <w:link w:val="Style73"/>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9">
    <w:name w:val="Heading #1"/>
    <w:basedOn w:val="Normal"/>
    <w:link w:val="CharStyle10"/>
    <w:pPr>
      <w:widowControl w:val="0"/>
      <w:shd w:val="clear" w:color="auto" w:fill="auto"/>
      <w:spacing w:before="26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1">
    <w:name w:val="Body text (3)"/>
    <w:basedOn w:val="Normal"/>
    <w:link w:val="CharStyle12"/>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4">
    <w:name w:val="Table caption"/>
    <w:basedOn w:val="Normal"/>
    <w:link w:val="CharStyle15"/>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18">
    <w:name w:val="Table of contents"/>
    <w:basedOn w:val="Normal"/>
    <w:link w:val="CharStyle19"/>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1">
    <w:name w:val="Body text (2)"/>
    <w:basedOn w:val="Normal"/>
    <w:link w:val="CharStyle22"/>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Heading #2"/>
    <w:basedOn w:val="Normal"/>
    <w:link w:val="CharStyle26"/>
    <w:pPr>
      <w:widowControl w:val="0"/>
      <w:shd w:val="clear" w:color="auto" w:fill="auto"/>
      <w:spacing w:after="35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8">
    <w:name w:val="Heading #3"/>
    <w:basedOn w:val="Normal"/>
    <w:link w:val="CharStyle29"/>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styleId="Style31">
    <w:name w:val="Body text"/>
    <w:basedOn w:val="Normal"/>
    <w:link w:val="CharStyle32"/>
    <w:qFormat/>
    <w:pPr>
      <w:widowControl w:val="0"/>
      <w:shd w:val="clear" w:color="auto" w:fill="auto"/>
      <w:spacing w:after="140"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5">
    <w:name w:val="Heading #4"/>
    <w:basedOn w:val="Normal"/>
    <w:link w:val="CharStyle36"/>
    <w:pPr>
      <w:widowControl w:val="0"/>
      <w:shd w:val="clear" w:color="auto" w:fill="auto"/>
      <w:spacing w:after="370" w:line="310" w:lineRule="exact"/>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4">
    <w:name w:val="Body text (6)"/>
    <w:basedOn w:val="Normal"/>
    <w:link w:val="CharStyle65"/>
    <w:pPr>
      <w:widowControl w:val="0"/>
      <w:shd w:val="clear" w:color="auto" w:fill="auto"/>
      <w:spacing w:after="220"/>
      <w:ind w:firstLine="44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3">
    <w:name w:val="Heading #5"/>
    <w:basedOn w:val="Normal"/>
    <w:link w:val="CharStyle74"/>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广东天亿马信息产业股份有限公司2021年年度报告全文</dc:title>
  <dc:subject/>
  <dc:creator>广东天亿马信息产业股份有限公司</dc:creator>
  <cp:keywords/>
</cp:coreProperties>
</file>