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aSoftStone</w:t>
      </w:r>
      <w:bookmarkEnd w:id="0"/>
      <w:bookmarkEnd w:id="1"/>
      <w:bookmarkEnd w:id="2"/>
    </w:p>
    <w:p>
      <w:pPr>
        <w:pStyle w:val="Style4"/>
        <w:keepNext w:val="0"/>
        <w:keepLines w:val="0"/>
        <w:widowControl w:val="0"/>
        <w:shd w:val="clear" w:color="auto" w:fill="auto"/>
        <w:tabs>
          <w:tab w:leader="hyphen" w:pos="1123" w:val="left"/>
          <w:tab w:leader="hyphen" w:pos="3749" w:val="left"/>
        </w:tabs>
        <w:bidi w:val="0"/>
        <w:spacing w:before="0" w:line="240" w:lineRule="auto"/>
        <w:ind w:left="0" w:right="0" w:firstLine="0"/>
        <w:jc w:val="center"/>
      </w:pPr>
      <w:r>
        <w:rPr>
          <w:spacing w:val="0"/>
          <w:w w:val="100"/>
          <w:position w:val="0"/>
        </w:rPr>
        <w:tab/>
        <w:t>软通血门</w:t>
        <w:tab/>
      </w:r>
    </w:p>
    <w:p>
      <w:pPr>
        <w:pStyle w:val="Style6"/>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软通动力信息技术（集团）股份有限公司</w:t>
      </w:r>
    </w:p>
    <w:p>
      <w:pPr>
        <w:pStyle w:val="Style8"/>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2022-011</w:t>
      </w:r>
    </w:p>
    <w:p>
      <w:pPr>
        <w:pStyle w:val="Style1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3634" w:right="970" w:bottom="3634"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16"/>
        <w:keepNext w:val="0"/>
        <w:keepLines w:val="0"/>
        <w:widowControl w:val="0"/>
        <w:shd w:val="clear" w:color="auto" w:fill="auto"/>
        <w:bidi w:val="0"/>
        <w:spacing w:before="0"/>
        <w:ind w:left="0" w:right="0"/>
        <w:jc w:val="both"/>
      </w:pPr>
      <w:r>
        <w:rPr>
          <w:color w:val="000000"/>
          <w:spacing w:val="0"/>
          <w:w w:val="100"/>
          <w:position w:val="0"/>
        </w:rPr>
        <w:t>公司负责人刘天文、主管会计工作负责人张成及会计机构负责人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王艳菲声明：保证本年度报告中财务报告的真实、准确、完整。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公司在本报告第三节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 描述了公司业务发展可能面临的主要风险，敬请投资者关注相关内容。</w:t>
      </w:r>
    </w:p>
    <w:p>
      <w:pPr>
        <w:pStyle w:val="Style16"/>
        <w:keepNext w:val="0"/>
        <w:keepLines w:val="0"/>
        <w:widowControl w:val="0"/>
        <w:shd w:val="clear" w:color="auto" w:fill="auto"/>
        <w:bidi w:val="0"/>
        <w:spacing w:before="0" w:line="626" w:lineRule="exact"/>
        <w:ind w:left="0" w:right="0"/>
        <w:jc w:val="both"/>
        <w:sectPr>
          <w:footnotePr>
            <w:pos w:val="pageBottom"/>
            <w:numFmt w:val="decimal"/>
            <w:numRestart w:val="continuous"/>
          </w:footnotePr>
          <w:pgSz w:w="11900" w:h="16840"/>
          <w:pgMar w:top="1969" w:right="970" w:bottom="1969"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423,529,412</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6"/>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21"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64"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347"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498"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513"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648"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714"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pPr>
      <w:hyperlink w:anchor="bookmark719"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sectPr>
          <w:footnotePr>
            <w:pos w:val="pageBottom"/>
            <w:numFmt w:val="decimal"/>
            <w:numRestart w:val="continuous"/>
          </w:footnotePr>
          <w:pgSz w:w="11900" w:h="16840"/>
          <w:pgMar w:top="2857" w:right="1118" w:bottom="2857" w:left="1104" w:header="0" w:footer="3" w:gutter="0"/>
          <w:cols w:space="720"/>
          <w:noEndnote/>
          <w:rtlGutter w:val="0"/>
          <w:docGrid w:linePitch="360"/>
        </w:sectPr>
      </w:pPr>
      <w:hyperlink w:anchor="bookmark722"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r>
        <w:fldChar w:fldCharType="end"/>
      </w:r>
    </w:p>
    <w:p>
      <w:pPr>
        <w:pStyle w:val="Style8"/>
        <w:keepNext/>
        <w:keepLines/>
        <w:widowControl w:val="0"/>
        <w:shd w:val="clear" w:color="auto" w:fill="auto"/>
        <w:bidi w:val="0"/>
        <w:spacing w:before="640" w:after="880" w:line="240" w:lineRule="auto"/>
        <w:ind w:left="0" w:right="0" w:firstLine="0"/>
        <w:jc w:val="center"/>
      </w:pPr>
      <w:bookmarkStart w:id="10" w:name="bookmark10"/>
      <w:bookmarkStart w:id="11" w:name="bookmark11"/>
      <w:bookmarkStart w:id="12" w:name="bookmark12"/>
      <w:r>
        <w:rPr>
          <w:color w:val="000000"/>
          <w:spacing w:val="0"/>
          <w:w w:val="100"/>
          <w:position w:val="0"/>
        </w:rPr>
        <w:t>备查文件目录</w:t>
      </w:r>
      <w:bookmarkEnd w:id="10"/>
      <w:bookmarkEnd w:id="11"/>
      <w:bookmarkEnd w:id="12"/>
    </w:p>
    <w:p>
      <w:pPr>
        <w:pStyle w:val="Style22"/>
        <w:keepNext w:val="0"/>
        <w:keepLines w:val="0"/>
        <w:widowControl w:val="0"/>
        <w:shd w:val="clear" w:color="auto" w:fill="auto"/>
        <w:tabs>
          <w:tab w:pos="531" w:val="left"/>
        </w:tabs>
        <w:bidi w:val="0"/>
        <w:spacing w:before="0" w:after="140" w:line="240" w:lineRule="auto"/>
        <w:ind w:left="0" w:right="0" w:firstLine="0"/>
        <w:jc w:val="left"/>
      </w:pPr>
      <w:bookmarkStart w:id="13" w:name="bookmark13"/>
      <w:r>
        <w:rPr>
          <w:color w:val="000000"/>
          <w:spacing w:val="0"/>
          <w:w w:val="100"/>
          <w:position w:val="0"/>
        </w:rPr>
        <w:t>（</w:t>
      </w:r>
      <w:bookmarkEnd w:id="13"/>
      <w:r>
        <w:rPr>
          <w:color w:val="000000"/>
          <w:spacing w:val="0"/>
          <w:w w:val="100"/>
          <w:position w:val="0"/>
        </w:rPr>
        <w:t>一）</w:t>
        <w:tab/>
        <w:t>载有公司负责人、主管会计工作负责人、会计机构负责人（会计主管人员）签名并盖章的财务报表。</w:t>
      </w:r>
    </w:p>
    <w:p>
      <w:pPr>
        <w:pStyle w:val="Style22"/>
        <w:keepNext w:val="0"/>
        <w:keepLines w:val="0"/>
        <w:widowControl w:val="0"/>
        <w:shd w:val="clear" w:color="auto" w:fill="auto"/>
        <w:tabs>
          <w:tab w:pos="531" w:val="left"/>
        </w:tabs>
        <w:bidi w:val="0"/>
        <w:spacing w:before="0" w:after="140" w:line="240" w:lineRule="auto"/>
        <w:ind w:left="0" w:right="0" w:firstLine="0"/>
        <w:jc w:val="left"/>
      </w:pPr>
      <w:bookmarkStart w:id="14" w:name="bookmark14"/>
      <w:r>
        <w:rPr>
          <w:color w:val="000000"/>
          <w:spacing w:val="0"/>
          <w:w w:val="100"/>
          <w:position w:val="0"/>
        </w:rPr>
        <w:t>（</w:t>
      </w:r>
      <w:bookmarkEnd w:id="14"/>
      <w:r>
        <w:rPr>
          <w:color w:val="000000"/>
          <w:spacing w:val="0"/>
          <w:w w:val="100"/>
          <w:position w:val="0"/>
        </w:rPr>
        <w:t>二）</w:t>
        <w:tab/>
        <w:t>载有会计师事务所盖章、注册会计师签名并盖章的审计报告原件。</w:t>
      </w:r>
    </w:p>
    <w:p>
      <w:pPr>
        <w:pStyle w:val="Style22"/>
        <w:keepNext w:val="0"/>
        <w:keepLines w:val="0"/>
        <w:widowControl w:val="0"/>
        <w:shd w:val="clear" w:color="auto" w:fill="auto"/>
        <w:tabs>
          <w:tab w:pos="531" w:val="left"/>
        </w:tabs>
        <w:bidi w:val="0"/>
        <w:spacing w:before="0" w:after="140" w:line="240" w:lineRule="auto"/>
        <w:ind w:left="0" w:right="0" w:firstLine="0"/>
        <w:jc w:val="left"/>
      </w:pPr>
      <w:bookmarkStart w:id="15" w:name="bookmark15"/>
      <w:r>
        <w:rPr>
          <w:color w:val="000000"/>
          <w:spacing w:val="0"/>
          <w:w w:val="100"/>
          <w:position w:val="0"/>
        </w:rPr>
        <w:t>（</w:t>
      </w:r>
      <w:bookmarkEnd w:id="15"/>
      <w:r>
        <w:rPr>
          <w:color w:val="000000"/>
          <w:spacing w:val="0"/>
          <w:w w:val="100"/>
          <w:position w:val="0"/>
        </w:rPr>
        <w:t>三）</w:t>
        <w:tab/>
        <w:t>报告期内公开披露过的所有公司文件的正本及公告的原稿。</w:t>
      </w:r>
    </w:p>
    <w:p>
      <w:pPr>
        <w:pStyle w:val="Style22"/>
        <w:keepNext w:val="0"/>
        <w:keepLines w:val="0"/>
        <w:widowControl w:val="0"/>
        <w:shd w:val="clear" w:color="auto" w:fill="auto"/>
        <w:tabs>
          <w:tab w:pos="531" w:val="left"/>
        </w:tabs>
        <w:bidi w:val="0"/>
        <w:spacing w:before="0" w:after="140" w:line="240" w:lineRule="auto"/>
        <w:ind w:left="0" w:right="0" w:firstLine="0"/>
        <w:jc w:val="left"/>
      </w:pPr>
      <w:bookmarkStart w:id="16" w:name="bookmark16"/>
      <w:r>
        <w:rPr>
          <w:color w:val="000000"/>
          <w:spacing w:val="0"/>
          <w:w w:val="100"/>
          <w:position w:val="0"/>
        </w:rPr>
        <w:t>（</w:t>
      </w:r>
      <w:bookmarkEnd w:id="16"/>
      <w:r>
        <w:rPr>
          <w:color w:val="000000"/>
          <w:spacing w:val="0"/>
          <w:w w:val="100"/>
          <w:position w:val="0"/>
        </w:rPr>
        <w:t>四）</w:t>
        <w:tab/>
        <w:t>在其他证券市场公布的年度报告。</w:t>
      </w:r>
      <w:r>
        <w:br w:type="page"/>
      </w:r>
    </w:p>
    <w:p>
      <w:pPr>
        <w:pStyle w:val="Style8"/>
        <w:keepNext/>
        <w:keepLines/>
        <w:widowControl w:val="0"/>
        <w:shd w:val="clear" w:color="auto" w:fill="auto"/>
        <w:bidi w:val="0"/>
        <w:spacing w:before="0" w:after="800" w:line="240" w:lineRule="auto"/>
        <w:ind w:left="0" w:right="0" w:firstLine="0"/>
        <w:jc w:val="center"/>
      </w:pPr>
      <w:bookmarkStart w:id="17" w:name="bookmark17"/>
      <w:bookmarkStart w:id="18" w:name="bookmark18"/>
      <w:bookmarkStart w:id="19" w:name="bookmark19"/>
      <w:r>
        <w:rPr>
          <w:color w:val="000000"/>
          <w:spacing w:val="0"/>
          <w:w w:val="100"/>
          <w:position w:val="0"/>
        </w:rPr>
        <w:t>释义</w:t>
      </w:r>
      <w:bookmarkEnd w:id="17"/>
      <w:bookmarkEnd w:id="18"/>
      <w:bookmarkEnd w:id="19"/>
    </w:p>
    <w:tbl>
      <w:tblPr>
        <w:tblOverlap w:val="never"/>
        <w:jc w:val="center"/>
        <w:tblLayout w:type="fixed"/>
      </w:tblPr>
      <w:tblGrid>
        <w:gridCol w:w="1853"/>
        <w:gridCol w:w="1133"/>
        <w:gridCol w:w="66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软通动力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软通动力信息技术（集团）股份有限公司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舟山长通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舟山长通投资合伙企业（有限合伙）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软石智动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无锡软石智动投资企业（有限合伙）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光大控股</w:t>
            </w:r>
            <w:r>
              <w:rPr>
                <w:rFonts w:ascii="Times New Roman" w:eastAsia="Times New Roman" w:hAnsi="Times New Roman" w:cs="Times New Roman"/>
                <w:color w:val="000000"/>
                <w:spacing w:val="0"/>
                <w:w w:val="100"/>
                <w:position w:val="0"/>
                <w:sz w:val="18"/>
                <w:szCs w:val="18"/>
              </w:rPr>
              <w:t>/CEL</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China Everbright Limited </w:t>
            </w:r>
            <w:r>
              <w:rPr>
                <w:color w:val="000000"/>
                <w:spacing w:val="0"/>
                <w:w w:val="100"/>
                <w:position w:val="0"/>
              </w:rPr>
              <w:t>（中国光大控股有限公司）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 Bravo</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 Bravo Limited</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FNOF Easynet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FNOF Easynet （HK） Limited</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 Cherish</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 Cherish Limited</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Venturous</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Venturous Limited</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Rise Group International （HK） Limited </w:t>
            </w:r>
            <w:r>
              <w:rPr>
                <w:color w:val="000000"/>
                <w:spacing w:val="0"/>
                <w:w w:val="100"/>
                <w:position w:val="0"/>
              </w:rPr>
              <w:t>（晋汇国际（香港）有限公司）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云锋麒泰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上海云锋麒泰投资中心（有限合伙）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云晖景盛</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宁波云晖景盛投资管理合伙企业（有限合伙）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福州兴睿</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福州经济技术开发区兴睿永瀛股权投资合伙企业（有限合伙）</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青岛民和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青岛学而民和投资中心（有限合伙）（曾用名为：烟台民和久信投资中心（有限合伙）、 烟台学而民和投资中心（有限合伙））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青岛观岫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青岛观岫投资管理合伙企业（有限合伙）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红土长城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深圳市红土长城中通股权投资基金合伙企业（有限合伙）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华盖创富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北京华盖创富壹号股权投资合伙企业（有限合伙）</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上海仁建投资有限公司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鹏汇君晖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新余市鹏汇君晖投资中心（有限合伙）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丰廪秦永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宁波丰廪秦永投资合伙企业（有限合伙）</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达晨创投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深圳市达晨创联股权投资基金合伙企业（有限合伙）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易方达合臻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华晟领势</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渤海华盖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北京渤海华盖股权投资合伙企业（有限合伙）</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通云致成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盐城通云致成资产管理企业（有限合伙）</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领富中国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Lead Fortune China Investment Limited </w:t>
            </w:r>
            <w:r>
              <w:rPr>
                <w:color w:val="000000"/>
                <w:spacing w:val="0"/>
                <w:w w:val="100"/>
                <w:position w:val="0"/>
              </w:rPr>
              <w:t>（领富中国投资有限公司）</w:t>
            </w:r>
          </w:p>
        </w:tc>
      </w:tr>
    </w:tbl>
    <w:p>
      <w:pPr>
        <w:spacing w:lineRule="exact" w:line="1"/>
        <w:rPr>
          <w:sz w:val="2"/>
          <w:szCs w:val="2"/>
        </w:rPr>
      </w:pPr>
      <w:r>
        <w:br w:type="page"/>
      </w:r>
    </w:p>
    <w:tbl>
      <w:tblPr>
        <w:tblOverlap w:val="never"/>
        <w:jc w:val="center"/>
        <w:tblLayout w:type="fixed"/>
      </w:tblPr>
      <w:tblGrid>
        <w:gridCol w:w="1853"/>
        <w:gridCol w:w="1133"/>
        <w:gridCol w:w="66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软石六号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无锡软石创新六号投资企业（有限合伙）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安鑫二号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深圳市安鑫二号投资管理企业（有限合伙）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金浦信诚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上海金浦信诚移动互联股权投资基金合伙企业（有限合伙）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寅虎四方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珠海寅虎四方投资合伙企业（有限合伙）</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安旻通煜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上海安旻通煜投资中心（有限合伙）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Beno (Hong Kong) Limited</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寅虎伍号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宁波梅山保税港区寅虎伍号投资合伙企业（有限合伙）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臻泰大靖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珠海臻泰大靖创新投资企业（有限合伙）</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Foreign Partners</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Foreign Partners (Hong Kong) Limited</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天数通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上饶市天数通投资管理中心（有限合伙）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深创投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奇亓乂弈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奇亓乂弈城市科技（天津）合伙企业（有限合伙）</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光大财务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中国光大财务投资有限公司(</w:t>
            </w:r>
            <w:r>
              <w:rPr>
                <w:rFonts w:ascii="Times New Roman" w:eastAsia="Times New Roman" w:hAnsi="Times New Roman" w:cs="Times New Roman"/>
                <w:color w:val="000000"/>
                <w:spacing w:val="0"/>
                <w:w w:val="100"/>
                <w:position w:val="0"/>
                <w:sz w:val="18"/>
                <w:szCs w:val="18"/>
              </w:rPr>
              <w:t>China Everbright F inancial Investments Limited</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光远创富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珠海市光远创富投资中心（有限合伙）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纳维投资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纳维投资（赣州）合伙企业（有限合伙）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紫金文投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江苏紫金文化产业二期创业投资基金（有限合伙）</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江苏服投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江苏省现代服务业发展创业投资基金（有限合伙）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高新毅达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安徽高新毅达皖江产业发展创业投资基金（有限合伙）</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光远通慧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珠海光远通慧创业投资合伙企业（有限合伙），曾用名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深圳光远通慧创业投资合伙 企业（有限合伙）</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红土创投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深圳市罗湖红土创业投资有限公司</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软通开曼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iSoftStone Holdings Limited</w:t>
            </w:r>
            <w:r>
              <w:rPr>
                <w:color w:val="000000"/>
                <w:spacing w:val="0"/>
                <w:w w:val="100"/>
                <w:position w:val="0"/>
              </w:rPr>
              <w:t>，</w:t>
            </w:r>
            <w:r>
              <w:rPr>
                <w:color w:val="000000"/>
                <w:spacing w:val="0"/>
                <w:w w:val="100"/>
                <w:position w:val="0"/>
              </w:rPr>
              <w:t>软通动力控股有限公司，一家注册于开曼群岛的有限公 司，软通动力境外上市主体</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通云科技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北京软通通云科技有限公司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通力互联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武汉通力互联技术服务有限公司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华为技术有限公司及其下属企业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腾讯控股有限公司及其下属企业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阿里巴巴集团控股有限公司及其下属企业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百度股份有限公司及其下属企业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中国银行股份有限公司及其下属企业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OPPO</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OPPO</w:t>
            </w:r>
            <w:r>
              <w:rPr>
                <w:color w:val="000000"/>
                <w:spacing w:val="0"/>
                <w:w w:val="100"/>
                <w:position w:val="0"/>
              </w:rPr>
              <w:t>广东移动通信有限公司及其下属企业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VIVO</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维沃移动通信有限公司及其下属企业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中华人民共和国国务院</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发改委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中华人民共和国国家发展和改革委员会</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bl>
    <w:p>
      <w:pPr>
        <w:spacing w:lineRule="exact" w:line="1"/>
        <w:rPr>
          <w:sz w:val="2"/>
          <w:szCs w:val="2"/>
        </w:rPr>
      </w:pPr>
      <w:r>
        <w:br w:type="page"/>
      </w:r>
    </w:p>
    <w:tbl>
      <w:tblPr>
        <w:tblOverlap w:val="never"/>
        <w:jc w:val="center"/>
        <w:tblLayout w:type="fixed"/>
      </w:tblPr>
      <w:tblGrid>
        <w:gridCol w:w="1853"/>
        <w:gridCol w:w="1133"/>
        <w:gridCol w:w="66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中华人民共和国科学技术部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纽交所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纽约证券交易所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审计机构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赛迪顾问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赛迪顾问股份有限公司</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募集资金扣除发行费用后将投资的项目，包括：交付中心新建及扩建项目、行业数 字化转型产品及解决方案项目、研发中心建设项目、数字运营业务平台升级项目、 集团人才供给和内部服务平台升级项目、补充营运资金项目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Information Technology</w:t>
            </w:r>
            <w:r>
              <w:rPr>
                <w:color w:val="000000"/>
                <w:spacing w:val="0"/>
                <w:w w:val="100"/>
                <w:position w:val="0"/>
              </w:rPr>
              <w:t>，信息 技术</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数字经济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人类通过数字化的知识与信息的识别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使用，弓</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导、实现资源的快速 优化配置与再生、实现经济高质量发展的经济形态。其内涵比较宽泛，凡是直接或 间接利用数据来引导资源发挥作用，推动生产力发展的经济形态都可以纳入其范畴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产业数字化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立足于完备的产业链条，通过云计算、大数据、</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等新兴技术对传统产业进行数字 化升级，并与高度数字化的居民生活相连接</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端到端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从客户的需求端出发，到满足客户需求的全流程闭环活动</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交付中心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软件与信息技术服务商根据客户区域分布、人力资源供给等情况进行统筹规划，通 过对场地空间、基础设施、人力资源、技术技能、支撑平台等资源进行科学组织布 局和能力建设，构建的规模化、体系化、专业化的服务交付基地，从而为客户持续 交付高质量的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Capability Maturity Model Integration</w:t>
            </w:r>
            <w:r>
              <w:rPr>
                <w:color w:val="000000"/>
                <w:spacing w:val="0"/>
                <w:w w:val="100"/>
                <w:position w:val="0"/>
              </w:rPr>
              <w:t>，</w:t>
            </w:r>
            <w:r>
              <w:rPr>
                <w:color w:val="000000"/>
                <w:spacing w:val="0"/>
                <w:w w:val="100"/>
                <w:position w:val="0"/>
              </w:rPr>
              <w:t>软件开发能力成熟度集成模型，由美国卡内基 梅隆大学的软件工程研究所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SEI</w:t>
            </w:r>
            <w:r>
              <w:rPr>
                <w:color w:val="000000"/>
                <w:spacing w:val="0"/>
                <w:w w:val="100"/>
                <w:position w:val="0"/>
              </w:rPr>
              <w:t>）</w:t>
            </w:r>
            <w:r>
              <w:rPr>
                <w:color w:val="000000"/>
                <w:spacing w:val="0"/>
                <w:w w:val="100"/>
                <w:position w:val="0"/>
              </w:rPr>
              <w:t>创立。在过去的十几年中，该模型对全球的软件 产业产生了非常深远的影响。</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共有五个等级，分别标志着软件企业能力成熟 度的五个层次。从低到高，软件开发生产计划精度逐级升高，单位工程生产周期逐 级缩短，单位工程成本逐级降低。目前，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级为最高级</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DevOps</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DevOps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Development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Operations</w:t>
            </w:r>
            <w:r>
              <w:rPr>
                <w:color w:val="000000"/>
                <w:spacing w:val="0"/>
                <w:w w:val="100"/>
                <w:position w:val="0"/>
              </w:rPr>
              <w:t>的组合词）是一种软件开发的方法论，它由一组 过程、方法、自动化软件工具与开发环境系统组成，目的是促进开发（应用程序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 件工程）、技术运营和质量保障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QA</w:t>
            </w:r>
            <w:r>
              <w:rPr>
                <w:color w:val="000000"/>
                <w:spacing w:val="0"/>
                <w:w w:val="100"/>
                <w:position w:val="0"/>
              </w:rPr>
              <w:t>）</w:t>
            </w:r>
            <w:r>
              <w:rPr>
                <w:color w:val="000000"/>
                <w:spacing w:val="0"/>
                <w:w w:val="100"/>
                <w:position w:val="0"/>
              </w:rPr>
              <w:t>部门之间的沟通、协作与整合，提高软件开 发的整体效率</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Information Technology Service Standards</w:t>
            </w:r>
            <w:r>
              <w:rPr>
                <w:color w:val="000000"/>
                <w:spacing w:val="0"/>
                <w:w w:val="100"/>
                <w:position w:val="0"/>
              </w:rPr>
              <w:t>，信息技术服务标准，是在工信部、国家标 准化委的领导和支持下，由</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工作组研制的一套</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服务领域的标准库和一套提 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服务的方法论</w:t>
            </w:r>
          </w:p>
        </w:tc>
      </w:tr>
    </w:tbl>
    <w:p>
      <w:pPr>
        <w:spacing w:lineRule="exact" w:line="1"/>
        <w:rPr>
          <w:sz w:val="2"/>
          <w:szCs w:val="2"/>
        </w:rPr>
      </w:pPr>
      <w:r>
        <w:br w:type="page"/>
      </w:r>
    </w:p>
    <w:tbl>
      <w:tblPr>
        <w:tblOverlap w:val="never"/>
        <w:jc w:val="center"/>
        <w:tblLayout w:type="fixed"/>
      </w:tblPr>
      <w:tblGrid>
        <w:gridCol w:w="1853"/>
        <w:gridCol w:w="1133"/>
        <w:gridCol w:w="6600"/>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ISO20000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信息技术服务管理体系标准，由国际标准化组织（</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）发布，是面向机构的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 务管理标准，目的是提供建立、实施、运作、监控、评审、维护和改进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 体系的模型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ISO9001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质量保证体系标准，由国际标准化组织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w:t>
            </w:r>
            <w:r>
              <w:rPr>
                <w:color w:val="000000"/>
                <w:spacing w:val="0"/>
                <w:w w:val="100"/>
                <w:position w:val="0"/>
              </w:rPr>
              <w:t>发布，为企业提供了一种具有科学性 的质量管理和质量保证方法和手段，可用以提高内部管理水平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ISO27001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信息安全管理体系标准，由国际标准化组织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w:t>
            </w:r>
            <w:r>
              <w:rPr>
                <w:color w:val="000000"/>
                <w:spacing w:val="0"/>
                <w:w w:val="100"/>
                <w:position w:val="0"/>
              </w:rPr>
              <w:t>发布，面向信息安全管理建立了 一套科学有效的管理体系，可有效保护信息资源，保护信息化进程健康、有序、可 持续发展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EHS</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EHS</w:t>
            </w:r>
            <w:r>
              <w:rPr>
                <w:color w:val="000000"/>
                <w:spacing w:val="0"/>
                <w:w w:val="100"/>
                <w:position w:val="0"/>
              </w:rPr>
              <w:t>是环境</w:t>
            </w:r>
            <w:r>
              <w:rPr>
                <w:rFonts w:ascii="Times New Roman" w:eastAsia="Times New Roman" w:hAnsi="Times New Roman" w:cs="Times New Roman"/>
                <w:color w:val="000000"/>
                <w:spacing w:val="0"/>
                <w:w w:val="100"/>
                <w:position w:val="0"/>
                <w:sz w:val="18"/>
                <w:szCs w:val="18"/>
              </w:rPr>
              <w:t>Environment</w:t>
            </w:r>
            <w:r>
              <w:rPr>
                <w:color w:val="000000"/>
                <w:spacing w:val="0"/>
                <w:w w:val="100"/>
                <w:position w:val="0"/>
              </w:rPr>
              <w:t>、</w:t>
            </w:r>
            <w:r>
              <w:rPr>
                <w:color w:val="000000"/>
                <w:spacing w:val="0"/>
                <w:w w:val="100"/>
                <w:position w:val="0"/>
              </w:rPr>
              <w:t>健康</w:t>
            </w:r>
            <w:r>
              <w:rPr>
                <w:rFonts w:ascii="Times New Roman" w:eastAsia="Times New Roman" w:hAnsi="Times New Roman" w:cs="Times New Roman"/>
                <w:color w:val="000000"/>
                <w:spacing w:val="0"/>
                <w:w w:val="100"/>
                <w:position w:val="0"/>
                <w:sz w:val="18"/>
                <w:szCs w:val="18"/>
              </w:rPr>
              <w:t>Health</w:t>
            </w:r>
            <w:r>
              <w:rPr>
                <w:color w:val="000000"/>
                <w:spacing w:val="0"/>
                <w:w w:val="100"/>
                <w:position w:val="0"/>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Safety</w:t>
            </w:r>
            <w:r>
              <w:rPr>
                <w:color w:val="000000"/>
                <w:spacing w:val="0"/>
                <w:w w:val="100"/>
                <w:position w:val="0"/>
              </w:rPr>
              <w:t>的缩写，即环境、职业健康安全 管理体系。该体系建立起一种通过系统化的预防管理机制，彻底消除各种事故、环 境和职业病隐患，以便最大限度地减少事故、环境污染和职业病的发生，从而达到 改善企业安全、环境与健康业绩的管理方法</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BCM</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Business Continuity Management</w:t>
            </w:r>
            <w:r>
              <w:rPr>
                <w:color w:val="000000"/>
                <w:spacing w:val="0"/>
                <w:w w:val="100"/>
                <w:position w:val="0"/>
              </w:rPr>
              <w:t>，</w:t>
            </w:r>
            <w:r>
              <w:rPr>
                <w:color w:val="000000"/>
                <w:spacing w:val="0"/>
                <w:w w:val="100"/>
                <w:position w:val="0"/>
              </w:rPr>
              <w:t>业务连续性管理，是一项综合管理流程，使企业根 据潜在危机和相关影响，制订响应业务连续性和业务恢复的计划，其总体目标是提 高企业的风险防范能力，有效响应意外事件对业务正常运营的破坏并降低不良影响</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技术中台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技术中台是能力沉淀的平台体系，当前台实现业务功能时，为其提供底层的技术、 数据等资源和能力的支持。技术中台起到承上启下的作用，将整个公司的技术能力 与业务能力分离，并以产品化方式向前台提供技术赋能，形成强力支撑</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业务中台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业务中台把各个项目中共通的业务进行下沉，进而形成一个个通用服务平台。业务 中台的存在，打通了数据壁垒，让业务联动成为可能</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数据中台是一套可持续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让企业的数据用起来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的机制，一种战略选择和组织形式， 是依据企业特有的业务模式和组织架构，通过有形的产品和实施方法论支撑，构建 一套持续不断把数据变成资产并服务于业务的机制。数据中台通常具备数据汇聚整 合、数据提纯加工、数据服务可视化、数据价值变现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个核心能力</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深度学习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深度学习是机器学习研究中的一个新的领域，其动机在于建立、模拟人脑进行分析 学习的神经网络，它模仿人脑的机制来解释数据，例如图像，声音和文本</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云原生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基于分布部署和统一运管的云端服务，以容器化、微服务、</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等技术为基础建 立的一套云技术产品体系</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容器化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容器化是应用程序级别的虚拟化，允许单个内核上有多个独立的用户空间实例。这 些实例称为容器。容器提供了将应用程序的代码、运行时、系统工具、系统库和配 置打包到一个实例中的标准方法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微服务架构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微服务架构是一项在云中部署应用和服务的新技术。微服务的基本思想在于考虑围 绕着业务领域组件来创建应用，这些应用可独立进行开发、管理和加速。在分散的 组件中使用微服务云架构和平台，使部署、管理和服务功能交付变得更加简单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前后端分离架构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软件开发中的一种架构，该架构中前端与后端的耦合度相对较低，后端仅返回前端 所需的数据，不再控制前端的效果</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Platform-as-a-Service</w:t>
            </w:r>
            <w:r>
              <w:rPr>
                <w:color w:val="000000"/>
                <w:spacing w:val="0"/>
                <w:w w:val="100"/>
                <w:position w:val="0"/>
              </w:rPr>
              <w:t>，</w:t>
            </w:r>
            <w:r>
              <w:rPr>
                <w:color w:val="000000"/>
                <w:spacing w:val="0"/>
                <w:w w:val="100"/>
                <w:position w:val="0"/>
              </w:rPr>
              <w:t>平台即服务，指把应用服务的运行和开发平台环境作为一种服 务提供的商业模式</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API</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Application Programming Interface</w:t>
            </w:r>
            <w:r>
              <w:rPr>
                <w:color w:val="000000"/>
                <w:spacing w:val="0"/>
                <w:w w:val="100"/>
                <w:position w:val="0"/>
              </w:rPr>
              <w:t>，</w:t>
            </w:r>
            <w:r>
              <w:rPr>
                <w:color w:val="000000"/>
                <w:spacing w:val="0"/>
                <w:w w:val="100"/>
                <w:position w:val="0"/>
              </w:rPr>
              <w:t>应用程序接口，是一些预先定义的函数，或指软 件系统不同组成部分衔接的约定。用来提供应用程序与开发人员基于某软件或硬件</w:t>
            </w:r>
          </w:p>
        </w:tc>
      </w:tr>
    </w:tbl>
    <w:p>
      <w:pPr>
        <w:spacing w:lineRule="exact" w:line="1"/>
        <w:rPr>
          <w:sz w:val="2"/>
          <w:szCs w:val="2"/>
        </w:rPr>
      </w:pPr>
      <w:r>
        <w:br w:type="page"/>
      </w:r>
    </w:p>
    <w:tbl>
      <w:tblPr>
        <w:tblOverlap w:val="never"/>
        <w:jc w:val="center"/>
        <w:tblLayout w:type="fixed"/>
      </w:tblPr>
      <w:tblGrid>
        <w:gridCol w:w="1853"/>
        <w:gridCol w:w="1133"/>
        <w:gridCol w:w="66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得以访问的一组例程，而又无需访问源码，或理解内部工作机制的细节</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MSP</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Managed Service Provider</w:t>
            </w:r>
            <w:r>
              <w:rPr>
                <w:color w:val="000000"/>
                <w:spacing w:val="0"/>
                <w:w w:val="100"/>
                <w:position w:val="0"/>
              </w:rPr>
              <w:t>，</w:t>
            </w:r>
            <w:r>
              <w:rPr>
                <w:color w:val="000000"/>
                <w:spacing w:val="0"/>
                <w:w w:val="100"/>
                <w:position w:val="0"/>
              </w:rPr>
              <w:t>管理服务提供商，曾经为企业用户的托管服务商，随着云 计算的发展已经演变为云管理服务商，是具备云原生开发、云迁移、云安全、中台 建设等完整的云服务能力的服务提供商</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w:t>
            </w:r>
            <w:r>
              <w:rPr>
                <w:color w:val="000000"/>
                <w:spacing w:val="0"/>
                <w:w w:val="100"/>
                <w:position w:val="0"/>
              </w:rPr>
              <w:t>人工智能，是研究、开发用于模拟、延伸和扩展人的智能的理 论、方法、技术及应用系统的一门新的技术科学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The Intemet of Things</w:t>
            </w:r>
            <w:r>
              <w:rPr>
                <w:color w:val="000000"/>
                <w:spacing w:val="0"/>
                <w:w w:val="100"/>
                <w:position w:val="0"/>
              </w:rPr>
              <w:t>，</w:t>
            </w:r>
            <w:r>
              <w:rPr>
                <w:color w:val="000000"/>
                <w:spacing w:val="0"/>
                <w:w w:val="100"/>
                <w:position w:val="0"/>
              </w:rPr>
              <w:t>物联网，是一个基于互联网、传统电信网等的信息承载体， 使所有能够被独立寻址的普通物理对象形成互联互通的网络</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AR</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Augmented Reality</w:t>
            </w:r>
            <w:r>
              <w:rPr>
                <w:color w:val="000000"/>
                <w:spacing w:val="0"/>
                <w:w w:val="100"/>
                <w:position w:val="0"/>
                <w:sz w:val="17"/>
                <w:szCs w:val="17"/>
              </w:rPr>
              <w:t>，</w:t>
            </w:r>
            <w:r>
              <w:rPr>
                <w:color w:val="000000"/>
                <w:spacing w:val="0"/>
                <w:w w:val="100"/>
                <w:position w:val="0"/>
                <w:sz w:val="17"/>
                <w:szCs w:val="17"/>
              </w:rPr>
              <w:t>增强现实技术，一种将虚拟信息与真实世界巧妙融合的技术，广 泛运用了多媒体、三维建模、实时跟踪及注册、智能交互、传感等多种技术手段， 将计算机生成的文字、图像、三维模型、音乐、视频等虚拟信息模拟仿真后，应用 到真实世界中，两种信息互为补充，从而实现对真实世界的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增强</w:t>
            </w: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VR</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Virtual Reality</w:t>
            </w:r>
            <w:r>
              <w:rPr>
                <w:color w:val="000000"/>
                <w:spacing w:val="0"/>
                <w:w w:val="100"/>
                <w:position w:val="0"/>
              </w:rPr>
              <w:t>，虚拟现实技术，一项全新的实用技术，该技术囊括计算机、电子信 息、仿真技术于一体，其基本实现方式是计算机模拟虚拟环境从而给人以环境沉浸 感</w:t>
            </w:r>
          </w:p>
        </w:tc>
      </w:tr>
    </w:tbl>
    <w:p>
      <w:pPr>
        <w:sectPr>
          <w:footnotePr>
            <w:pos w:val="pageBottom"/>
            <w:numFmt w:val="decimal"/>
            <w:numRestart w:val="continuous"/>
          </w:footnotePr>
          <w:pgSz w:w="11900" w:h="16840"/>
          <w:pgMar w:top="1441" w:right="1145" w:bottom="1494" w:left="1079" w:header="0" w:footer="3" w:gutter="0"/>
          <w:cols w:space="720"/>
          <w:noEndnote/>
          <w:rtlGutter w:val="0"/>
          <w:docGrid w:linePitch="360"/>
        </w:sectPr>
      </w:pPr>
    </w:p>
    <w:p>
      <w:pPr>
        <w:pStyle w:val="Style8"/>
        <w:keepNext/>
        <w:keepLines/>
        <w:widowControl w:val="0"/>
        <w:shd w:val="clear" w:color="auto" w:fill="auto"/>
        <w:bidi w:val="0"/>
        <w:spacing w:before="48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第二节公司简介和主要财务指标</w:t>
      </w:r>
      <w:bookmarkEnd w:id="20"/>
      <w:bookmarkEnd w:id="21"/>
      <w:bookmarkEnd w:id="22"/>
    </w:p>
    <w:p>
      <w:pPr>
        <w:pStyle w:val="Style27"/>
        <w:keepNext/>
        <w:keepLines/>
        <w:widowControl w:val="0"/>
        <w:shd w:val="clear" w:color="auto" w:fill="auto"/>
        <w:bidi w:val="0"/>
        <w:spacing w:before="0" w:line="240" w:lineRule="auto"/>
        <w:ind w:left="0" w:right="0" w:firstLine="240"/>
        <w:jc w:val="left"/>
      </w:pPr>
      <w:bookmarkStart w:id="23" w:name="bookmark23"/>
      <w:bookmarkStart w:id="24" w:name="bookmark24"/>
      <w:bookmarkStart w:id="25" w:name="bookmark25"/>
      <w:bookmarkStart w:id="26" w:name="bookmark26"/>
      <w:r>
        <w:rPr>
          <w:color w:val="000000"/>
          <w:spacing w:val="0"/>
          <w:w w:val="100"/>
          <w:position w:val="0"/>
          <w:sz w:val="24"/>
          <w:szCs w:val="24"/>
        </w:rPr>
        <w:t>、公司信息</w:t>
      </w:r>
      <w:bookmarkEnd w:id="24"/>
      <w:bookmarkEnd w:id="25"/>
      <w:bookmarkEnd w:id="26"/>
      <w:bookmarkEnd w:id="23"/>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软通动力</w:t>
              <w:tab/>
              <w:t>股票代码</w:t>
              <w:tab/>
            </w:r>
            <w:r>
              <w:rPr>
                <w:rFonts w:ascii="Times New Roman" w:eastAsia="Times New Roman" w:hAnsi="Times New Roman" w:cs="Times New Roman"/>
                <w:color w:val="000000"/>
                <w:spacing w:val="0"/>
                <w:w w:val="100"/>
                <w:position w:val="0"/>
                <w:sz w:val="18"/>
                <w:szCs w:val="18"/>
              </w:rPr>
              <w:t>301236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软通动力信息技术(集团)股份有限公司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软通动力</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Information Technology (Group) Co., 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号院东区</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502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为满足日常经营，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日公司注册地址由北京市海淀区东北旺西路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号楼二 区</w:t>
            </w:r>
            <w:r>
              <w:rPr>
                <w:rFonts w:ascii="Times New Roman" w:eastAsia="Times New Roman" w:hAnsi="Times New Roman" w:cs="Times New Roman"/>
                <w:color w:val="000000"/>
                <w:spacing w:val="0"/>
                <w:w w:val="100"/>
                <w:position w:val="0"/>
                <w:sz w:val="18"/>
                <w:szCs w:val="18"/>
              </w:rPr>
              <w:t>205</w:t>
            </w:r>
            <w:r>
              <w:rPr>
                <w:color w:val="000000"/>
                <w:spacing w:val="0"/>
                <w:w w:val="100"/>
                <w:position w:val="0"/>
              </w:rPr>
              <w:t>室迁往北京市海淀区西北旺东路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"https://www.isoftstone.com" </w:instrText>
            </w:r>
            <w:r>
              <w:fldChar w:fldCharType="separate"/>
            </w:r>
            <w:r>
              <w:rPr>
                <w:rFonts w:ascii="Times New Roman" w:eastAsia="Times New Roman" w:hAnsi="Times New Roman" w:cs="Times New Roman"/>
                <w:color w:val="000000"/>
                <w:spacing w:val="0"/>
                <w:w w:val="100"/>
                <w:position w:val="0"/>
                <w:sz w:val="18"/>
                <w:szCs w:val="18"/>
              </w:rPr>
              <w:t>https://www.isoftstone.com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"mailto:ISS-IR@isoftstone.com" </w:instrText>
            </w:r>
            <w:r>
              <w:fldChar w:fldCharType="separate"/>
            </w:r>
            <w:r>
              <w:rPr>
                <w:rFonts w:ascii="Times New Roman" w:eastAsia="Times New Roman" w:hAnsi="Times New Roman" w:cs="Times New Roman"/>
                <w:color w:val="000000"/>
                <w:spacing w:val="0"/>
                <w:w w:val="100"/>
                <w:position w:val="0"/>
                <w:sz w:val="18"/>
                <w:szCs w:val="18"/>
              </w:rPr>
              <w:t>ISS-IR@isoftstone.com</w:t>
            </w:r>
            <w:r>
              <w:fldChar w:fldCharType="end"/>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刘丽娟、徐永文</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号楼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号楼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010-58749800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010-58749800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010-58749001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010-58749001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"mailto:ISS-IR@isoftstone.com" </w:instrText>
            </w:r>
            <w:r>
              <w:fldChar w:fldCharType="separate"/>
            </w:r>
            <w:r>
              <w:rPr>
                <w:rFonts w:ascii="Times New Roman" w:eastAsia="Times New Roman" w:hAnsi="Times New Roman" w:cs="Times New Roman"/>
                <w:color w:val="000000"/>
                <w:spacing w:val="0"/>
                <w:w w:val="100"/>
                <w:position w:val="0"/>
                <w:sz w:val="18"/>
                <w:szCs w:val="18"/>
              </w:rPr>
              <w:t>ISS-IR@isoftstone.com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"mailto:ISS-IR@isoftstone.com" </w:instrText>
            </w:r>
            <w:r>
              <w:fldChar w:fldCharType="separate"/>
            </w:r>
            <w:r>
              <w:rPr>
                <w:rFonts w:ascii="Times New Roman" w:eastAsia="Times New Roman" w:hAnsi="Times New Roman" w:cs="Times New Roman"/>
                <w:color w:val="000000"/>
                <w:spacing w:val="0"/>
                <w:w w:val="100"/>
                <w:position w:val="0"/>
                <w:sz w:val="18"/>
                <w:szCs w:val="18"/>
              </w:rPr>
              <w:t>ISS-IR@isoftstone.com</w:t>
            </w:r>
            <w:r>
              <w:fldChar w:fldCharType="end"/>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www.szse.cn</w:t>
            </w:r>
            <w:r>
              <w:fldChar w:fldCharType="end"/>
            </w: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rPr>
              <w:t>)、</w:t>
            </w:r>
            <w:r>
              <w:rPr>
                <w:color w:val="000000"/>
                <w:spacing w:val="0"/>
                <w:w w:val="100"/>
                <w:position w:val="0"/>
              </w:rPr>
              <w:t>《中国证券报》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www.cs.com.cn</w:t>
            </w:r>
            <w:r>
              <w:rPr>
                <w:color w:val="000000"/>
                <w:spacing w:val="0"/>
                <w:w w:val="100"/>
                <w:position w:val="0"/>
              </w:rPr>
              <w:t>)、</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《上海证券报》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www.cnstock.com</w:t>
            </w:r>
            <w:r>
              <w:rPr>
                <w:color w:val="000000"/>
                <w:spacing w:val="0"/>
                <w:w w:val="100"/>
                <w:position w:val="0"/>
              </w:rPr>
              <w:t>)、</w:t>
            </w:r>
            <w:r>
              <w:rPr>
                <w:color w:val="000000"/>
                <w:spacing w:val="0"/>
                <w:w w:val="100"/>
                <w:position w:val="0"/>
              </w:rPr>
              <w:t>《证券时报》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www.stcn.com</w:t>
            </w:r>
            <w:r>
              <w:rPr>
                <w:color w:val="000000"/>
                <w:spacing w:val="0"/>
                <w:w w:val="100"/>
                <w:position w:val="0"/>
              </w:rPr>
              <w:t>)、</w:t>
            </w:r>
            <w:r>
              <w:rPr>
                <w:color w:val="000000"/>
                <w:spacing w:val="0"/>
                <w:w w:val="100"/>
                <w:position w:val="0"/>
              </w:rPr>
              <w:t>《证 券日报》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www.zqrb.cn</w:t>
            </w:r>
            <w:r>
              <w:rPr>
                <w:color w:val="000000"/>
                <w:spacing w:val="0"/>
                <w:w w:val="100"/>
                <w:position w:val="0"/>
              </w:rPr>
              <w:t>)和《经济参考报》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wwwjjckb.cn/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号楼</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、其他有关资料</w:t>
      </w:r>
      <w:bookmarkEnd w:id="35"/>
      <w:bookmarkEnd w:id="36"/>
      <w:bookmarkEnd w:id="38"/>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浙江省杭州市江干区新业路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号华联时代大厦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胡健、高丹丹</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、主要会计数据和财务指标</w:t>
      </w:r>
      <w:bookmarkEnd w:id="39"/>
      <w:bookmarkEnd w:id="40"/>
      <w:bookmarkEnd w:id="42"/>
    </w:p>
    <w:p>
      <w:pPr>
        <w:pStyle w:val="Style22"/>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16,623,208,728.13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12,999,294,468.75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10,604,725,119.66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944,779,223.35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1,258,631,372.96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712,010,017.23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868,390,916.40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1,106,333,932.61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657,626,844.67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647,206,841.75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1,422,749,382.62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1,126,197,425.78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10,523,118,161.22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9,041,261,872.44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8,075,187,782.40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5,078,404,421.01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4,117,741,669.22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3,317,585,660.49</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2"/>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r>
        <w:br w:type="page"/>
      </w:r>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2.2307</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、分季度主要财务指标</w:t>
      </w:r>
      <w:bookmarkEnd w:id="43"/>
      <w:bookmarkEnd w:id="44"/>
      <w:bookmarkEnd w:id="46"/>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3,554,070,219.54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4,074,801,967.20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4,345,899,559.33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4,648,436,982.06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78,257,246.55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380,765,644.59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256,563,266.07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229,193,066.14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69,819,282.75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354,021,668.84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238,363,354.24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206,186,610.57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-549,008,810.34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-8,809,498.77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423,334,695.20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781,690,455.66</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after="36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33"/>
        <w:keepNext/>
        <w:keepLines/>
        <w:widowControl w:val="0"/>
        <w:shd w:val="clear" w:color="auto" w:fill="auto"/>
        <w:tabs>
          <w:tab w:pos="403" w:val="left"/>
        </w:tabs>
        <w:bidi w:val="0"/>
        <w:spacing w:before="0" w:after="360" w:line="240" w:lineRule="auto"/>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after="360" w:line="240" w:lineRule="auto"/>
        <w:ind w:left="0" w:right="0" w:firstLine="0"/>
        <w:jc w:val="both"/>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60" w:line="240" w:lineRule="auto"/>
        <w:ind w:left="0" w:right="0" w:firstLine="0"/>
        <w:jc w:val="both"/>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非经常性损益项目及金额</w:t>
      </w:r>
      <w:bookmarkEnd w:id="59"/>
      <w:bookmarkEnd w:id="60"/>
      <w:bookmarkEnd w:id="62"/>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751,616.72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6,685,825.04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5,303,336.14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84,048,066.10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150,406,765.91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36,172,820.65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5,365,997.58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11,099,472.14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-395,881.64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4,098,653.36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7,396,175.93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8,557,950.81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14,232,343.83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3,823,026.01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-542,456.58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1,765,606.29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76,388,306.95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152,297,440.35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54,383,172.56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07" w:lineRule="exact"/>
        <w:ind w:left="0" w:right="0" w:firstLine="0"/>
        <w:jc w:val="both"/>
        <w:sectPr>
          <w:footnotePr>
            <w:pos w:val="pageBottom"/>
            <w:numFmt w:val="decimal"/>
            <w:numRestart w:val="continuous"/>
          </w:footnotePr>
          <w:pgSz w:w="11900" w:h="16840"/>
          <w:pgMar w:top="1441" w:right="1134" w:bottom="1451"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8"/>
        <w:keepNext/>
        <w:keepLines/>
        <w:widowControl w:val="0"/>
        <w:shd w:val="clear" w:color="auto" w:fill="auto"/>
        <w:bidi w:val="0"/>
        <w:spacing w:before="520" w:line="240" w:lineRule="auto"/>
        <w:ind w:left="0" w:right="0" w:firstLine="0"/>
        <w:jc w:val="center"/>
      </w:pPr>
      <w:bookmarkStart w:id="63" w:name="bookmark63"/>
      <w:bookmarkStart w:id="64" w:name="bookmark64"/>
      <w:bookmarkStart w:id="65" w:name="bookmark65"/>
      <w:r>
        <w:rPr>
          <w:color w:val="000000"/>
          <w:spacing w:val="0"/>
          <w:w w:val="100"/>
          <w:position w:val="0"/>
        </w:rPr>
        <w:t>第三节管理层讨论与分析</w:t>
      </w:r>
      <w:bookmarkEnd w:id="63"/>
      <w:bookmarkEnd w:id="64"/>
      <w:bookmarkEnd w:id="65"/>
    </w:p>
    <w:p>
      <w:pPr>
        <w:pStyle w:val="Style27"/>
        <w:keepNext/>
        <w:keepLines/>
        <w:widowControl w:val="0"/>
        <w:shd w:val="clear" w:color="auto" w:fill="auto"/>
        <w:bidi w:val="0"/>
        <w:spacing w:before="0" w:after="240" w:line="240" w:lineRule="auto"/>
        <w:ind w:left="0" w:right="0" w:firstLine="0"/>
        <w:jc w:val="left"/>
      </w:pPr>
      <w:bookmarkStart w:id="66" w:name="bookmark66"/>
      <w:bookmarkStart w:id="67" w:name="bookmark67"/>
      <w:bookmarkStart w:id="68" w:name="bookmark68"/>
      <w:bookmarkStart w:id="69" w:name="bookmark69"/>
      <w:bookmarkStart w:id="70" w:name="bookmark70"/>
      <w:r>
        <w:rPr>
          <w:color w:val="000000"/>
          <w:spacing w:val="0"/>
          <w:w w:val="100"/>
          <w:position w:val="0"/>
          <w:sz w:val="24"/>
          <w:szCs w:val="24"/>
        </w:rPr>
        <w:t>一</w:t>
      </w:r>
      <w:bookmarkEnd w:id="69"/>
      <w:r>
        <w:rPr>
          <w:color w:val="000000"/>
          <w:spacing w:val="0"/>
          <w:w w:val="100"/>
          <w:position w:val="0"/>
          <w:sz w:val="24"/>
          <w:szCs w:val="24"/>
        </w:rPr>
        <w:t>、报告期内公司所处行业情况</w:t>
      </w:r>
      <w:bookmarkEnd w:id="67"/>
      <w:bookmarkEnd w:id="68"/>
      <w:bookmarkEnd w:id="70"/>
      <w:bookmarkEnd w:id="66"/>
    </w:p>
    <w:p>
      <w:pPr>
        <w:pStyle w:val="Style22"/>
        <w:keepNext w:val="0"/>
        <w:keepLines w:val="0"/>
        <w:widowControl w:val="0"/>
        <w:shd w:val="clear" w:color="auto" w:fill="auto"/>
        <w:bidi w:val="0"/>
        <w:spacing w:before="0" w:line="31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2"/>
        <w:keepNext w:val="0"/>
        <w:keepLines w:val="0"/>
        <w:widowControl w:val="0"/>
        <w:shd w:val="clear" w:color="auto" w:fill="auto"/>
        <w:bidi w:val="0"/>
        <w:spacing w:before="0" w:line="298" w:lineRule="exact"/>
        <w:ind w:left="0" w:right="0"/>
        <w:jc w:val="both"/>
      </w:pPr>
      <w:r>
        <w:rPr>
          <w:color w:val="000000"/>
          <w:spacing w:val="0"/>
          <w:w w:val="100"/>
          <w:position w:val="0"/>
        </w:rPr>
        <w:t>公司是一家拥有深厚行业积累和全面技术实力的综合性软件与信息技术服务商，根据中国证监会发布的《上市公司行业 分类指引（</w:t>
      </w:r>
      <w:r>
        <w:rPr>
          <w:color w:val="000000"/>
          <w:spacing w:val="0"/>
          <w:w w:val="100"/>
          <w:position w:val="0"/>
          <w:sz w:val="18"/>
          <w:szCs w:val="18"/>
        </w:rPr>
        <w:t>2012</w:t>
      </w:r>
      <w:r>
        <w:rPr>
          <w:color w:val="000000"/>
          <w:spacing w:val="0"/>
          <w:w w:val="100"/>
          <w:position w:val="0"/>
        </w:rPr>
        <w:t>年修订）》</w:t>
      </w:r>
      <w:r>
        <w:rPr>
          <w:color w:val="000000"/>
          <w:spacing w:val="0"/>
          <w:w w:val="100"/>
          <w:position w:val="0"/>
          <w:sz w:val="18"/>
          <w:szCs w:val="18"/>
        </w:rPr>
        <w:t>，</w:t>
      </w:r>
      <w:r>
        <w:rPr>
          <w:color w:val="000000"/>
          <w:spacing w:val="0"/>
          <w:w w:val="100"/>
          <w:position w:val="0"/>
        </w:rPr>
        <w:t>公司所处行业属于软件和信息技术服务业，行业编码为</w:t>
      </w:r>
      <w:r>
        <w:rPr>
          <w:color w:val="000000"/>
          <w:spacing w:val="0"/>
          <w:w w:val="100"/>
          <w:position w:val="0"/>
          <w:sz w:val="18"/>
          <w:szCs w:val="18"/>
        </w:rPr>
        <w:t>I65,</w:t>
      </w:r>
      <w:r>
        <w:rPr>
          <w:color w:val="000000"/>
          <w:spacing w:val="0"/>
          <w:w w:val="100"/>
          <w:position w:val="0"/>
        </w:rPr>
        <w:t>细分业务领域为信息技术服务业。</w:t>
      </w:r>
    </w:p>
    <w:p>
      <w:pPr>
        <w:pStyle w:val="Style37"/>
        <w:keepNext/>
        <w:keepLines/>
        <w:widowControl w:val="0"/>
        <w:shd w:val="clear" w:color="auto" w:fill="auto"/>
        <w:bidi w:val="0"/>
        <w:spacing w:before="0" w:after="40" w:line="311" w:lineRule="exact"/>
        <w:ind w:left="0" w:right="0" w:firstLine="360"/>
        <w:jc w:val="both"/>
      </w:pPr>
      <w:bookmarkStart w:id="71" w:name="bookmark71"/>
      <w:bookmarkStart w:id="72" w:name="bookmark72"/>
      <w:bookmarkStart w:id="73" w:name="bookmark73"/>
      <w:r>
        <w:rPr>
          <w:color w:val="000000"/>
          <w:spacing w:val="0"/>
          <w:w w:val="100"/>
          <w:position w:val="0"/>
        </w:rPr>
        <w:t>全球进入数字经济时代，数字经济是推动全球经济发展的新引擎</w:t>
      </w:r>
      <w:bookmarkEnd w:id="71"/>
      <w:bookmarkEnd w:id="72"/>
      <w:bookmarkEnd w:id="73"/>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当前以</w:t>
      </w:r>
      <w:r>
        <w:rPr>
          <w:color w:val="000000"/>
          <w:spacing w:val="0"/>
          <w:w w:val="100"/>
          <w:position w:val="0"/>
          <w:sz w:val="18"/>
          <w:szCs w:val="18"/>
        </w:rPr>
        <w:t>5G</w:t>
      </w:r>
      <w:r>
        <w:rPr>
          <w:color w:val="000000"/>
          <w:spacing w:val="0"/>
          <w:w w:val="100"/>
          <w:position w:val="0"/>
        </w:rPr>
        <w:t>、</w:t>
      </w:r>
      <w:r>
        <w:rPr>
          <w:color w:val="000000"/>
          <w:spacing w:val="0"/>
          <w:w w:val="100"/>
          <w:position w:val="0"/>
        </w:rPr>
        <w:t>云计算、大数据和人工智能等新一代技术为代表的数字经济已经兴起。</w:t>
      </w:r>
      <w:r>
        <w:rPr>
          <w:color w:val="000000"/>
          <w:spacing w:val="0"/>
          <w:w w:val="100"/>
          <w:position w:val="0"/>
          <w:sz w:val="18"/>
          <w:szCs w:val="18"/>
        </w:rPr>
        <w:t>2020</w:t>
      </w:r>
      <w:r>
        <w:rPr>
          <w:color w:val="000000"/>
          <w:spacing w:val="0"/>
          <w:w w:val="100"/>
          <w:position w:val="0"/>
        </w:rPr>
        <w:t>年全球</w:t>
      </w:r>
      <w:r>
        <w:rPr>
          <w:color w:val="000000"/>
          <w:spacing w:val="0"/>
          <w:w w:val="100"/>
          <w:position w:val="0"/>
          <w:sz w:val="18"/>
          <w:szCs w:val="18"/>
        </w:rPr>
        <w:t>47</w:t>
      </w:r>
      <w:r>
        <w:rPr>
          <w:color w:val="000000"/>
          <w:spacing w:val="0"/>
          <w:w w:val="100"/>
          <w:position w:val="0"/>
        </w:rPr>
        <w:t>个国家数字经济规模总 量达到</w:t>
      </w:r>
      <w:r>
        <w:rPr>
          <w:color w:val="000000"/>
          <w:spacing w:val="0"/>
          <w:w w:val="100"/>
          <w:position w:val="0"/>
          <w:sz w:val="18"/>
          <w:szCs w:val="18"/>
        </w:rPr>
        <w:t>32.6</w:t>
      </w:r>
      <w:r>
        <w:rPr>
          <w:color w:val="000000"/>
          <w:spacing w:val="0"/>
          <w:w w:val="100"/>
          <w:position w:val="0"/>
        </w:rPr>
        <w:t>万亿美元，占</w:t>
      </w:r>
      <w:r>
        <w:rPr>
          <w:color w:val="000000"/>
          <w:spacing w:val="0"/>
          <w:w w:val="100"/>
          <w:position w:val="0"/>
          <w:sz w:val="18"/>
          <w:szCs w:val="18"/>
        </w:rPr>
        <w:t>GDP</w:t>
      </w:r>
      <w:r>
        <w:rPr>
          <w:color w:val="000000"/>
          <w:spacing w:val="0"/>
          <w:w w:val="100"/>
          <w:position w:val="0"/>
        </w:rPr>
        <w:t>比重为</w:t>
      </w:r>
      <w:r>
        <w:rPr>
          <w:color w:val="000000"/>
          <w:spacing w:val="0"/>
          <w:w w:val="100"/>
          <w:position w:val="0"/>
          <w:sz w:val="18"/>
          <w:szCs w:val="18"/>
        </w:rPr>
        <w:t>43.7%</w:t>
      </w:r>
      <w:r>
        <w:rPr>
          <w:color w:val="000000"/>
          <w:spacing w:val="0"/>
          <w:w w:val="100"/>
          <w:position w:val="0"/>
        </w:rPr>
        <w:t>，其中我国数字经济规模为</w:t>
      </w:r>
      <w:r>
        <w:rPr>
          <w:color w:val="000000"/>
          <w:spacing w:val="0"/>
          <w:w w:val="100"/>
          <w:position w:val="0"/>
          <w:sz w:val="18"/>
          <w:szCs w:val="18"/>
        </w:rPr>
        <w:t>5.4</w:t>
      </w:r>
      <w:r>
        <w:rPr>
          <w:color w:val="000000"/>
          <w:spacing w:val="0"/>
          <w:w w:val="100"/>
          <w:position w:val="0"/>
        </w:rPr>
        <w:t>万亿美元，位居世界第二，增速</w:t>
      </w:r>
      <w:r>
        <w:rPr>
          <w:color w:val="000000"/>
          <w:spacing w:val="0"/>
          <w:w w:val="100"/>
          <w:position w:val="0"/>
          <w:sz w:val="18"/>
          <w:szCs w:val="18"/>
        </w:rPr>
        <w:t>9.6%</w:t>
      </w:r>
      <w:r>
        <w:rPr>
          <w:color w:val="000000"/>
          <w:spacing w:val="0"/>
          <w:w w:val="100"/>
          <w:position w:val="0"/>
        </w:rPr>
        <w:t>，位居全球第</w:t>
      </w:r>
    </w:p>
    <w:p>
      <w:pPr>
        <w:pStyle w:val="Style22"/>
        <w:keepNext w:val="0"/>
        <w:keepLines w:val="0"/>
        <w:widowControl w:val="0"/>
        <w:shd w:val="clear" w:color="auto" w:fill="auto"/>
        <w:tabs>
          <w:tab w:pos="388" w:val="left"/>
        </w:tabs>
        <w:bidi w:val="0"/>
        <w:spacing w:before="0" w:line="312" w:lineRule="exact"/>
        <w:ind w:left="0" w:right="0" w:firstLine="0"/>
        <w:jc w:val="left"/>
      </w:pPr>
      <w:bookmarkStart w:id="74" w:name="bookmark74"/>
      <w:r>
        <w:rPr>
          <w:color w:val="000000"/>
          <w:spacing w:val="0"/>
          <w:w w:val="100"/>
          <w:position w:val="0"/>
        </w:rPr>
        <w:t>一</w:t>
      </w:r>
      <w:bookmarkEnd w:id="74"/>
      <w:r>
        <w:rPr>
          <w:color w:val="000000"/>
          <w:spacing w:val="0"/>
          <w:w w:val="100"/>
          <w:position w:val="0"/>
        </w:rPr>
        <w:t>。</w:t>
        <w:tab/>
        <w:t>数字经济已成为继农业经济、工业经济之后的主要经济形态，是转型升级的驱动力，已成为推动全球经济发展的新引擎。 近两年受疫情冲击，世界经济出现下滑，但数字经济新模式新业态获得较大发展空间，数字经济占</w:t>
      </w:r>
      <w:r>
        <w:rPr>
          <w:color w:val="000000"/>
          <w:spacing w:val="0"/>
          <w:w w:val="100"/>
          <w:position w:val="0"/>
          <w:sz w:val="18"/>
          <w:szCs w:val="18"/>
        </w:rPr>
        <w:t>GDP</w:t>
      </w:r>
      <w:r>
        <w:rPr>
          <w:color w:val="000000"/>
          <w:spacing w:val="0"/>
          <w:w w:val="100"/>
          <w:position w:val="0"/>
        </w:rPr>
        <w:t>比重显著提升。</w:t>
      </w:r>
    </w:p>
    <w:p>
      <w:pPr>
        <w:pStyle w:val="Style37"/>
        <w:keepNext/>
        <w:keepLines/>
        <w:widowControl w:val="0"/>
        <w:shd w:val="clear" w:color="auto" w:fill="auto"/>
        <w:bidi w:val="0"/>
        <w:spacing w:before="0" w:after="40" w:line="311" w:lineRule="exact"/>
        <w:ind w:left="0" w:right="0" w:firstLine="360"/>
        <w:jc w:val="both"/>
      </w:pPr>
      <w:bookmarkStart w:id="75" w:name="bookmark75"/>
      <w:bookmarkStart w:id="76" w:name="bookmark76"/>
      <w:bookmarkStart w:id="77" w:name="bookmark77"/>
      <w:r>
        <w:rPr>
          <w:color w:val="000000"/>
          <w:spacing w:val="0"/>
          <w:w w:val="100"/>
          <w:position w:val="0"/>
        </w:rPr>
        <w:t>数字经济上升为中国国家战略，不断做强做优做大我国数字经济</w:t>
      </w:r>
      <w:bookmarkEnd w:id="75"/>
      <w:bookmarkEnd w:id="76"/>
      <w:bookmarkEnd w:id="77"/>
    </w:p>
    <w:p>
      <w:pPr>
        <w:pStyle w:val="Style22"/>
        <w:keepNext w:val="0"/>
        <w:keepLines w:val="0"/>
        <w:widowControl w:val="0"/>
        <w:shd w:val="clear" w:color="auto" w:fill="auto"/>
        <w:bidi w:val="0"/>
        <w:spacing w:before="0" w:line="313" w:lineRule="exact"/>
        <w:ind w:left="0" w:right="0"/>
        <w:jc w:val="both"/>
      </w:pPr>
      <w:r>
        <w:rPr>
          <w:color w:val="000000"/>
          <w:spacing w:val="0"/>
          <w:w w:val="100"/>
          <w:position w:val="0"/>
        </w:rPr>
        <w:t>“十四五”规划全面聚焦数字经济发展，习近平总书记指出，“不断做强做优做大我国数字经济”，数字经济成为拉动 中国经济可持续发展的核心引擎。</w:t>
      </w:r>
      <w:r>
        <w:rPr>
          <w:color w:val="000000"/>
          <w:spacing w:val="0"/>
          <w:w w:val="100"/>
          <w:position w:val="0"/>
          <w:sz w:val="18"/>
          <w:szCs w:val="18"/>
        </w:rPr>
        <w:t>2022</w:t>
      </w:r>
      <w:r>
        <w:rPr>
          <w:color w:val="000000"/>
          <w:spacing w:val="0"/>
          <w:w w:val="100"/>
          <w:position w:val="0"/>
        </w:rPr>
        <w:t>年《政府工作报告》中首次单独明确指出数字经济发展任务目标，“数字中国”建设 持续推进，战略地位再创新高。当前，数字技术正加速创新迭代，各行各业纷纷推进数字化转型进程，以数字技术为基石的 数字经济在我国国民经济中的比重不断增高。我国紧抓宝贵的时代机遇，重视数字技术与数字经济的高质量发展，充分发挥 海量数据和丰富应用场景优势，促进数字技术与实体经济深度融合，赋能传统产业转型升级，催生新产业新业态新模式。</w:t>
      </w:r>
    </w:p>
    <w:p>
      <w:pPr>
        <w:pStyle w:val="Style37"/>
        <w:keepNext/>
        <w:keepLines/>
        <w:widowControl w:val="0"/>
        <w:shd w:val="clear" w:color="auto" w:fill="auto"/>
        <w:bidi w:val="0"/>
        <w:spacing w:before="0" w:after="40" w:line="311" w:lineRule="exact"/>
        <w:ind w:left="0" w:right="0" w:firstLine="360"/>
        <w:jc w:val="left"/>
      </w:pPr>
      <w:bookmarkStart w:id="78" w:name="bookmark78"/>
      <w:bookmarkStart w:id="79" w:name="bookmark79"/>
      <w:bookmarkStart w:id="80" w:name="bookmark80"/>
      <w:r>
        <w:rPr>
          <w:color w:val="000000"/>
          <w:spacing w:val="0"/>
          <w:w w:val="100"/>
          <w:position w:val="0"/>
        </w:rPr>
        <w:t>我国软件产业全面布局，发展方向进一步明确</w:t>
      </w:r>
      <w:bookmarkEnd w:id="78"/>
      <w:bookmarkEnd w:id="79"/>
      <w:bookmarkEnd w:id="80"/>
    </w:p>
    <w:p>
      <w:pPr>
        <w:pStyle w:val="Style22"/>
        <w:keepNext w:val="0"/>
        <w:keepLines w:val="0"/>
        <w:widowControl w:val="0"/>
        <w:shd w:val="clear" w:color="auto" w:fill="auto"/>
        <w:bidi w:val="0"/>
        <w:spacing w:before="0" w:line="308" w:lineRule="exact"/>
        <w:ind w:left="0" w:right="0"/>
        <w:jc w:val="left"/>
      </w:pPr>
      <w:r>
        <w:rPr>
          <w:color w:val="000000"/>
          <w:spacing w:val="0"/>
          <w:w w:val="100"/>
          <w:position w:val="0"/>
        </w:rPr>
        <w:t>全球新一轮科技革命和产业变革深入发展，软件和信息技术服务业迎来新的发展机遇，中国经济由高速增长阶段转向高 质量发展阶段，软件行业也开始迈入精细化、高质量发展阶段。习近平总书记强调“要全面推进产业化、规模化应用，重点 突破关键软件，推动软件产业做大做强，提升关键软件技术创新和供给能力。”工业和信息化部印发的《“十四五”软件和 信息技术服务业发展规划》指明，软件是新一代信息技术的灵魂，是数字经济发展的基础，是制造强国、网络强国、数字中 国建设的关键支撑；到</w:t>
      </w:r>
      <w:r>
        <w:rPr>
          <w:color w:val="000000"/>
          <w:spacing w:val="0"/>
          <w:w w:val="100"/>
          <w:position w:val="0"/>
          <w:sz w:val="18"/>
          <w:szCs w:val="18"/>
        </w:rPr>
        <w:t>2025</w:t>
      </w:r>
      <w:r>
        <w:rPr>
          <w:color w:val="000000"/>
          <w:spacing w:val="0"/>
          <w:w w:val="100"/>
          <w:position w:val="0"/>
        </w:rPr>
        <w:t>年，预计规模以上企业软件业务收入突破</w:t>
      </w:r>
      <w:r>
        <w:rPr>
          <w:color w:val="000000"/>
          <w:spacing w:val="0"/>
          <w:w w:val="100"/>
          <w:position w:val="0"/>
          <w:sz w:val="18"/>
          <w:szCs w:val="18"/>
        </w:rPr>
        <w:t>14</w:t>
      </w:r>
      <w:r>
        <w:rPr>
          <w:color w:val="000000"/>
          <w:spacing w:val="0"/>
          <w:w w:val="100"/>
          <w:position w:val="0"/>
        </w:rPr>
        <w:t>万亿元，年均增长</w:t>
      </w:r>
      <w:r>
        <w:rPr>
          <w:color w:val="000000"/>
          <w:spacing w:val="0"/>
          <w:w w:val="100"/>
          <w:position w:val="0"/>
          <w:sz w:val="18"/>
          <w:szCs w:val="18"/>
        </w:rPr>
        <w:t>12%</w:t>
      </w:r>
      <w:r>
        <w:rPr>
          <w:color w:val="000000"/>
          <w:spacing w:val="0"/>
          <w:w w:val="100"/>
          <w:position w:val="0"/>
        </w:rPr>
        <w:t>以上。</w:t>
      </w:r>
    </w:p>
    <w:p>
      <w:pPr>
        <w:pStyle w:val="Style37"/>
        <w:keepNext/>
        <w:keepLines/>
        <w:widowControl w:val="0"/>
        <w:shd w:val="clear" w:color="auto" w:fill="auto"/>
        <w:bidi w:val="0"/>
        <w:spacing w:before="0" w:after="40" w:line="311" w:lineRule="exact"/>
        <w:ind w:left="0" w:right="0" w:firstLine="360"/>
        <w:jc w:val="left"/>
      </w:pPr>
      <w:bookmarkStart w:id="81" w:name="bookmark81"/>
      <w:bookmarkStart w:id="82" w:name="bookmark82"/>
      <w:bookmarkStart w:id="83" w:name="bookmark83"/>
      <w:r>
        <w:rPr>
          <w:color w:val="000000"/>
          <w:spacing w:val="0"/>
          <w:w w:val="100"/>
          <w:position w:val="0"/>
        </w:rPr>
        <w:t>国内数字技术服务市场碎片化严重，上升和整合空间巨大</w:t>
      </w:r>
      <w:bookmarkEnd w:id="81"/>
      <w:bookmarkEnd w:id="82"/>
      <w:bookmarkEnd w:id="83"/>
    </w:p>
    <w:p>
      <w:pPr>
        <w:pStyle w:val="Style22"/>
        <w:keepNext w:val="0"/>
        <w:keepLines w:val="0"/>
        <w:widowControl w:val="0"/>
        <w:shd w:val="clear" w:color="auto" w:fill="auto"/>
        <w:bidi w:val="0"/>
        <w:spacing w:before="0" w:after="380" w:line="311" w:lineRule="exact"/>
        <w:ind w:left="0" w:right="0"/>
        <w:jc w:val="left"/>
      </w:pPr>
      <w:r>
        <w:rPr>
          <w:color w:val="000000"/>
          <w:spacing w:val="0"/>
          <w:w w:val="100"/>
          <w:position w:val="0"/>
        </w:rPr>
        <w:t>伴随新一代数字技术的发展与应用，企业的数字化进程向数智融合方向转型，带来了更多降本增效的数字化解决方案， 数字技术服务的重要性越来越凸显，企业的</w:t>
      </w:r>
      <w:r>
        <w:rPr>
          <w:color w:val="000000"/>
          <w:spacing w:val="0"/>
          <w:w w:val="100"/>
          <w:position w:val="0"/>
          <w:sz w:val="18"/>
          <w:szCs w:val="18"/>
        </w:rPr>
        <w:t>IT</w:t>
      </w:r>
      <w:r>
        <w:rPr>
          <w:color w:val="000000"/>
          <w:spacing w:val="0"/>
          <w:w w:val="100"/>
          <w:position w:val="0"/>
        </w:rPr>
        <w:t>服务支出呈高速增长的态势。当前，全球数字技术服务一直保持着</w:t>
      </w:r>
      <w:r>
        <w:rPr>
          <w:color w:val="000000"/>
          <w:spacing w:val="0"/>
          <w:w w:val="100"/>
          <w:position w:val="0"/>
          <w:sz w:val="18"/>
          <w:szCs w:val="18"/>
        </w:rPr>
        <w:t>5%</w:t>
      </w:r>
      <w:r>
        <w:rPr>
          <w:color w:val="000000"/>
          <w:spacing w:val="0"/>
          <w:w w:val="100"/>
          <w:position w:val="0"/>
        </w:rPr>
        <w:t>左右的稳 定增长，而我国来源于国家信息化战略的实施、企业对于数字化转型等方面的需求，使得国内的数字技术服务一直保持着</w:t>
      </w:r>
      <w:r>
        <w:rPr>
          <w:color w:val="000000"/>
          <w:spacing w:val="0"/>
          <w:w w:val="100"/>
          <w:position w:val="0"/>
          <w:sz w:val="18"/>
          <w:szCs w:val="18"/>
        </w:rPr>
        <w:t xml:space="preserve">10% </w:t>
      </w:r>
      <w:r>
        <w:rPr>
          <w:color w:val="000000"/>
          <w:spacing w:val="0"/>
          <w:w w:val="100"/>
          <w:position w:val="0"/>
        </w:rPr>
        <w:t>以上的较高增长水平。数字技术服务是数字经济发展的重要一环，但国内数字技术服务行业呈现需求分散、服务市场碎片化 的特征，各服务提供商能力良莠不齐，与国际领导企业相比，中国公司还有较大增长空间，未来，软件和信息技术服务企业 上升和整合空间巨大。</w:t>
      </w:r>
    </w:p>
    <w:p>
      <w:pPr>
        <w:pStyle w:val="Style27"/>
        <w:keepNext/>
        <w:keepLines/>
        <w:widowControl w:val="0"/>
        <w:shd w:val="clear" w:color="auto" w:fill="auto"/>
        <w:tabs>
          <w:tab w:pos="480" w:val="left"/>
        </w:tabs>
        <w:bidi w:val="0"/>
        <w:spacing w:before="0" w:after="24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二</w:t>
      </w:r>
      <w:bookmarkEnd w:id="86"/>
      <w:r>
        <w:rPr>
          <w:color w:val="000000"/>
          <w:spacing w:val="0"/>
          <w:w w:val="100"/>
          <w:position w:val="0"/>
          <w:sz w:val="24"/>
          <w:szCs w:val="24"/>
        </w:rPr>
        <w:t>、</w:t>
        <w:tab/>
        <w:t>报告期内公司从事的主要业务</w:t>
      </w:r>
      <w:bookmarkEnd w:id="84"/>
      <w:bookmarkEnd w:id="85"/>
      <w:bookmarkEnd w:id="87"/>
    </w:p>
    <w:p>
      <w:pPr>
        <w:pStyle w:val="Style22"/>
        <w:keepNext w:val="0"/>
        <w:keepLines w:val="0"/>
        <w:widowControl w:val="0"/>
        <w:shd w:val="clear" w:color="auto" w:fill="auto"/>
        <w:bidi w:val="0"/>
        <w:spacing w:before="0" w:line="310" w:lineRule="exact"/>
        <w:ind w:left="0" w:right="0"/>
        <w:jc w:val="both"/>
      </w:pPr>
      <w:r>
        <w:rPr>
          <w:color w:val="000000"/>
          <w:spacing w:val="0"/>
          <w:w w:val="100"/>
          <w:position w:val="0"/>
        </w:rPr>
        <w:t>软通动力是一家拥有深厚行业积累和全面技术实力的软件与信息技术服务商，主营业务是为通讯设备、互联网服务、金 融科技、高科技与制造等多个行业客户提供端到端的以咨询和解决方案、数字技术为主的数字化创新业务服务、通用技术服 务和数字化运营服务。软通动力业务发展紧跟信息技术产业发展变革，在以客户为中心的服务理念下，形成了覆盖信息技术 服务全生命周期的多层次服务体系。</w:t>
      </w:r>
    </w:p>
    <w:p>
      <w:pPr>
        <w:pStyle w:val="Style22"/>
        <w:keepNext w:val="0"/>
        <w:keepLines w:val="0"/>
        <w:widowControl w:val="0"/>
        <w:shd w:val="clear" w:color="auto" w:fill="auto"/>
        <w:bidi w:val="0"/>
        <w:spacing w:before="0" w:after="140" w:line="312" w:lineRule="exact"/>
        <w:ind w:left="0" w:right="0"/>
        <w:jc w:val="both"/>
      </w:pPr>
      <w:r>
        <w:rPr>
          <w:color w:val="000000"/>
          <w:spacing w:val="0"/>
          <w:w w:val="100"/>
          <w:position w:val="0"/>
        </w:rPr>
        <w:t xml:space="preserve">同时，软通动力致力成为具有全球影响力的数字技术服务领导企业，全力拥抱数字经济。数字化创新业务是软通动力新 的增长引擎。在咨询与解决方案，云智能，智能终端，工业互联网、信创及开源鸿蒙/欧拉等业务领域进行布局，聚焦重点 大客户，协同生态合作伙伴，整合优势资源，深入发掘业务场景，通过内外协同拉通，不断尝试数字化创新业务模式并积累 </w:t>
      </w:r>
      <w:r>
        <w:rPr>
          <w:color w:val="000000"/>
          <w:spacing w:val="0"/>
          <w:w w:val="100"/>
          <w:position w:val="0"/>
        </w:rPr>
        <w:t>业务实践，推动客户数字化转型和价值提升。</w:t>
      </w:r>
    </w:p>
    <w:p>
      <w:pPr>
        <w:pStyle w:val="Style37"/>
        <w:keepNext/>
        <w:keepLines/>
        <w:widowControl w:val="0"/>
        <w:shd w:val="clear" w:color="auto" w:fill="auto"/>
        <w:bidi w:val="0"/>
        <w:spacing w:before="0" w:after="0" w:line="360" w:lineRule="auto"/>
        <w:ind w:left="0" w:right="0" w:firstLine="520"/>
        <w:jc w:val="both"/>
      </w:pPr>
      <w:bookmarkStart w:id="88" w:name="bookmark88"/>
      <w:bookmarkStart w:id="89" w:name="bookmark89"/>
      <w:bookmarkStart w:id="90" w:name="bookmark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主营业务及市场地位</w:t>
      </w:r>
      <w:bookmarkEnd w:id="88"/>
      <w:bookmarkEnd w:id="89"/>
      <w:bookmarkEnd w:id="90"/>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软通动力凭借深厚的行业积累，在</w:t>
      </w:r>
      <w:r>
        <w:rPr>
          <w:color w:val="000000"/>
          <w:spacing w:val="0"/>
          <w:w w:val="100"/>
          <w:position w:val="0"/>
          <w:sz w:val="18"/>
          <w:szCs w:val="18"/>
        </w:rPr>
        <w:t>10</w:t>
      </w:r>
      <w:r>
        <w:rPr>
          <w:color w:val="000000"/>
          <w:spacing w:val="0"/>
          <w:w w:val="100"/>
          <w:position w:val="0"/>
        </w:rPr>
        <w:t>余个重要行业服务超过</w:t>
      </w:r>
      <w:r>
        <w:rPr>
          <w:color w:val="000000"/>
          <w:spacing w:val="0"/>
          <w:w w:val="100"/>
          <w:position w:val="0"/>
          <w:sz w:val="18"/>
          <w:szCs w:val="18"/>
        </w:rPr>
        <w:t>1, 000</w:t>
      </w:r>
      <w:r>
        <w:rPr>
          <w:color w:val="000000"/>
          <w:spacing w:val="0"/>
          <w:w w:val="100"/>
          <w:position w:val="0"/>
        </w:rPr>
        <w:t>家国内外客户，其中超过</w:t>
      </w:r>
      <w:r>
        <w:rPr>
          <w:color w:val="000000"/>
          <w:spacing w:val="0"/>
          <w:w w:val="100"/>
          <w:position w:val="0"/>
          <w:sz w:val="18"/>
          <w:szCs w:val="18"/>
        </w:rPr>
        <w:t>200</w:t>
      </w:r>
      <w:r>
        <w:rPr>
          <w:color w:val="000000"/>
          <w:spacing w:val="0"/>
          <w:w w:val="100"/>
          <w:position w:val="0"/>
        </w:rPr>
        <w:t>家客户为世界</w:t>
      </w:r>
      <w:r>
        <w:rPr>
          <w:color w:val="000000"/>
          <w:spacing w:val="0"/>
          <w:w w:val="100"/>
          <w:position w:val="0"/>
          <w:sz w:val="18"/>
          <w:szCs w:val="18"/>
        </w:rPr>
        <w:t>500</w:t>
      </w:r>
      <w:r>
        <w:rPr>
          <w:color w:val="000000"/>
          <w:spacing w:val="0"/>
          <w:w w:val="100"/>
          <w:position w:val="0"/>
        </w:rPr>
        <w:t>强或中 国</w:t>
      </w:r>
      <w:r>
        <w:rPr>
          <w:color w:val="000000"/>
          <w:spacing w:val="0"/>
          <w:w w:val="100"/>
          <w:position w:val="0"/>
          <w:sz w:val="18"/>
          <w:szCs w:val="18"/>
        </w:rPr>
        <w:t>500</w:t>
      </w:r>
      <w:r>
        <w:rPr>
          <w:color w:val="000000"/>
          <w:spacing w:val="0"/>
          <w:w w:val="100"/>
          <w:position w:val="0"/>
        </w:rPr>
        <w:t>强企业。截至报告期末，软通动力已经拥有</w:t>
      </w:r>
      <w:r>
        <w:rPr>
          <w:color w:val="000000"/>
          <w:spacing w:val="0"/>
          <w:w w:val="100"/>
          <w:position w:val="0"/>
          <w:sz w:val="18"/>
          <w:szCs w:val="18"/>
        </w:rPr>
        <w:t>1,358</w:t>
      </w:r>
      <w:r>
        <w:rPr>
          <w:color w:val="000000"/>
          <w:spacing w:val="0"/>
          <w:w w:val="100"/>
          <w:position w:val="0"/>
        </w:rPr>
        <w:t>项计算机软件著作权、</w:t>
      </w:r>
      <w:r>
        <w:rPr>
          <w:color w:val="000000"/>
          <w:spacing w:val="0"/>
          <w:w w:val="100"/>
          <w:position w:val="0"/>
          <w:sz w:val="18"/>
          <w:szCs w:val="18"/>
        </w:rPr>
        <w:t>51</w:t>
      </w:r>
      <w:r>
        <w:rPr>
          <w:color w:val="000000"/>
          <w:spacing w:val="0"/>
          <w:w w:val="100"/>
          <w:position w:val="0"/>
        </w:rPr>
        <w:t xml:space="preserve">项专利。报告期内，软通动力再次获得了 </w:t>
      </w:r>
      <w:r>
        <w:rPr>
          <w:color w:val="000000"/>
          <w:spacing w:val="0"/>
          <w:w w:val="100"/>
          <w:position w:val="0"/>
          <w:sz w:val="18"/>
          <w:szCs w:val="18"/>
        </w:rPr>
        <w:t>CMMI-DEV 2.0</w:t>
      </w:r>
      <w:r>
        <w:rPr>
          <w:color w:val="000000"/>
          <w:spacing w:val="0"/>
          <w:w w:val="100"/>
          <w:position w:val="0"/>
        </w:rPr>
        <w:t>版</w:t>
      </w:r>
      <w:r>
        <w:rPr>
          <w:color w:val="000000"/>
          <w:spacing w:val="0"/>
          <w:w w:val="100"/>
          <w:position w:val="0"/>
          <w:sz w:val="18"/>
          <w:szCs w:val="18"/>
        </w:rPr>
        <w:t>5</w:t>
      </w:r>
      <w:r>
        <w:rPr>
          <w:color w:val="000000"/>
          <w:spacing w:val="0"/>
          <w:w w:val="100"/>
          <w:position w:val="0"/>
        </w:rPr>
        <w:t>级认证，通过了国家数据管理能力成熟度三级（稳健级）认证、可信云</w:t>
      </w:r>
      <w:r>
        <w:rPr>
          <w:color w:val="000000"/>
          <w:spacing w:val="0"/>
          <w:w w:val="100"/>
          <w:position w:val="0"/>
          <w:sz w:val="18"/>
          <w:szCs w:val="18"/>
        </w:rPr>
        <w:t>MSP</w:t>
      </w:r>
      <w:r>
        <w:rPr>
          <w:color w:val="000000"/>
          <w:spacing w:val="0"/>
          <w:w w:val="100"/>
          <w:position w:val="0"/>
        </w:rPr>
        <w:t>管理服务能力卓越级认证、国际 软件测试成熟度模型集成</w:t>
      </w:r>
      <w:r>
        <w:rPr>
          <w:color w:val="000000"/>
          <w:spacing w:val="0"/>
          <w:w w:val="100"/>
          <w:position w:val="0"/>
          <w:sz w:val="18"/>
          <w:szCs w:val="18"/>
        </w:rPr>
        <w:t>（TMMi）</w:t>
      </w:r>
      <w:r>
        <w:rPr>
          <w:color w:val="000000"/>
          <w:spacing w:val="0"/>
          <w:w w:val="100"/>
          <w:position w:val="0"/>
          <w:sz w:val="18"/>
          <w:szCs w:val="18"/>
        </w:rPr>
        <w:t>3</w:t>
      </w:r>
      <w:r>
        <w:rPr>
          <w:color w:val="000000"/>
          <w:spacing w:val="0"/>
          <w:w w:val="100"/>
          <w:position w:val="0"/>
        </w:rPr>
        <w:t>级认证，并获得了</w:t>
      </w:r>
      <w:r>
        <w:rPr>
          <w:color w:val="000000"/>
          <w:spacing w:val="0"/>
          <w:w w:val="100"/>
          <w:position w:val="0"/>
          <w:sz w:val="18"/>
          <w:szCs w:val="18"/>
        </w:rPr>
        <w:t>ITSS</w:t>
      </w:r>
      <w:r>
        <w:rPr>
          <w:color w:val="000000"/>
          <w:spacing w:val="0"/>
          <w:w w:val="100"/>
          <w:position w:val="0"/>
        </w:rPr>
        <w:t>运维服务能力成熟度一级资质。</w:t>
      </w:r>
    </w:p>
    <w:p>
      <w:pPr>
        <w:pStyle w:val="Style22"/>
        <w:keepNext w:val="0"/>
        <w:keepLines w:val="0"/>
        <w:widowControl w:val="0"/>
        <w:shd w:val="clear" w:color="auto" w:fill="auto"/>
        <w:bidi w:val="0"/>
        <w:spacing w:before="0" w:after="140" w:line="306" w:lineRule="exact"/>
        <w:ind w:left="0" w:right="0" w:firstLine="380"/>
        <w:jc w:val="both"/>
      </w:pPr>
      <w:r>
        <w:rPr>
          <w:color w:val="000000"/>
          <w:spacing w:val="0"/>
          <w:w w:val="100"/>
          <w:position w:val="0"/>
        </w:rPr>
        <w:t>软通动力先后获得工信部“中国软件业务收入前百家企业”、中国电子信息行业联合会“软件和信息技术服务综合竞争 力百强企业”、中国软件行业协会“中国最具影响力软件和信息服务企业”、国际外包专业协会（</w:t>
      </w:r>
      <w:r>
        <w:rPr>
          <w:color w:val="000000"/>
          <w:spacing w:val="0"/>
          <w:w w:val="100"/>
          <w:position w:val="0"/>
          <w:sz w:val="18"/>
          <w:szCs w:val="18"/>
        </w:rPr>
        <w:t>IAOP）"Global Outsourcing 100list Leader Size Group”</w:t>
      </w:r>
      <w:r>
        <w:rPr>
          <w:color w:val="000000"/>
          <w:spacing w:val="0"/>
          <w:w w:val="100"/>
          <w:position w:val="0"/>
        </w:rPr>
        <w:t>等奖项荣誉；连续三年入围中国电子信息行业联合会《软件和信息技术服务企业竞争力报告 及前百家企业名单》前</w:t>
      </w:r>
      <w:r>
        <w:rPr>
          <w:color w:val="000000"/>
          <w:spacing w:val="0"/>
          <w:w w:val="100"/>
          <w:position w:val="0"/>
          <w:sz w:val="18"/>
          <w:szCs w:val="18"/>
        </w:rPr>
        <w:t>20</w:t>
      </w:r>
      <w:r>
        <w:rPr>
          <w:color w:val="000000"/>
          <w:spacing w:val="0"/>
          <w:w w:val="100"/>
          <w:position w:val="0"/>
        </w:rPr>
        <w:t>强，</w:t>
      </w:r>
      <w:r>
        <w:rPr>
          <w:color w:val="000000"/>
          <w:spacing w:val="0"/>
          <w:w w:val="100"/>
          <w:position w:val="0"/>
          <w:sz w:val="18"/>
          <w:szCs w:val="18"/>
        </w:rPr>
        <w:t>2021</w:t>
      </w:r>
      <w:r>
        <w:rPr>
          <w:color w:val="000000"/>
          <w:spacing w:val="0"/>
          <w:w w:val="100"/>
          <w:position w:val="0"/>
        </w:rPr>
        <w:t>年排名继续提升至第</w:t>
      </w:r>
      <w:r>
        <w:rPr>
          <w:color w:val="000000"/>
          <w:spacing w:val="0"/>
          <w:w w:val="100"/>
          <w:position w:val="0"/>
          <w:sz w:val="18"/>
          <w:szCs w:val="18"/>
        </w:rPr>
        <w:t>17</w:t>
      </w:r>
      <w:r>
        <w:rPr>
          <w:color w:val="000000"/>
          <w:spacing w:val="0"/>
          <w:w w:val="100"/>
          <w:position w:val="0"/>
        </w:rPr>
        <w:t>位。</w:t>
      </w:r>
    </w:p>
    <w:p>
      <w:pPr>
        <w:pStyle w:val="Style37"/>
        <w:keepNext/>
        <w:keepLines/>
        <w:widowControl w:val="0"/>
        <w:shd w:val="clear" w:color="auto" w:fill="auto"/>
        <w:bidi w:val="0"/>
        <w:spacing w:before="0" w:after="0" w:line="360" w:lineRule="auto"/>
        <w:ind w:left="0" w:right="0" w:firstLine="520"/>
        <w:jc w:val="both"/>
      </w:pPr>
      <w:bookmarkStart w:id="91" w:name="bookmark91"/>
      <w:bookmarkStart w:id="92" w:name="bookmark92"/>
      <w:bookmarkStart w:id="93" w:name="bookmark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报告期内主要业务进展</w:t>
      </w:r>
      <w:bookmarkEnd w:id="91"/>
      <w:bookmarkEnd w:id="92"/>
      <w:bookmarkEnd w:id="93"/>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秉承用数字技术提升客户价值的使命，软通动力长期为多领域客户提供以咨询与解决方案、数字技术为主的数字化创新 业务服务、通用技术服务和数字化运营服务，从而构建起多层次技术服务体系。</w:t>
      </w:r>
    </w:p>
    <w:p>
      <w:pPr>
        <w:pStyle w:val="Style22"/>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报告期内，公司具体产品及服务进展情况如下：</w:t>
      </w:r>
    </w:p>
    <w:p>
      <w:pPr>
        <w:pStyle w:val="Style37"/>
        <w:keepNext/>
        <w:keepLines/>
        <w:widowControl w:val="0"/>
        <w:shd w:val="clear" w:color="auto" w:fill="auto"/>
        <w:bidi w:val="0"/>
        <w:spacing w:before="0" w:after="0" w:line="360" w:lineRule="auto"/>
        <w:ind w:left="0" w:right="0" w:firstLine="520"/>
        <w:jc w:val="both"/>
      </w:pPr>
      <w:bookmarkStart w:id="94" w:name="bookmark94"/>
      <w:bookmarkStart w:id="95" w:name="bookmark95"/>
      <w:bookmarkStart w:id="96" w:name="bookmark96"/>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数字化创新业务</w:t>
      </w:r>
      <w:bookmarkEnd w:id="94"/>
      <w:bookmarkEnd w:id="95"/>
      <w:bookmarkEnd w:id="96"/>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响应推进产业数字化进程的国家发展战略，软通动力积极布局咨询与解决方案、云智能、智能终端、工业互联网、信创 及开源鸿蒙/欧拉等业务领域，打造数字化创新业务，持续进行业务创新和突破。在以客户为中心的服务理念下，已在多领 域向客户提供数字化创新业务服务，开辟覆盖信息技术服务全生命周期的新增长空间。</w:t>
      </w:r>
    </w:p>
    <w:p>
      <w:pPr>
        <w:pStyle w:val="Style22"/>
        <w:keepNext w:val="0"/>
        <w:keepLines w:val="0"/>
        <w:widowControl w:val="0"/>
        <w:shd w:val="clear" w:color="auto" w:fill="auto"/>
        <w:bidi w:val="0"/>
        <w:spacing w:before="0" w:after="140" w:line="322" w:lineRule="exact"/>
        <w:ind w:left="0" w:right="0" w:firstLine="380"/>
        <w:jc w:val="both"/>
      </w:pPr>
      <w:r>
        <w:rPr>
          <w:color w:val="000000"/>
          <w:spacing w:val="0"/>
          <w:w w:val="100"/>
          <w:position w:val="0"/>
        </w:rPr>
        <w:t>报告期内，数字化创新业务实现收入</w:t>
      </w:r>
      <w:r>
        <w:rPr>
          <w:color w:val="000000"/>
          <w:spacing w:val="0"/>
          <w:w w:val="100"/>
          <w:position w:val="0"/>
          <w:sz w:val="18"/>
          <w:szCs w:val="18"/>
        </w:rPr>
        <w:t>67.43</w:t>
      </w:r>
      <w:r>
        <w:rPr>
          <w:color w:val="000000"/>
          <w:spacing w:val="0"/>
          <w:w w:val="100"/>
          <w:position w:val="0"/>
        </w:rPr>
        <w:t>亿元，占营业收入的比例为</w:t>
      </w:r>
      <w:r>
        <w:rPr>
          <w:color w:val="000000"/>
          <w:spacing w:val="0"/>
          <w:w w:val="100"/>
          <w:position w:val="0"/>
          <w:sz w:val="18"/>
          <w:szCs w:val="18"/>
        </w:rPr>
        <w:t xml:space="preserve">40. </w:t>
      </w:r>
      <w:r>
        <w:rPr>
          <w:color w:val="000000"/>
          <w:spacing w:val="0"/>
          <w:w w:val="100"/>
          <w:position w:val="0"/>
          <w:sz w:val="18"/>
          <w:szCs w:val="18"/>
        </w:rPr>
        <w:t>56%</w:t>
      </w:r>
      <w:r>
        <w:rPr>
          <w:color w:val="000000"/>
          <w:spacing w:val="0"/>
          <w:w w:val="100"/>
          <w:position w:val="0"/>
        </w:rPr>
        <w:t>，同比增长</w:t>
      </w:r>
      <w:r>
        <w:rPr>
          <w:color w:val="000000"/>
          <w:spacing w:val="0"/>
          <w:w w:val="100"/>
          <w:position w:val="0"/>
          <w:sz w:val="18"/>
          <w:szCs w:val="18"/>
        </w:rPr>
        <w:t>37.82%，</w:t>
      </w:r>
      <w:r>
        <w:rPr>
          <w:color w:val="000000"/>
          <w:spacing w:val="0"/>
          <w:w w:val="100"/>
          <w:position w:val="0"/>
        </w:rPr>
        <w:t>已成为软通动力业务 新的增长引擎。</w:t>
      </w:r>
    </w:p>
    <w:p>
      <w:pPr>
        <w:pStyle w:val="Style22"/>
        <w:keepNext w:val="0"/>
        <w:keepLines w:val="0"/>
        <w:widowControl w:val="0"/>
        <w:shd w:val="clear" w:color="auto" w:fill="auto"/>
        <w:bidi w:val="0"/>
        <w:spacing w:before="0" w:after="0" w:line="374" w:lineRule="auto"/>
        <w:ind w:left="0" w:right="0" w:firstLine="520"/>
        <w:jc w:val="both"/>
      </w:pPr>
      <w:r>
        <w:rPr>
          <w:rFonts w:ascii="Times New Roman" w:eastAsia="Times New Roman" w:hAnsi="Times New Roman" w:cs="Times New Roman"/>
          <w:b/>
          <w:bCs/>
          <w:color w:val="000000"/>
          <w:spacing w:val="0"/>
          <w:w w:val="100"/>
          <w:position w:val="0"/>
          <w:sz w:val="18"/>
          <w:szCs w:val="18"/>
        </w:rPr>
        <w:t>2.1.1</w:t>
      </w:r>
      <w:r>
        <w:rPr>
          <w:b/>
          <w:bCs/>
          <w:color w:val="000000"/>
          <w:spacing w:val="0"/>
          <w:w w:val="100"/>
          <w:position w:val="0"/>
        </w:rPr>
        <w:t>咨询与解决方案</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报告期内，软通动力以企业数字化转型为核心，依托自主研发的可复制、高成熟度的软件产品、平台、工具或行业知识， 面向客户实际应用需求，将自身对行业数字化转型需求及痛点的深刻认知和解决方案设计开发能力相融合，为行业客户数字 化转型提供咨询规划、设计、开发实施、测试运维一体化的整体解决方案，助力企业在数字化转型中优化商业流程、重构用 户体验、创新数字化产品和服务。</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软通动力在多年客户积累的基础上，推出了 “软通咨询”品牌服务，迅速在制造、交通、能源、高科技、零售等行业领 域打开了局面，并快速建立了七大能力线，包括数据使能、战略规划、数字化转型、智能制造、云咨询、企业安全等。通过 建立全面的“行业线+能力线”服务体系，重点针对以央国企为代表的大型集团客户提供数字化转型咨询及解决方案服务。 其中，为大型央国企提供企业数字化转型规划咨询、十四五信息化、数字化顶层规划设计、企业架构规划设计、企业数字化 转型培训、国资监管平台规划设计、金融科技规划设计、集团司库与资金管理咨询等服务；为地方龙头企业提供集成产品研 发规划咨询、数字化供应链规划咨询、数据治理及中台规划设计、低碳空间规划咨询、企业上云规划设计等服务；为大型民 营企业提供业务及</w:t>
      </w:r>
      <w:r>
        <w:rPr>
          <w:color w:val="000000"/>
          <w:spacing w:val="0"/>
          <w:w w:val="100"/>
          <w:position w:val="0"/>
          <w:sz w:val="18"/>
          <w:szCs w:val="18"/>
        </w:rPr>
        <w:t>IT</w:t>
      </w:r>
      <w:r>
        <w:rPr>
          <w:color w:val="000000"/>
          <w:spacing w:val="0"/>
          <w:w w:val="100"/>
          <w:position w:val="0"/>
        </w:rPr>
        <w:t>现状调研分析、新零售规划咨询、财务咨询、数据可视化咨询等；为跨国外资巨头提供业务流程规划设 计、财务规划咨询、大宗商品交易业务流程规划、餐饮行业中台产品规划设计、主数据规划咨询、新零售规划设计等服务。 为金融行业客户提供银行现金管理解决方案咨询、银行数据资产管理解决方案咨询、保险核心业务系统解决方案咨询等服务。 软通咨询以数字化理念为引导，以新兴的数字化技术为支撑，以领先的业务咨询、系统设计和实施方法论为抓手，为企业的 数字化转型提供全栈式解决方案，逐渐筑起了自身的竞争壁垒。</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报告期内，软通动力先后获得“</w:t>
      </w:r>
      <w:r>
        <w:rPr>
          <w:color w:val="000000"/>
          <w:spacing w:val="0"/>
          <w:w w:val="100"/>
          <w:position w:val="0"/>
          <w:sz w:val="18"/>
          <w:szCs w:val="18"/>
        </w:rPr>
        <w:t>2020</w:t>
      </w:r>
      <w:r>
        <w:rPr>
          <w:color w:val="000000"/>
          <w:spacing w:val="0"/>
          <w:w w:val="100"/>
          <w:position w:val="0"/>
        </w:rPr>
        <w:t>年度数字制造创新解决方案”、</w:t>
      </w:r>
      <w:r>
        <w:rPr>
          <w:color w:val="000000"/>
          <w:spacing w:val="0"/>
          <w:w w:val="100"/>
          <w:position w:val="0"/>
          <w:sz w:val="18"/>
          <w:szCs w:val="18"/>
        </w:rPr>
        <w:t>“2020</w:t>
      </w:r>
      <w:r>
        <w:rPr>
          <w:color w:val="000000"/>
          <w:spacing w:val="0"/>
          <w:w w:val="100"/>
          <w:position w:val="0"/>
        </w:rPr>
        <w:t>年中国软件行业优秀解决方案”、</w:t>
      </w:r>
      <w:r>
        <w:rPr>
          <w:color w:val="000000"/>
          <w:spacing w:val="0"/>
          <w:w w:val="100"/>
          <w:position w:val="0"/>
          <w:sz w:val="18"/>
          <w:szCs w:val="18"/>
        </w:rPr>
        <w:t xml:space="preserve">“2021 </w:t>
      </w:r>
      <w:r>
        <w:rPr>
          <w:color w:val="000000"/>
          <w:spacing w:val="0"/>
          <w:w w:val="100"/>
          <w:position w:val="0"/>
        </w:rPr>
        <w:t>年度优秀数字化解决方案提供商”、</w:t>
      </w:r>
      <w:r>
        <w:rPr>
          <w:color w:val="000000"/>
          <w:spacing w:val="0"/>
          <w:w w:val="100"/>
          <w:position w:val="0"/>
          <w:sz w:val="18"/>
          <w:szCs w:val="18"/>
        </w:rPr>
        <w:t>“2021</w:t>
      </w:r>
      <w:r>
        <w:rPr>
          <w:color w:val="000000"/>
          <w:spacing w:val="0"/>
          <w:w w:val="100"/>
          <w:position w:val="0"/>
        </w:rPr>
        <w:t>数字生态数字化服务领军企业”等奖项。</w:t>
      </w:r>
    </w:p>
    <w:p>
      <w:pPr>
        <w:pStyle w:val="Style22"/>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报告期内，软通动力咨询与解决方案业务实现营业收入</w:t>
      </w:r>
      <w:r>
        <w:rPr>
          <w:color w:val="000000"/>
          <w:spacing w:val="0"/>
          <w:w w:val="100"/>
          <w:position w:val="0"/>
          <w:sz w:val="18"/>
          <w:szCs w:val="18"/>
        </w:rPr>
        <w:t>7.84</w:t>
      </w:r>
      <w:r>
        <w:rPr>
          <w:color w:val="000000"/>
          <w:spacing w:val="0"/>
          <w:w w:val="100"/>
          <w:position w:val="0"/>
        </w:rPr>
        <w:t>亿元，占营业收入的比例为</w:t>
      </w:r>
      <w:r>
        <w:rPr>
          <w:color w:val="000000"/>
          <w:spacing w:val="0"/>
          <w:w w:val="100"/>
          <w:position w:val="0"/>
          <w:sz w:val="18"/>
          <w:szCs w:val="18"/>
        </w:rPr>
        <w:t>4.72%，</w:t>
      </w:r>
      <w:r>
        <w:rPr>
          <w:color w:val="000000"/>
          <w:spacing w:val="0"/>
          <w:w w:val="100"/>
          <w:position w:val="0"/>
        </w:rPr>
        <w:t>较上年同期增长</w:t>
      </w:r>
      <w:r>
        <w:rPr>
          <w:color w:val="000000"/>
          <w:spacing w:val="0"/>
          <w:w w:val="100"/>
          <w:position w:val="0"/>
          <w:sz w:val="18"/>
          <w:szCs w:val="18"/>
        </w:rPr>
        <w:t>31.67%</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520"/>
        <w:jc w:val="both"/>
      </w:pPr>
      <w:r>
        <w:rPr>
          <w:rFonts w:ascii="Times New Roman" w:eastAsia="Times New Roman" w:hAnsi="Times New Roman" w:cs="Times New Roman"/>
          <w:b/>
          <w:bCs/>
          <w:color w:val="000000"/>
          <w:spacing w:val="0"/>
          <w:w w:val="100"/>
          <w:position w:val="0"/>
          <w:sz w:val="18"/>
          <w:szCs w:val="18"/>
        </w:rPr>
        <w:t>2.1.2</w:t>
      </w:r>
      <w:r>
        <w:rPr>
          <w:b/>
          <w:bCs/>
          <w:color w:val="000000"/>
          <w:spacing w:val="0"/>
          <w:w w:val="100"/>
          <w:position w:val="0"/>
        </w:rPr>
        <w:t>数字技术服务</w:t>
      </w:r>
    </w:p>
    <w:p>
      <w:pPr>
        <w:pStyle w:val="Style2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报告期内，软通动力充分发挥自身在新兴技术领域的深厚积累和应用经验，与多家客户展开深入合作，在云计算、大数 据、物联网、人工智能、区块链、</w:t>
      </w:r>
      <w:r>
        <w:rPr>
          <w:color w:val="000000"/>
          <w:spacing w:val="0"/>
          <w:w w:val="100"/>
          <w:position w:val="0"/>
          <w:sz w:val="18"/>
          <w:szCs w:val="18"/>
        </w:rPr>
        <w:t>5G</w:t>
      </w:r>
      <w:r>
        <w:rPr>
          <w:color w:val="000000"/>
          <w:spacing w:val="0"/>
          <w:w w:val="100"/>
          <w:position w:val="0"/>
        </w:rPr>
        <w:t>、</w:t>
      </w:r>
      <w:r>
        <w:rPr>
          <w:color w:val="000000"/>
          <w:spacing w:val="0"/>
          <w:w w:val="100"/>
          <w:position w:val="0"/>
        </w:rPr>
        <w:t xml:space="preserve">半导体和集成电路、信息安全等创新数字化技术领域进行了重点投入，并逐步实现了 </w:t>
      </w:r>
      <w:r>
        <w:rPr>
          <w:color w:val="000000"/>
          <w:spacing w:val="0"/>
          <w:w w:val="100"/>
          <w:position w:val="0"/>
        </w:rPr>
        <w:t>赋能输出。</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软通动力与华为云、阿里云、腾讯云、亚马逊云、京东云、移动云、天翼云、用友云等云厂商建立了全面的合作伙伴关 系。软通动力的云服务已从研发、营销、</w:t>
      </w:r>
      <w:r>
        <w:rPr>
          <w:color w:val="000000"/>
          <w:spacing w:val="0"/>
          <w:w w:val="100"/>
          <w:position w:val="0"/>
          <w:sz w:val="18"/>
          <w:szCs w:val="18"/>
        </w:rPr>
        <w:t>IT</w:t>
      </w:r>
      <w:r>
        <w:rPr>
          <w:color w:val="000000"/>
          <w:spacing w:val="0"/>
          <w:w w:val="100"/>
          <w:position w:val="0"/>
        </w:rPr>
        <w:t>等服务，全面延伸到咨询、解决方案等高附加值领域，构建了一套全栈式、端到 端的云化业务流程。</w:t>
      </w:r>
    </w:p>
    <w:p>
      <w:pPr>
        <w:pStyle w:val="Style2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其中云智能服务覆盖</w:t>
      </w:r>
      <w:r>
        <w:rPr>
          <w:color w:val="000000"/>
          <w:spacing w:val="0"/>
          <w:w w:val="100"/>
          <w:position w:val="0"/>
          <w:sz w:val="18"/>
          <w:szCs w:val="18"/>
        </w:rPr>
        <w:t>9</w:t>
      </w:r>
      <w:r>
        <w:rPr>
          <w:color w:val="000000"/>
          <w:spacing w:val="0"/>
          <w:w w:val="100"/>
          <w:position w:val="0"/>
        </w:rPr>
        <w:t>大领域，帮助用户了解云上产品，为客户提供基于行业特点云规划、云架构设计、可行性方案咨 询服务等；在云原生开发方面，基于微服务、容器，</w:t>
      </w:r>
      <w:r>
        <w:rPr>
          <w:color w:val="000000"/>
          <w:spacing w:val="0"/>
          <w:w w:val="100"/>
          <w:position w:val="0"/>
          <w:sz w:val="18"/>
          <w:szCs w:val="18"/>
        </w:rPr>
        <w:t>DevOps</w:t>
      </w:r>
      <w:r>
        <w:rPr>
          <w:color w:val="000000"/>
          <w:spacing w:val="0"/>
          <w:w w:val="100"/>
          <w:position w:val="0"/>
        </w:rPr>
        <w:t>等开发相关服务，形成了</w:t>
      </w:r>
      <w:r>
        <w:rPr>
          <w:color w:val="000000"/>
          <w:spacing w:val="0"/>
          <w:w w:val="100"/>
          <w:position w:val="0"/>
          <w:sz w:val="18"/>
          <w:szCs w:val="18"/>
        </w:rPr>
        <w:t>iPaaS</w:t>
      </w:r>
      <w:r>
        <w:rPr>
          <w:color w:val="000000"/>
          <w:spacing w:val="0"/>
          <w:w w:val="100"/>
          <w:position w:val="0"/>
        </w:rPr>
        <w:t>开发平台、</w:t>
      </w:r>
      <w:r>
        <w:rPr>
          <w:color w:val="000000"/>
          <w:spacing w:val="0"/>
          <w:w w:val="100"/>
          <w:position w:val="0"/>
          <w:sz w:val="18"/>
          <w:szCs w:val="18"/>
        </w:rPr>
        <w:t>USP</w:t>
      </w:r>
      <w:r>
        <w:rPr>
          <w:color w:val="000000"/>
          <w:spacing w:val="0"/>
          <w:w w:val="100"/>
          <w:position w:val="0"/>
        </w:rPr>
        <w:t>低代码平台等核心 产品；在数字智能方面，提供数据库、大数据、人工智能等数据相关服务，形成了数据中台、软通智核、智能流程机器人等 核心产品；在</w:t>
      </w:r>
      <w:r>
        <w:rPr>
          <w:color w:val="000000"/>
          <w:spacing w:val="0"/>
          <w:w w:val="100"/>
          <w:position w:val="0"/>
          <w:sz w:val="18"/>
          <w:szCs w:val="18"/>
        </w:rPr>
        <w:t>Io T</w:t>
      </w:r>
      <w:r>
        <w:rPr>
          <w:color w:val="000000"/>
          <w:spacing w:val="0"/>
          <w:w w:val="100"/>
          <w:position w:val="0"/>
        </w:rPr>
        <w:t>集成方面，围绕主流物联网平台的集成、连接服务，形成了物联网云平台核心产品；在云管理方面，提供 云迁移、云运维服务，帮助企业更好的使用云计算，并形成了软通</w:t>
      </w:r>
      <w:r>
        <w:rPr>
          <w:color w:val="000000"/>
          <w:spacing w:val="0"/>
          <w:w w:val="100"/>
          <w:position w:val="0"/>
          <w:sz w:val="18"/>
          <w:szCs w:val="18"/>
        </w:rPr>
        <w:t>ISSCloud</w:t>
      </w:r>
      <w:r>
        <w:rPr>
          <w:color w:val="000000"/>
          <w:spacing w:val="0"/>
          <w:w w:val="100"/>
          <w:position w:val="0"/>
        </w:rPr>
        <w:t>多云管理平台、迁移工具、运维工具等系列核心 产品；在云安全方面，围绕客户上云数字化转型全生命周期的云安全咨询、实施服务。</w:t>
      </w:r>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在人工智能方面，软通动力成立了专注于</w:t>
      </w:r>
      <w:r>
        <w:rPr>
          <w:color w:val="000000"/>
          <w:spacing w:val="0"/>
          <w:w w:val="100"/>
          <w:position w:val="0"/>
          <w:sz w:val="18"/>
          <w:szCs w:val="18"/>
        </w:rPr>
        <w:t>AI</w:t>
      </w:r>
      <w:r>
        <w:rPr>
          <w:color w:val="000000"/>
          <w:spacing w:val="0"/>
          <w:w w:val="100"/>
          <w:position w:val="0"/>
        </w:rPr>
        <w:t>领域的人工智能研究与创新中心</w:t>
      </w:r>
      <w:r>
        <w:rPr>
          <w:color w:val="000000"/>
          <w:spacing w:val="0"/>
          <w:w w:val="100"/>
          <w:position w:val="0"/>
          <w:sz w:val="18"/>
          <w:szCs w:val="18"/>
        </w:rPr>
        <w:t>（AIC），</w:t>
      </w:r>
      <w:r>
        <w:rPr>
          <w:color w:val="000000"/>
          <w:spacing w:val="0"/>
          <w:w w:val="100"/>
          <w:position w:val="0"/>
        </w:rPr>
        <w:t>围绕自然语言理解、知识图谱、多 轮对话、智能问答、智能推理、自学习、数据分析等前沿技术和算法展开应用研究与产业化开发，为软通动力的</w:t>
      </w:r>
      <w:r>
        <w:rPr>
          <w:color w:val="000000"/>
          <w:spacing w:val="0"/>
          <w:w w:val="100"/>
          <w:position w:val="0"/>
          <w:sz w:val="18"/>
          <w:szCs w:val="18"/>
        </w:rPr>
        <w:t>AI</w:t>
      </w:r>
      <w:r>
        <w:rPr>
          <w:color w:val="000000"/>
          <w:spacing w:val="0"/>
          <w:w w:val="100"/>
          <w:position w:val="0"/>
        </w:rPr>
        <w:t>服务体系 提供了重要技术支撑和专业保障。</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在智能终端方面，软通动力相继在智能终端核心技术、芯片方案、智能汽车、鸿蒙生态以及数字技术服务等领域逐步构 建竞争优势。凭借丰富的研发经验、强大的技术开发和服务能力，软通动力致力于提供芯片、工设、硬工、软工、云服、手 机测试等卓越的智能终端技术及解决方案。尤其在</w:t>
      </w:r>
      <w:r>
        <w:rPr>
          <w:color w:val="000000"/>
          <w:spacing w:val="0"/>
          <w:w w:val="100"/>
          <w:position w:val="0"/>
          <w:sz w:val="18"/>
          <w:szCs w:val="18"/>
        </w:rPr>
        <w:t>Android</w:t>
      </w:r>
      <w:r>
        <w:rPr>
          <w:color w:val="000000"/>
          <w:spacing w:val="0"/>
          <w:w w:val="100"/>
          <w:position w:val="0"/>
        </w:rPr>
        <w:t>、</w:t>
      </w:r>
      <w:r>
        <w:rPr>
          <w:color w:val="000000"/>
          <w:spacing w:val="0"/>
          <w:w w:val="100"/>
          <w:position w:val="0"/>
        </w:rPr>
        <w:t>鸿蒙等操作系统技术的定制研发与创新上，形成了从硬件驱动、 操作系统内核、基带通讯开发适配、影像开发、中间件到上层应用的全面技术架构体系，并在智能手机、智能物联网、智能 汽车等领域的产品化与技术创新上取得显著成果。</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在信创及开源鸿蒙/欧拉方面，软通动力作为开放原子开源基金会</w:t>
      </w:r>
      <w:r>
        <w:rPr>
          <w:color w:val="000000"/>
          <w:spacing w:val="0"/>
          <w:w w:val="100"/>
          <w:position w:val="0"/>
          <w:sz w:val="18"/>
          <w:szCs w:val="18"/>
        </w:rPr>
        <w:t>OpenAtom</w:t>
      </w:r>
      <w:r>
        <w:rPr>
          <w:color w:val="000000"/>
          <w:spacing w:val="0"/>
          <w:w w:val="100"/>
          <w:position w:val="0"/>
        </w:rPr>
        <w:t>白金会员及开源鸿蒙项目群共建单位成员， 构建全栈的鸿蒙研发能力，先后发布“启航”，“扬帆”，“启鸿”开源鸿蒙开发套件。软通动力提供华为</w:t>
      </w:r>
      <w:r>
        <w:rPr>
          <w:color w:val="000000"/>
          <w:spacing w:val="0"/>
          <w:w w:val="100"/>
          <w:position w:val="0"/>
          <w:sz w:val="18"/>
          <w:szCs w:val="18"/>
        </w:rPr>
        <w:t xml:space="preserve">HarmonyOS Connect </w:t>
      </w:r>
      <w:r>
        <w:rPr>
          <w:color w:val="000000"/>
          <w:spacing w:val="0"/>
          <w:w w:val="100"/>
          <w:position w:val="0"/>
        </w:rPr>
        <w:t>全流程接入服务，拥有华为认证</w:t>
      </w:r>
      <w:r>
        <w:rPr>
          <w:color w:val="000000"/>
          <w:spacing w:val="0"/>
          <w:w w:val="100"/>
          <w:position w:val="0"/>
          <w:sz w:val="18"/>
          <w:szCs w:val="18"/>
        </w:rPr>
        <w:t>S</w:t>
      </w:r>
      <w:r>
        <w:rPr>
          <w:color w:val="000000"/>
          <w:spacing w:val="0"/>
          <w:w w:val="100"/>
          <w:position w:val="0"/>
        </w:rPr>
        <w:t>标接入模组，为国内</w:t>
      </w:r>
      <w:r>
        <w:rPr>
          <w:color w:val="000000"/>
          <w:spacing w:val="0"/>
          <w:w w:val="100"/>
          <w:position w:val="0"/>
          <w:sz w:val="18"/>
          <w:szCs w:val="18"/>
        </w:rPr>
        <w:t>300+</w:t>
      </w:r>
      <w:r>
        <w:rPr>
          <w:color w:val="000000"/>
          <w:spacing w:val="0"/>
          <w:w w:val="100"/>
          <w:position w:val="0"/>
        </w:rPr>
        <w:t>合作伙伴提供接入鸿蒙产品品类超过</w:t>
      </w:r>
      <w:r>
        <w:rPr>
          <w:color w:val="000000"/>
          <w:spacing w:val="0"/>
          <w:w w:val="100"/>
          <w:position w:val="0"/>
          <w:sz w:val="18"/>
          <w:szCs w:val="18"/>
        </w:rPr>
        <w:t>700</w:t>
      </w:r>
      <w:r>
        <w:rPr>
          <w:color w:val="000000"/>
          <w:spacing w:val="0"/>
          <w:w w:val="100"/>
          <w:position w:val="0"/>
        </w:rPr>
        <w:t>款；</w:t>
      </w:r>
      <w:r>
        <w:rPr>
          <w:color w:val="000000"/>
          <w:spacing w:val="0"/>
          <w:w w:val="100"/>
          <w:position w:val="0"/>
          <w:sz w:val="18"/>
          <w:szCs w:val="18"/>
        </w:rPr>
        <w:t>2021</w:t>
      </w:r>
      <w:r>
        <w:rPr>
          <w:color w:val="000000"/>
          <w:spacing w:val="0"/>
          <w:w w:val="100"/>
          <w:position w:val="0"/>
        </w:rPr>
        <w:t>年荣获华为颁发 的“</w:t>
      </w:r>
      <w:r>
        <w:rPr>
          <w:color w:val="000000"/>
          <w:spacing w:val="0"/>
          <w:w w:val="100"/>
          <w:position w:val="0"/>
          <w:sz w:val="18"/>
          <w:szCs w:val="18"/>
        </w:rPr>
        <w:t>HarmonyOS Connect</w:t>
      </w:r>
      <w:r>
        <w:rPr>
          <w:color w:val="000000"/>
          <w:spacing w:val="0"/>
          <w:w w:val="100"/>
          <w:position w:val="0"/>
        </w:rPr>
        <w:t>全场景智慧生活卓越合作伙伴”、</w:t>
      </w:r>
      <w:r>
        <w:rPr>
          <w:color w:val="000000"/>
          <w:spacing w:val="0"/>
          <w:w w:val="100"/>
          <w:position w:val="0"/>
          <w:sz w:val="18"/>
          <w:szCs w:val="18"/>
        </w:rPr>
        <w:t>"HarmonyOS</w:t>
      </w:r>
      <w:r>
        <w:rPr>
          <w:color w:val="000000"/>
          <w:spacing w:val="0"/>
          <w:w w:val="100"/>
          <w:position w:val="0"/>
        </w:rPr>
        <w:t>应用服务合作伙伴”等荣誉。软通动力结合自身数字 技术优势，在加速库、</w:t>
      </w:r>
      <w:r>
        <w:rPr>
          <w:color w:val="000000"/>
          <w:spacing w:val="0"/>
          <w:w w:val="100"/>
          <w:position w:val="0"/>
          <w:sz w:val="18"/>
          <w:szCs w:val="18"/>
        </w:rPr>
        <w:t>BoostKit</w:t>
      </w:r>
      <w:r>
        <w:rPr>
          <w:color w:val="000000"/>
          <w:spacing w:val="0"/>
          <w:w w:val="100"/>
          <w:position w:val="0"/>
        </w:rPr>
        <w:t>生态、开源应用使能、</w:t>
      </w:r>
      <w:r>
        <w:rPr>
          <w:color w:val="000000"/>
          <w:spacing w:val="0"/>
          <w:w w:val="100"/>
          <w:position w:val="0"/>
          <w:sz w:val="18"/>
          <w:szCs w:val="18"/>
        </w:rPr>
        <w:t>openEuler</w:t>
      </w:r>
      <w:r>
        <w:rPr>
          <w:color w:val="000000"/>
          <w:spacing w:val="0"/>
          <w:w w:val="100"/>
          <w:position w:val="0"/>
        </w:rPr>
        <w:t>基础软件领域持续贡献。在智能设备应用场景、操作系统 第三方组件的研究和开发方面实现突破，已累计获得专利</w:t>
      </w:r>
      <w:r>
        <w:rPr>
          <w:color w:val="000000"/>
          <w:spacing w:val="0"/>
          <w:w w:val="100"/>
          <w:position w:val="0"/>
          <w:sz w:val="18"/>
          <w:szCs w:val="18"/>
        </w:rPr>
        <w:t>9</w:t>
      </w:r>
      <w:r>
        <w:rPr>
          <w:color w:val="000000"/>
          <w:spacing w:val="0"/>
          <w:w w:val="100"/>
          <w:position w:val="0"/>
        </w:rPr>
        <w:t>项、软件著作</w:t>
      </w:r>
      <w:r>
        <w:rPr>
          <w:color w:val="000000"/>
          <w:spacing w:val="0"/>
          <w:w w:val="100"/>
          <w:position w:val="0"/>
          <w:sz w:val="18"/>
          <w:szCs w:val="18"/>
        </w:rPr>
        <w:t>26</w:t>
      </w:r>
      <w:r>
        <w:rPr>
          <w:color w:val="000000"/>
          <w:spacing w:val="0"/>
          <w:w w:val="100"/>
          <w:position w:val="0"/>
        </w:rPr>
        <w:t>项。在技术共享与交流方面，软通动力已将</w:t>
      </w:r>
      <w:r>
        <w:rPr>
          <w:color w:val="000000"/>
          <w:spacing w:val="0"/>
          <w:w w:val="100"/>
          <w:position w:val="0"/>
          <w:sz w:val="18"/>
          <w:szCs w:val="18"/>
        </w:rPr>
        <w:t>50</w:t>
      </w:r>
      <w:r>
        <w:rPr>
          <w:color w:val="000000"/>
          <w:spacing w:val="0"/>
          <w:w w:val="100"/>
          <w:position w:val="0"/>
        </w:rPr>
        <w:t>多 个第三方组件，“启航”系列全套代码逐步开源，开源代码总量高达十万多行。软通动力获得</w:t>
      </w:r>
      <w:r>
        <w:rPr>
          <w:color w:val="000000"/>
          <w:spacing w:val="0"/>
          <w:w w:val="100"/>
          <w:position w:val="0"/>
          <w:sz w:val="18"/>
          <w:szCs w:val="18"/>
        </w:rPr>
        <w:t xml:space="preserve">OpenHarmony Canary2. </w:t>
      </w:r>
      <w:r>
        <w:rPr>
          <w:color w:val="000000"/>
          <w:spacing w:val="0"/>
          <w:w w:val="100"/>
          <w:position w:val="0"/>
          <w:sz w:val="18"/>
          <w:szCs w:val="18"/>
        </w:rPr>
        <w:t>0</w:t>
      </w:r>
      <w:r>
        <w:rPr>
          <w:color w:val="000000"/>
          <w:spacing w:val="0"/>
          <w:w w:val="100"/>
          <w:position w:val="0"/>
        </w:rPr>
        <w:t>版本 核心共建单位等荣誉。</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报告期内，软通动力先后获得中国</w:t>
      </w:r>
      <w:r>
        <w:rPr>
          <w:color w:val="000000"/>
          <w:spacing w:val="0"/>
          <w:w w:val="100"/>
          <w:position w:val="0"/>
          <w:sz w:val="18"/>
          <w:szCs w:val="18"/>
        </w:rPr>
        <w:t>IT</w:t>
      </w:r>
      <w:r>
        <w:rPr>
          <w:color w:val="000000"/>
          <w:spacing w:val="0"/>
          <w:w w:val="100"/>
          <w:position w:val="0"/>
        </w:rPr>
        <w:t>服务全媒体平台评选的“</w:t>
      </w:r>
      <w:r>
        <w:rPr>
          <w:color w:val="000000"/>
          <w:spacing w:val="0"/>
          <w:w w:val="100"/>
          <w:position w:val="0"/>
          <w:sz w:val="18"/>
          <w:szCs w:val="18"/>
        </w:rPr>
        <w:t>2020-202</w:t>
      </w:r>
      <w:r>
        <w:rPr>
          <w:color w:val="000000"/>
          <w:spacing w:val="0"/>
          <w:w w:val="100"/>
          <w:position w:val="0"/>
          <w:sz w:val="18"/>
          <w:szCs w:val="18"/>
        </w:rPr>
        <w:t>1</w:t>
      </w:r>
      <w:r>
        <w:rPr>
          <w:color w:val="000000"/>
          <w:spacing w:val="0"/>
          <w:w w:val="100"/>
          <w:position w:val="0"/>
        </w:rPr>
        <w:t>中国信息技术服务-云服务十强”、</w:t>
      </w:r>
      <w:r>
        <w:rPr>
          <w:color w:val="000000"/>
          <w:spacing w:val="0"/>
          <w:w w:val="100"/>
          <w:position w:val="0"/>
          <w:sz w:val="18"/>
          <w:szCs w:val="18"/>
        </w:rPr>
        <w:t>“2021</w:t>
      </w:r>
      <w:r>
        <w:rPr>
          <w:color w:val="000000"/>
          <w:spacing w:val="0"/>
          <w:w w:val="100"/>
          <w:position w:val="0"/>
        </w:rPr>
        <w:t xml:space="preserve">年度 </w:t>
      </w:r>
      <w:r>
        <w:rPr>
          <w:color w:val="000000"/>
          <w:spacing w:val="0"/>
          <w:w w:val="100"/>
          <w:position w:val="0"/>
          <w:sz w:val="18"/>
          <w:szCs w:val="18"/>
        </w:rPr>
        <w:t>IT</w:t>
      </w:r>
      <w:r>
        <w:rPr>
          <w:color w:val="000000"/>
          <w:spacing w:val="0"/>
          <w:w w:val="100"/>
          <w:position w:val="0"/>
        </w:rPr>
        <w:t>智能服务领军企业”、</w:t>
      </w:r>
      <w:r>
        <w:rPr>
          <w:color w:val="000000"/>
          <w:spacing w:val="0"/>
          <w:w w:val="100"/>
          <w:position w:val="0"/>
          <w:sz w:val="18"/>
          <w:szCs w:val="18"/>
        </w:rPr>
        <w:t>“2021</w:t>
      </w:r>
      <w:r>
        <w:rPr>
          <w:color w:val="000000"/>
          <w:spacing w:val="0"/>
          <w:w w:val="100"/>
          <w:position w:val="0"/>
        </w:rPr>
        <w:t>年十佳云原生先锋实践”、“工信部电子联合会</w:t>
      </w:r>
      <w:r>
        <w:rPr>
          <w:color w:val="000000"/>
          <w:spacing w:val="0"/>
          <w:w w:val="100"/>
          <w:position w:val="0"/>
          <w:sz w:val="18"/>
          <w:szCs w:val="18"/>
        </w:rPr>
        <w:t>2021</w:t>
      </w:r>
      <w:r>
        <w:rPr>
          <w:color w:val="000000"/>
          <w:spacing w:val="0"/>
          <w:w w:val="100"/>
          <w:position w:val="0"/>
        </w:rPr>
        <w:t>年度</w:t>
      </w:r>
      <w:r>
        <w:rPr>
          <w:color w:val="000000"/>
          <w:spacing w:val="0"/>
          <w:w w:val="100"/>
          <w:position w:val="0"/>
          <w:sz w:val="18"/>
          <w:szCs w:val="18"/>
        </w:rPr>
        <w:t>DCMM</w:t>
      </w:r>
      <w:r>
        <w:rPr>
          <w:color w:val="000000"/>
          <w:spacing w:val="0"/>
          <w:w w:val="100"/>
          <w:position w:val="0"/>
        </w:rPr>
        <w:t>十佳案例”等奖项，获得可信 云</w:t>
      </w:r>
      <w:r>
        <w:rPr>
          <w:color w:val="000000"/>
          <w:spacing w:val="0"/>
          <w:w w:val="100"/>
          <w:position w:val="0"/>
          <w:sz w:val="18"/>
          <w:szCs w:val="18"/>
        </w:rPr>
        <w:t>MSP</w:t>
      </w:r>
      <w:r>
        <w:rPr>
          <w:color w:val="000000"/>
          <w:spacing w:val="0"/>
          <w:w w:val="100"/>
          <w:position w:val="0"/>
        </w:rPr>
        <w:t>卓越级认证、华为云</w:t>
      </w:r>
      <w:r>
        <w:rPr>
          <w:color w:val="000000"/>
          <w:spacing w:val="0"/>
          <w:w w:val="100"/>
          <w:position w:val="0"/>
          <w:sz w:val="18"/>
          <w:szCs w:val="18"/>
        </w:rPr>
        <w:t>MSP</w:t>
      </w:r>
      <w:r>
        <w:rPr>
          <w:color w:val="000000"/>
          <w:spacing w:val="0"/>
          <w:w w:val="100"/>
          <w:position w:val="0"/>
        </w:rPr>
        <w:t>技术认证、阿里云原生合作伙伴、阿里云</w:t>
      </w:r>
      <w:r>
        <w:rPr>
          <w:color w:val="000000"/>
          <w:spacing w:val="0"/>
          <w:w w:val="100"/>
          <w:position w:val="0"/>
          <w:sz w:val="18"/>
          <w:szCs w:val="18"/>
        </w:rPr>
        <w:t>MSP&amp;</w:t>
      </w:r>
      <w:r>
        <w:rPr>
          <w:color w:val="000000"/>
          <w:spacing w:val="0"/>
          <w:w w:val="100"/>
          <w:position w:val="0"/>
        </w:rPr>
        <w:t>能力中心认证。软通动力正式加入</w:t>
      </w:r>
      <w:r>
        <w:rPr>
          <w:color w:val="000000"/>
          <w:spacing w:val="0"/>
          <w:w w:val="100"/>
          <w:position w:val="0"/>
          <w:sz w:val="18"/>
          <w:szCs w:val="18"/>
        </w:rPr>
        <w:t>CNCF（</w:t>
      </w:r>
      <w:r>
        <w:rPr>
          <w:color w:val="000000"/>
          <w:spacing w:val="0"/>
          <w:w w:val="100"/>
          <w:position w:val="0"/>
        </w:rPr>
        <w:t xml:space="preserve">云原生 计算基金会）黄金会员。软通动力内容安全平台荣获“ </w:t>
      </w:r>
      <w:r>
        <w:rPr>
          <w:color w:val="000000"/>
          <w:spacing w:val="0"/>
          <w:w w:val="100"/>
          <w:position w:val="0"/>
          <w:sz w:val="18"/>
          <w:szCs w:val="18"/>
        </w:rPr>
        <w:t>2020-202</w:t>
      </w:r>
      <w:r>
        <w:rPr>
          <w:color w:val="000000"/>
          <w:spacing w:val="0"/>
          <w:w w:val="100"/>
          <w:position w:val="0"/>
          <w:sz w:val="18"/>
          <w:szCs w:val="18"/>
        </w:rPr>
        <w:t>1</w:t>
      </w:r>
      <w:r>
        <w:rPr>
          <w:color w:val="000000"/>
          <w:spacing w:val="0"/>
          <w:w w:val="100"/>
          <w:position w:val="0"/>
        </w:rPr>
        <w:t>年优秀创新软件产品奖”。</w:t>
      </w:r>
    </w:p>
    <w:p>
      <w:pPr>
        <w:pStyle w:val="Style22"/>
        <w:keepNext w:val="0"/>
        <w:keepLines w:val="0"/>
        <w:widowControl w:val="0"/>
        <w:shd w:val="clear" w:color="auto" w:fill="auto"/>
        <w:bidi w:val="0"/>
        <w:spacing w:before="0" w:after="160" w:line="313" w:lineRule="exact"/>
        <w:ind w:left="0" w:right="0" w:firstLine="380"/>
        <w:jc w:val="both"/>
      </w:pPr>
      <w:r>
        <w:rPr>
          <w:color w:val="000000"/>
          <w:spacing w:val="0"/>
          <w:w w:val="100"/>
          <w:position w:val="0"/>
        </w:rPr>
        <w:t>报告期内，软通动力数字技术服务业务实现营业收入</w:t>
      </w:r>
      <w:r>
        <w:rPr>
          <w:color w:val="000000"/>
          <w:spacing w:val="0"/>
          <w:w w:val="100"/>
          <w:position w:val="0"/>
          <w:sz w:val="18"/>
          <w:szCs w:val="18"/>
        </w:rPr>
        <w:t>59.58</w:t>
      </w:r>
      <w:r>
        <w:rPr>
          <w:color w:val="000000"/>
          <w:spacing w:val="0"/>
          <w:w w:val="100"/>
          <w:position w:val="0"/>
        </w:rPr>
        <w:t>亿元，占营业收入的比例为</w:t>
      </w:r>
      <w:r>
        <w:rPr>
          <w:color w:val="000000"/>
          <w:spacing w:val="0"/>
          <w:w w:val="100"/>
          <w:position w:val="0"/>
          <w:sz w:val="18"/>
          <w:szCs w:val="18"/>
        </w:rPr>
        <w:t>35.84%，</w:t>
      </w:r>
      <w:r>
        <w:rPr>
          <w:color w:val="000000"/>
          <w:spacing w:val="0"/>
          <w:w w:val="100"/>
          <w:position w:val="0"/>
        </w:rPr>
        <w:t>较上年同期增长</w:t>
      </w:r>
      <w:r>
        <w:rPr>
          <w:color w:val="000000"/>
          <w:spacing w:val="0"/>
          <w:w w:val="100"/>
          <w:position w:val="0"/>
          <w:sz w:val="18"/>
          <w:szCs w:val="18"/>
        </w:rPr>
        <w:t>38.67%</w:t>
      </w:r>
      <w:r>
        <w:rPr>
          <w:color w:val="000000"/>
          <w:spacing w:val="0"/>
          <w:w w:val="100"/>
          <w:position w:val="0"/>
        </w:rPr>
        <w:t>。</w:t>
      </w:r>
    </w:p>
    <w:p>
      <w:pPr>
        <w:pStyle w:val="Style37"/>
        <w:keepNext/>
        <w:keepLines/>
        <w:widowControl w:val="0"/>
        <w:shd w:val="clear" w:color="auto" w:fill="auto"/>
        <w:bidi w:val="0"/>
        <w:spacing w:before="0" w:after="0" w:line="360" w:lineRule="auto"/>
        <w:ind w:left="0" w:right="0" w:firstLine="520"/>
        <w:jc w:val="both"/>
      </w:pPr>
      <w:bookmarkStart w:id="97" w:name="bookmark97"/>
      <w:bookmarkStart w:id="98" w:name="bookmark98"/>
      <w:bookmarkStart w:id="99" w:name="bookmark99"/>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通用技术服务</w:t>
      </w:r>
      <w:bookmarkEnd w:id="97"/>
      <w:bookmarkEnd w:id="98"/>
      <w:bookmarkEnd w:id="99"/>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报告期内，软通动力依托科学规范的质量管理体系、领先的交付管理体系和完善的人力资源管理体系，对信息系统设计 与开发、产品工程、测试、运行维护等传统</w:t>
      </w:r>
      <w:r>
        <w:rPr>
          <w:color w:val="000000"/>
          <w:spacing w:val="0"/>
          <w:w w:val="100"/>
          <w:position w:val="0"/>
          <w:sz w:val="18"/>
          <w:szCs w:val="18"/>
        </w:rPr>
        <w:t>IT</w:t>
      </w:r>
      <w:r>
        <w:rPr>
          <w:color w:val="000000"/>
          <w:spacing w:val="0"/>
          <w:w w:val="100"/>
          <w:position w:val="0"/>
        </w:rPr>
        <w:t>服务进行了全面升级，如软通</w:t>
      </w:r>
      <w:r>
        <w:rPr>
          <w:color w:val="000000"/>
          <w:spacing w:val="0"/>
          <w:w w:val="100"/>
          <w:position w:val="0"/>
          <w:sz w:val="18"/>
          <w:szCs w:val="18"/>
        </w:rPr>
        <w:t>Mete</w:t>
      </w:r>
      <w:r>
        <w:rPr>
          <w:color w:val="000000"/>
          <w:spacing w:val="0"/>
          <w:w w:val="100"/>
          <w:position w:val="0"/>
        </w:rPr>
        <w:t>自动化智测平台，形成了业内领先的实施交 付能力，成为了华为、阿里、腾讯、百度、中国银行等多个行业龙头企业核心信息技术服务供应商。</w:t>
      </w:r>
    </w:p>
    <w:p>
      <w:pPr>
        <w:pStyle w:val="Style22"/>
        <w:keepNext w:val="0"/>
        <w:keepLines w:val="0"/>
        <w:widowControl w:val="0"/>
        <w:shd w:val="clear" w:color="auto" w:fill="auto"/>
        <w:bidi w:val="0"/>
        <w:spacing w:before="0" w:after="160" w:line="313" w:lineRule="exact"/>
        <w:ind w:left="0" w:right="0" w:firstLine="380"/>
        <w:jc w:val="both"/>
      </w:pPr>
      <w:r>
        <w:rPr>
          <w:color w:val="000000"/>
          <w:spacing w:val="0"/>
          <w:w w:val="100"/>
          <w:position w:val="0"/>
        </w:rPr>
        <w:t>报告期内，软通动力通用技术服务业务实现营业收入</w:t>
      </w:r>
      <w:r>
        <w:rPr>
          <w:color w:val="000000"/>
          <w:spacing w:val="0"/>
          <w:w w:val="100"/>
          <w:position w:val="0"/>
          <w:sz w:val="18"/>
          <w:szCs w:val="18"/>
        </w:rPr>
        <w:t>85.9</w:t>
      </w:r>
      <w:r>
        <w:rPr>
          <w:color w:val="000000"/>
          <w:spacing w:val="0"/>
          <w:w w:val="100"/>
          <w:position w:val="0"/>
          <w:sz w:val="18"/>
          <w:szCs w:val="18"/>
        </w:rPr>
        <w:t>7</w:t>
      </w:r>
      <w:r>
        <w:rPr>
          <w:color w:val="000000"/>
          <w:spacing w:val="0"/>
          <w:w w:val="100"/>
          <w:position w:val="0"/>
        </w:rPr>
        <w:t>亿元，占营业收入的比例为</w:t>
      </w:r>
      <w:r>
        <w:rPr>
          <w:color w:val="000000"/>
          <w:spacing w:val="0"/>
          <w:w w:val="100"/>
          <w:position w:val="0"/>
          <w:sz w:val="18"/>
          <w:szCs w:val="18"/>
        </w:rPr>
        <w:t>51.72%，</w:t>
      </w:r>
      <w:r>
        <w:rPr>
          <w:color w:val="000000"/>
          <w:spacing w:val="0"/>
          <w:w w:val="100"/>
          <w:position w:val="0"/>
        </w:rPr>
        <w:t>较上年同期增长</w:t>
      </w:r>
      <w:r>
        <w:rPr>
          <w:color w:val="000000"/>
          <w:spacing w:val="0"/>
          <w:w w:val="100"/>
          <w:position w:val="0"/>
          <w:sz w:val="18"/>
          <w:szCs w:val="18"/>
        </w:rPr>
        <w:t>17.84%</w:t>
      </w:r>
      <w:r>
        <w:rPr>
          <w:color w:val="000000"/>
          <w:spacing w:val="0"/>
          <w:w w:val="100"/>
          <w:position w:val="0"/>
        </w:rPr>
        <w:t>。</w:t>
      </w:r>
    </w:p>
    <w:p>
      <w:pPr>
        <w:pStyle w:val="Style37"/>
        <w:keepNext/>
        <w:keepLines/>
        <w:widowControl w:val="0"/>
        <w:shd w:val="clear" w:color="auto" w:fill="auto"/>
        <w:bidi w:val="0"/>
        <w:spacing w:before="0" w:after="0" w:line="360" w:lineRule="auto"/>
        <w:ind w:left="0" w:right="0" w:firstLine="520"/>
        <w:jc w:val="both"/>
      </w:pPr>
      <w:bookmarkStart w:id="100" w:name="bookmark100"/>
      <w:bookmarkStart w:id="101" w:name="bookmark101"/>
      <w:bookmarkStart w:id="102" w:name="bookmark102"/>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数字化运营服务</w:t>
      </w:r>
      <w:bookmarkEnd w:id="100"/>
      <w:bookmarkEnd w:id="101"/>
      <w:bookmarkEnd w:id="102"/>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软通动力以数字化技术手段、专业技能和规范化操作向客户提供高质高效的数字内容、客服和业务流程等数字化运营服 务，协助客户提升运营效率。报告期内，软通动力依托自身先进的人工智能、机器人、语音识别、图像识别等新兴技术，研 发了 “招招乐” </w:t>
      </w:r>
      <w:r>
        <w:rPr>
          <w:color w:val="000000"/>
          <w:spacing w:val="0"/>
          <w:w w:val="100"/>
          <w:position w:val="0"/>
          <w:sz w:val="18"/>
          <w:szCs w:val="18"/>
        </w:rPr>
        <w:t>APP</w:t>
      </w:r>
      <w:r>
        <w:rPr>
          <w:color w:val="000000"/>
          <w:spacing w:val="0"/>
          <w:w w:val="100"/>
          <w:position w:val="0"/>
        </w:rPr>
        <w:t>和小程序、软通智核</w:t>
      </w:r>
      <w:r>
        <w:rPr>
          <w:color w:val="000000"/>
          <w:spacing w:val="0"/>
          <w:w w:val="100"/>
          <w:position w:val="0"/>
          <w:sz w:val="18"/>
          <w:szCs w:val="18"/>
        </w:rPr>
        <w:t>NLP</w:t>
      </w:r>
      <w:r>
        <w:rPr>
          <w:color w:val="000000"/>
          <w:spacing w:val="0"/>
          <w:w w:val="100"/>
          <w:position w:val="0"/>
        </w:rPr>
        <w:t>平台、</w:t>
      </w:r>
      <w:r>
        <w:rPr>
          <w:color w:val="000000"/>
          <w:spacing w:val="0"/>
          <w:w w:val="100"/>
          <w:position w:val="0"/>
          <w:sz w:val="18"/>
          <w:szCs w:val="18"/>
        </w:rPr>
        <w:t xml:space="preserve">Rglam </w:t>
      </w:r>
      <w:r>
        <w:rPr>
          <w:color w:val="000000"/>
          <w:spacing w:val="0"/>
          <w:w w:val="100"/>
          <w:position w:val="0"/>
        </w:rPr>
        <w:t>（安歌）客服机器人等创新工具以促进数字化运营服务的质量效率 进一步提升，以“生态化”实现资源汇聚，以“平台化”实现技术能力汇聚，推动了数字化运营业务的快速增长。</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报告期内，软通动力数字化运营服务业务实现营业收入</w:t>
      </w:r>
      <w:r>
        <w:rPr>
          <w:color w:val="000000"/>
          <w:spacing w:val="0"/>
          <w:w w:val="100"/>
          <w:position w:val="0"/>
          <w:sz w:val="18"/>
          <w:szCs w:val="18"/>
        </w:rPr>
        <w:t xml:space="preserve">12. </w:t>
      </w:r>
      <w:r>
        <w:rPr>
          <w:color w:val="000000"/>
          <w:spacing w:val="0"/>
          <w:w w:val="100"/>
          <w:position w:val="0"/>
          <w:sz w:val="18"/>
          <w:szCs w:val="18"/>
        </w:rPr>
        <w:t>80</w:t>
      </w:r>
      <w:r>
        <w:rPr>
          <w:color w:val="000000"/>
          <w:spacing w:val="0"/>
          <w:w w:val="100"/>
          <w:position w:val="0"/>
        </w:rPr>
        <w:t>亿元，占营业收入的比例为</w:t>
      </w:r>
      <w:r>
        <w:rPr>
          <w:color w:val="000000"/>
          <w:spacing w:val="0"/>
          <w:w w:val="100"/>
          <w:position w:val="0"/>
          <w:sz w:val="18"/>
          <w:szCs w:val="18"/>
        </w:rPr>
        <w:t xml:space="preserve">7. </w:t>
      </w:r>
      <w:r>
        <w:rPr>
          <w:color w:val="000000"/>
          <w:spacing w:val="0"/>
          <w:w w:val="100"/>
          <w:position w:val="0"/>
          <w:sz w:val="18"/>
          <w:szCs w:val="18"/>
        </w:rPr>
        <w:t>70%，</w:t>
      </w:r>
      <w:r>
        <w:rPr>
          <w:color w:val="000000"/>
          <w:spacing w:val="0"/>
          <w:w w:val="100"/>
          <w:position w:val="0"/>
        </w:rPr>
        <w:t>较上年同期增长</w:t>
      </w:r>
      <w:r>
        <w:rPr>
          <w:color w:val="000000"/>
          <w:spacing w:val="0"/>
          <w:w w:val="100"/>
          <w:position w:val="0"/>
          <w:sz w:val="18"/>
          <w:szCs w:val="18"/>
        </w:rPr>
        <w:t xml:space="preserve">61. </w:t>
      </w:r>
      <w:r>
        <w:rPr>
          <w:color w:val="000000"/>
          <w:spacing w:val="0"/>
          <w:w w:val="100"/>
          <w:position w:val="0"/>
          <w:sz w:val="18"/>
          <w:szCs w:val="18"/>
        </w:rPr>
        <w:t>38%</w:t>
      </w:r>
      <w:r>
        <w:rPr>
          <w:color w:val="000000"/>
          <w:spacing w:val="0"/>
          <w:w w:val="100"/>
          <w:position w:val="0"/>
        </w:rPr>
        <w:t>。</w:t>
      </w:r>
    </w:p>
    <w:p>
      <w:pPr>
        <w:pStyle w:val="Style27"/>
        <w:keepNext/>
        <w:keepLines/>
        <w:widowControl w:val="0"/>
        <w:shd w:val="clear" w:color="auto" w:fill="auto"/>
        <w:bidi w:val="0"/>
        <w:spacing w:before="0" w:after="240" w:line="240" w:lineRule="auto"/>
        <w:ind w:left="0" w:right="0" w:firstLine="0"/>
        <w:jc w:val="left"/>
      </w:pPr>
      <w:bookmarkStart w:id="103" w:name="bookmark103"/>
      <w:bookmarkStart w:id="104" w:name="bookmark104"/>
      <w:bookmarkStart w:id="105" w:name="bookmark105"/>
      <w:bookmarkStart w:id="106" w:name="bookmark106"/>
      <w:r>
        <w:rPr>
          <w:color w:val="000000"/>
          <w:spacing w:val="0"/>
          <w:w w:val="100"/>
          <w:position w:val="0"/>
          <w:sz w:val="24"/>
          <w:szCs w:val="24"/>
        </w:rPr>
        <w:t>三</w:t>
      </w:r>
      <w:bookmarkEnd w:id="105"/>
      <w:r>
        <w:rPr>
          <w:color w:val="000000"/>
          <w:spacing w:val="0"/>
          <w:w w:val="100"/>
          <w:position w:val="0"/>
          <w:sz w:val="24"/>
          <w:szCs w:val="24"/>
        </w:rPr>
        <w:t>、核心竞争力分析</w:t>
      </w:r>
      <w:bookmarkEnd w:id="103"/>
      <w:bookmarkEnd w:id="104"/>
      <w:bookmarkEnd w:id="106"/>
    </w:p>
    <w:p>
      <w:pPr>
        <w:pStyle w:val="Style37"/>
        <w:keepNext/>
        <w:keepLines/>
        <w:widowControl w:val="0"/>
        <w:shd w:val="clear" w:color="auto" w:fill="auto"/>
        <w:bidi w:val="0"/>
        <w:spacing w:before="0" w:after="0" w:line="314" w:lineRule="exact"/>
        <w:ind w:left="0" w:right="0"/>
        <w:jc w:val="both"/>
      </w:pPr>
      <w:bookmarkStart w:id="107" w:name="bookmark107"/>
      <w:bookmarkStart w:id="108" w:name="bookmark108"/>
      <w:bookmarkStart w:id="109" w:name="bookmark109"/>
      <w:r>
        <w:rPr>
          <w:color w:val="000000"/>
          <w:spacing w:val="0"/>
          <w:w w:val="100"/>
          <w:position w:val="0"/>
        </w:rPr>
        <w:t>1长期领先的行业地位和口碑</w:t>
      </w:r>
      <w:bookmarkEnd w:id="107"/>
      <w:bookmarkEnd w:id="108"/>
      <w:bookmarkEnd w:id="109"/>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软通动力立足中国，服务全球，经过多年发展，在行业内逐渐形成了良好的口碑和品牌知名度，先后获得工信部、国内 外行业协会等机构颁发的奖项荣誉。随着行业快速发展，客户订单越来越向规模化、品牌好的头部企业集中，软通动力依靠 领先的行业地位和良好市场形象，为持续获取业务资源奠定了坚实基础。</w:t>
      </w:r>
    </w:p>
    <w:p>
      <w:pPr>
        <w:pStyle w:val="Style37"/>
        <w:keepNext/>
        <w:keepLines/>
        <w:widowControl w:val="0"/>
        <w:shd w:val="clear" w:color="auto" w:fill="auto"/>
        <w:bidi w:val="0"/>
        <w:spacing w:before="0" w:after="0" w:line="314" w:lineRule="exact"/>
        <w:ind w:left="0" w:right="0"/>
        <w:jc w:val="both"/>
      </w:pPr>
      <w:bookmarkStart w:id="110" w:name="bookmark110"/>
      <w:bookmarkStart w:id="111" w:name="bookmark111"/>
      <w:bookmarkStart w:id="112" w:name="bookmark112"/>
      <w:r>
        <w:rPr>
          <w:color w:val="000000"/>
          <w:spacing w:val="0"/>
          <w:w w:val="100"/>
          <w:position w:val="0"/>
        </w:rPr>
        <w:t>2具备深厚的客户基础和广泛的行业覆盖</w:t>
      </w:r>
      <w:bookmarkEnd w:id="110"/>
      <w:bookmarkEnd w:id="111"/>
      <w:bookmarkEnd w:id="112"/>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软通动力服务的客户中，超过</w:t>
      </w:r>
      <w:r>
        <w:rPr>
          <w:color w:val="000000"/>
          <w:spacing w:val="0"/>
          <w:w w:val="100"/>
          <w:position w:val="0"/>
          <w:sz w:val="18"/>
          <w:szCs w:val="18"/>
        </w:rPr>
        <w:t>200</w:t>
      </w:r>
      <w:r>
        <w:rPr>
          <w:color w:val="000000"/>
          <w:spacing w:val="0"/>
          <w:w w:val="100"/>
          <w:position w:val="0"/>
        </w:rPr>
        <w:t>家客户为世界</w:t>
      </w:r>
      <w:r>
        <w:rPr>
          <w:color w:val="000000"/>
          <w:spacing w:val="0"/>
          <w:w w:val="100"/>
          <w:position w:val="0"/>
          <w:sz w:val="18"/>
          <w:szCs w:val="18"/>
        </w:rPr>
        <w:t>500</w:t>
      </w:r>
      <w:r>
        <w:rPr>
          <w:color w:val="000000"/>
          <w:spacing w:val="0"/>
          <w:w w:val="100"/>
          <w:position w:val="0"/>
        </w:rPr>
        <w:t>强或中国</w:t>
      </w:r>
      <w:r>
        <w:rPr>
          <w:color w:val="000000"/>
          <w:spacing w:val="0"/>
          <w:w w:val="100"/>
          <w:position w:val="0"/>
          <w:sz w:val="18"/>
          <w:szCs w:val="18"/>
        </w:rPr>
        <w:t>500</w:t>
      </w:r>
      <w:r>
        <w:rPr>
          <w:color w:val="000000"/>
          <w:spacing w:val="0"/>
          <w:w w:val="100"/>
          <w:position w:val="0"/>
        </w:rPr>
        <w:t>强企业。软通动力自成立以来，深耕通讯设备、互联网 服务、金融科技、高科技与制造等行业，并在巩固现有市场地位的基础上，积极发力金融科技，智能汽车，数字能源，智能 终端，大健康等战略新兴行业。在长期服务客户过程中，积累了丰富行业经验，对行业和企业共性和个性需求有较为深刻理 解，能够从行业和企业发展阶段为客户提供各种场景所需的解决方案。广泛的行业覆盖及众多优质头部客户，为软通动力业 绩持续稳定成长提供了保障。</w:t>
      </w:r>
    </w:p>
    <w:p>
      <w:pPr>
        <w:pStyle w:val="Style37"/>
        <w:keepNext/>
        <w:keepLines/>
        <w:widowControl w:val="0"/>
        <w:shd w:val="clear" w:color="auto" w:fill="auto"/>
        <w:bidi w:val="0"/>
        <w:spacing w:before="0" w:after="0" w:line="314" w:lineRule="exact"/>
        <w:ind w:left="0" w:right="0"/>
        <w:jc w:val="both"/>
      </w:pPr>
      <w:bookmarkStart w:id="113" w:name="bookmark113"/>
      <w:bookmarkStart w:id="114" w:name="bookmark114"/>
      <w:bookmarkStart w:id="115" w:name="bookmark115"/>
      <w:r>
        <w:rPr>
          <w:color w:val="000000"/>
          <w:spacing w:val="0"/>
          <w:w w:val="100"/>
          <w:position w:val="0"/>
        </w:rPr>
        <w:t>3具备咨询与行业数字化转型能力</w:t>
      </w:r>
      <w:bookmarkEnd w:id="113"/>
      <w:bookmarkEnd w:id="114"/>
      <w:bookmarkEnd w:id="115"/>
    </w:p>
    <w:p>
      <w:pPr>
        <w:pStyle w:val="Style2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多年来，软通动力充分发挥对</w:t>
      </w:r>
      <w:r>
        <w:rPr>
          <w:color w:val="000000"/>
          <w:spacing w:val="0"/>
          <w:w w:val="100"/>
          <w:position w:val="0"/>
          <w:sz w:val="18"/>
          <w:szCs w:val="18"/>
        </w:rPr>
        <w:t>IT</w:t>
      </w:r>
      <w:r>
        <w:rPr>
          <w:color w:val="000000"/>
          <w:spacing w:val="0"/>
          <w:w w:val="100"/>
          <w:position w:val="0"/>
        </w:rPr>
        <w:t>技术和行业深刻理解的优势，通过咨询和实施一体化，拉通战略规划、业务规划、</w:t>
      </w:r>
      <w:r>
        <w:rPr>
          <w:color w:val="000000"/>
          <w:spacing w:val="0"/>
          <w:w w:val="100"/>
          <w:position w:val="0"/>
          <w:sz w:val="18"/>
          <w:szCs w:val="18"/>
        </w:rPr>
        <w:t xml:space="preserve">IT </w:t>
      </w:r>
      <w:r>
        <w:rPr>
          <w:color w:val="000000"/>
          <w:spacing w:val="0"/>
          <w:w w:val="100"/>
          <w:position w:val="0"/>
        </w:rPr>
        <w:t>规划、业务实施、持续运维等各种方案和服务，统一呈现，为客户提供全栈式的数字化转型服务。</w:t>
      </w:r>
    </w:p>
    <w:p>
      <w:pPr>
        <w:pStyle w:val="Style37"/>
        <w:keepNext/>
        <w:keepLines/>
        <w:widowControl w:val="0"/>
        <w:shd w:val="clear" w:color="auto" w:fill="auto"/>
        <w:bidi w:val="0"/>
        <w:spacing w:before="0" w:after="0" w:line="326" w:lineRule="exact"/>
        <w:ind w:left="0" w:right="0"/>
        <w:jc w:val="both"/>
      </w:pPr>
      <w:bookmarkStart w:id="116" w:name="bookmark116"/>
      <w:bookmarkStart w:id="117" w:name="bookmark117"/>
      <w:bookmarkStart w:id="118" w:name="bookmark118"/>
      <w:r>
        <w:rPr>
          <w:color w:val="000000"/>
          <w:spacing w:val="0"/>
          <w:w w:val="100"/>
          <w:position w:val="0"/>
        </w:rPr>
        <w:t>4快速发展的云智能服务能力</w:t>
      </w:r>
      <w:bookmarkEnd w:id="116"/>
      <w:bookmarkEnd w:id="117"/>
      <w:bookmarkEnd w:id="118"/>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软通动力是华为云高级</w:t>
      </w:r>
      <w:r>
        <w:rPr>
          <w:color w:val="000000"/>
          <w:spacing w:val="0"/>
          <w:w w:val="100"/>
          <w:position w:val="0"/>
          <w:sz w:val="18"/>
          <w:szCs w:val="18"/>
        </w:rPr>
        <w:t>MSP</w:t>
      </w:r>
      <w:r>
        <w:rPr>
          <w:color w:val="000000"/>
          <w:spacing w:val="0"/>
          <w:w w:val="100"/>
          <w:position w:val="0"/>
        </w:rPr>
        <w:t>认证伙伴，是阿里云技术服务能力中心认证伙伴，通过信通院云管理服务能力卓越级认证， 是</w:t>
      </w:r>
      <w:r>
        <w:rPr>
          <w:color w:val="000000"/>
          <w:spacing w:val="0"/>
          <w:w w:val="100"/>
          <w:position w:val="0"/>
          <w:sz w:val="18"/>
          <w:szCs w:val="18"/>
        </w:rPr>
        <w:t>CNCF</w:t>
      </w:r>
      <w:r>
        <w:rPr>
          <w:color w:val="000000"/>
          <w:spacing w:val="0"/>
          <w:w w:val="100"/>
          <w:position w:val="0"/>
          <w:sz w:val="18"/>
          <w:szCs w:val="18"/>
        </w:rPr>
        <w:t>（</w:t>
      </w:r>
      <w:r>
        <w:rPr>
          <w:color w:val="000000"/>
          <w:spacing w:val="0"/>
          <w:w w:val="100"/>
          <w:position w:val="0"/>
        </w:rPr>
        <w:t>云原生计算基金会）黄金会员，获得包括创原会</w:t>
      </w:r>
      <w:r>
        <w:rPr>
          <w:color w:val="000000"/>
          <w:spacing w:val="0"/>
          <w:w w:val="100"/>
          <w:position w:val="0"/>
          <w:sz w:val="18"/>
          <w:szCs w:val="18"/>
        </w:rPr>
        <w:t>2021</w:t>
      </w:r>
      <w:r>
        <w:rPr>
          <w:color w:val="000000"/>
          <w:spacing w:val="0"/>
          <w:w w:val="100"/>
          <w:position w:val="0"/>
        </w:rPr>
        <w:t>年十佳云原生先锋实践、工信部电子联合会</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DCMM</w:t>
      </w:r>
      <w:r>
        <w:rPr>
          <w:color w:val="000000"/>
          <w:spacing w:val="0"/>
          <w:w w:val="100"/>
          <w:position w:val="0"/>
        </w:rPr>
        <w:t>十佳案 例的云服务专业奖项。软通动力多云管理和云原生服务平台</w:t>
      </w:r>
      <w:r>
        <w:rPr>
          <w:color w:val="000000"/>
          <w:spacing w:val="0"/>
          <w:w w:val="100"/>
          <w:position w:val="0"/>
          <w:sz w:val="18"/>
          <w:szCs w:val="18"/>
        </w:rPr>
        <w:t>ISSCloud</w:t>
      </w:r>
      <w:r>
        <w:rPr>
          <w:color w:val="000000"/>
          <w:spacing w:val="0"/>
          <w:w w:val="100"/>
          <w:position w:val="0"/>
        </w:rPr>
        <w:t>发布</w:t>
      </w:r>
      <w:r>
        <w:rPr>
          <w:color w:val="000000"/>
          <w:spacing w:val="0"/>
          <w:w w:val="100"/>
          <w:position w:val="0"/>
          <w:sz w:val="18"/>
          <w:szCs w:val="18"/>
        </w:rPr>
        <w:t>4.0</w:t>
      </w:r>
      <w:r>
        <w:rPr>
          <w:color w:val="000000"/>
          <w:spacing w:val="0"/>
          <w:w w:val="100"/>
          <w:position w:val="0"/>
        </w:rPr>
        <w:t>版，历时</w:t>
      </w:r>
      <w:r>
        <w:rPr>
          <w:color w:val="000000"/>
          <w:spacing w:val="0"/>
          <w:w w:val="100"/>
          <w:position w:val="0"/>
          <w:sz w:val="18"/>
          <w:szCs w:val="18"/>
        </w:rPr>
        <w:t>8</w:t>
      </w:r>
      <w:r>
        <w:rPr>
          <w:color w:val="000000"/>
          <w:spacing w:val="0"/>
          <w:w w:val="100"/>
          <w:position w:val="0"/>
        </w:rPr>
        <w:t xml:space="preserve">年，已经服务多个领域和行业客户。 </w:t>
      </w:r>
      <w:r>
        <w:rPr>
          <w:color w:val="000000"/>
          <w:spacing w:val="0"/>
          <w:w w:val="100"/>
          <w:position w:val="0"/>
          <w:sz w:val="18"/>
          <w:szCs w:val="18"/>
        </w:rPr>
        <w:t>2021</w:t>
      </w:r>
      <w:r>
        <w:rPr>
          <w:color w:val="000000"/>
          <w:spacing w:val="0"/>
          <w:w w:val="100"/>
          <w:position w:val="0"/>
        </w:rPr>
        <w:t>年软通动力与战略客户研销服一体化的策略效果卓著。基于战略客户的云原生平台在软通动力优势行业包括保险、银行、 企业金融、能源、物流、地产等领域打造技术领先的云原生行业解决方案，和华为云联合打造的</w:t>
      </w:r>
      <w:r>
        <w:rPr>
          <w:color w:val="000000"/>
          <w:spacing w:val="0"/>
          <w:w w:val="100"/>
          <w:position w:val="0"/>
          <w:sz w:val="18"/>
          <w:szCs w:val="18"/>
        </w:rPr>
        <w:t>AI</w:t>
      </w:r>
      <w:r>
        <w:rPr>
          <w:color w:val="000000"/>
          <w:spacing w:val="0"/>
          <w:w w:val="100"/>
          <w:position w:val="0"/>
        </w:rPr>
        <w:t>端云一体化产品成为</w:t>
      </w:r>
      <w:r>
        <w:rPr>
          <w:color w:val="000000"/>
          <w:spacing w:val="0"/>
          <w:w w:val="100"/>
          <w:position w:val="0"/>
          <w:sz w:val="18"/>
          <w:szCs w:val="18"/>
        </w:rPr>
        <w:t xml:space="preserve">AI </w:t>
      </w:r>
      <w:r>
        <w:rPr>
          <w:color w:val="000000"/>
          <w:spacing w:val="0"/>
          <w:w w:val="100"/>
          <w:position w:val="0"/>
        </w:rPr>
        <w:t>领域独树一帜的场景化产品。</w:t>
      </w:r>
    </w:p>
    <w:p>
      <w:pPr>
        <w:pStyle w:val="Style37"/>
        <w:keepNext/>
        <w:keepLines/>
        <w:widowControl w:val="0"/>
        <w:shd w:val="clear" w:color="auto" w:fill="auto"/>
        <w:bidi w:val="0"/>
        <w:spacing w:before="0" w:after="0" w:line="314" w:lineRule="exact"/>
        <w:ind w:left="0" w:right="0"/>
        <w:jc w:val="both"/>
      </w:pPr>
      <w:bookmarkStart w:id="119" w:name="bookmark119"/>
      <w:bookmarkStart w:id="120" w:name="bookmark120"/>
      <w:bookmarkStart w:id="121" w:name="bookmark121"/>
      <w:r>
        <w:rPr>
          <w:color w:val="000000"/>
          <w:spacing w:val="0"/>
          <w:w w:val="100"/>
          <w:position w:val="0"/>
        </w:rPr>
        <w:t>5强大的技术创新体系支撑业务交付落地</w:t>
      </w:r>
      <w:bookmarkEnd w:id="119"/>
      <w:bookmarkEnd w:id="120"/>
      <w:bookmarkEnd w:id="121"/>
    </w:p>
    <w:p>
      <w:pPr>
        <w:pStyle w:val="Style22"/>
        <w:keepNext w:val="0"/>
        <w:keepLines w:val="0"/>
        <w:widowControl w:val="0"/>
        <w:shd w:val="clear" w:color="auto" w:fill="auto"/>
        <w:bidi w:val="0"/>
        <w:spacing w:before="0" w:after="0" w:line="309" w:lineRule="exact"/>
        <w:ind w:left="0" w:right="0" w:firstLine="380"/>
        <w:jc w:val="both"/>
      </w:pPr>
      <w:r>
        <w:rPr>
          <w:color w:val="000000"/>
          <w:spacing w:val="0"/>
          <w:w w:val="100"/>
          <w:position w:val="0"/>
        </w:rPr>
        <w:t xml:space="preserve">软通动力坚持创新驱动，拥有强大的技术实力优势。围绕云计算、大数据、物联网、人工智能、区块链、工业互联网、 数字营销、信创及开源鸿蒙/欧拉、网络安全等领域，汇聚技术专家，结合前沿技术与业务发展，建立不同的能力中心进行 技术与业务融合的创新探索，提升软通动力在相应领域的技术应用能力。软通动力已经顺利通过全球软件领域高含金量的 </w:t>
      </w:r>
      <w:r>
        <w:rPr>
          <w:color w:val="000000"/>
          <w:spacing w:val="0"/>
          <w:w w:val="100"/>
          <w:position w:val="0"/>
          <w:sz w:val="18"/>
          <w:szCs w:val="18"/>
        </w:rPr>
        <w:t xml:space="preserve">CMMI-DEV V2. </w:t>
      </w:r>
      <w:r>
        <w:rPr>
          <w:color w:val="000000"/>
          <w:spacing w:val="0"/>
          <w:w w:val="100"/>
          <w:position w:val="0"/>
          <w:sz w:val="18"/>
          <w:szCs w:val="18"/>
        </w:rPr>
        <w:t>0</w:t>
      </w:r>
      <w:r>
        <w:rPr>
          <w:color w:val="000000"/>
          <w:spacing w:val="0"/>
          <w:w w:val="100"/>
          <w:position w:val="0"/>
        </w:rPr>
        <w:t>版</w:t>
      </w:r>
      <w:r>
        <w:rPr>
          <w:color w:val="000000"/>
          <w:spacing w:val="0"/>
          <w:w w:val="100"/>
          <w:position w:val="0"/>
          <w:sz w:val="18"/>
          <w:szCs w:val="18"/>
        </w:rPr>
        <w:t>5</w:t>
      </w:r>
      <w:r>
        <w:rPr>
          <w:color w:val="000000"/>
          <w:spacing w:val="0"/>
          <w:w w:val="100"/>
          <w:position w:val="0"/>
        </w:rPr>
        <w:t>级认证。</w:t>
      </w:r>
    </w:p>
    <w:p>
      <w:pPr>
        <w:pStyle w:val="Style37"/>
        <w:keepNext/>
        <w:keepLines/>
        <w:widowControl w:val="0"/>
        <w:shd w:val="clear" w:color="auto" w:fill="auto"/>
        <w:bidi w:val="0"/>
        <w:spacing w:before="0" w:after="0" w:line="314" w:lineRule="exact"/>
        <w:ind w:left="0" w:right="0"/>
        <w:jc w:val="both"/>
      </w:pPr>
      <w:bookmarkStart w:id="122" w:name="bookmark122"/>
      <w:bookmarkStart w:id="123" w:name="bookmark123"/>
      <w:bookmarkStart w:id="124" w:name="bookmark124"/>
      <w:r>
        <w:rPr>
          <w:color w:val="000000"/>
          <w:spacing w:val="0"/>
          <w:w w:val="100"/>
          <w:position w:val="0"/>
        </w:rPr>
        <w:t>6完善的全球服务交付网络提供多区域敏捷交付</w:t>
      </w:r>
      <w:bookmarkEnd w:id="122"/>
      <w:bookmarkEnd w:id="123"/>
      <w:bookmarkEnd w:id="124"/>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以中国</w:t>
      </w:r>
      <w:r>
        <w:rPr>
          <w:color w:val="000000"/>
          <w:spacing w:val="0"/>
          <w:w w:val="100"/>
          <w:position w:val="0"/>
          <w:sz w:val="18"/>
          <w:szCs w:val="18"/>
        </w:rPr>
        <w:t>8</w:t>
      </w:r>
      <w:r>
        <w:rPr>
          <w:color w:val="000000"/>
          <w:spacing w:val="0"/>
          <w:w w:val="100"/>
          <w:position w:val="0"/>
        </w:rPr>
        <w:t>大交付基地为核心，以北美、日本、东南亚、中东</w:t>
      </w:r>
      <w:r>
        <w:rPr>
          <w:color w:val="000000"/>
          <w:spacing w:val="0"/>
          <w:w w:val="100"/>
          <w:position w:val="0"/>
          <w:sz w:val="18"/>
          <w:szCs w:val="18"/>
        </w:rPr>
        <w:t>4</w:t>
      </w:r>
      <w:r>
        <w:rPr>
          <w:color w:val="000000"/>
          <w:spacing w:val="0"/>
          <w:w w:val="100"/>
          <w:position w:val="0"/>
        </w:rPr>
        <w:t>个区域交付中心为支撑，为客户提供高效、安全可靠和可扩 展的全球交付服务。软通动力在全球</w:t>
      </w:r>
      <w:r>
        <w:rPr>
          <w:color w:val="000000"/>
          <w:spacing w:val="0"/>
          <w:w w:val="100"/>
          <w:position w:val="0"/>
          <w:sz w:val="18"/>
          <w:szCs w:val="18"/>
        </w:rPr>
        <w:t>40</w:t>
      </w:r>
      <w:r>
        <w:rPr>
          <w:color w:val="000000"/>
          <w:spacing w:val="0"/>
          <w:w w:val="100"/>
          <w:position w:val="0"/>
        </w:rPr>
        <w:t>余个城市设有近百个分支机构和超过</w:t>
      </w:r>
      <w:r>
        <w:rPr>
          <w:color w:val="000000"/>
          <w:spacing w:val="0"/>
          <w:w w:val="100"/>
          <w:position w:val="0"/>
          <w:sz w:val="18"/>
          <w:szCs w:val="18"/>
        </w:rPr>
        <w:t>20</w:t>
      </w:r>
      <w:r>
        <w:rPr>
          <w:color w:val="000000"/>
          <w:spacing w:val="0"/>
          <w:w w:val="100"/>
          <w:position w:val="0"/>
        </w:rPr>
        <w:t>个全球交付中心，覆盖北美、日本和中国等全 球主要市场。国内在北京、上海、深圳、杭州、南京、成都、西安、武汉构建了八大交付基地并在重要城市设有子公司、分 公司或办事处，业务范围覆盖全国大部分地区，具备快速响应、多区域同步交付的能力。</w:t>
      </w:r>
    </w:p>
    <w:p>
      <w:pPr>
        <w:pStyle w:val="Style37"/>
        <w:keepNext/>
        <w:keepLines/>
        <w:widowControl w:val="0"/>
        <w:shd w:val="clear" w:color="auto" w:fill="auto"/>
        <w:bidi w:val="0"/>
        <w:spacing w:before="0" w:after="0" w:line="314" w:lineRule="exact"/>
        <w:ind w:left="0" w:right="0"/>
        <w:jc w:val="both"/>
      </w:pPr>
      <w:bookmarkStart w:id="125" w:name="bookmark125"/>
      <w:bookmarkStart w:id="126" w:name="bookmark126"/>
      <w:bookmarkStart w:id="127" w:name="bookmark127"/>
      <w:r>
        <w:rPr>
          <w:color w:val="000000"/>
          <w:spacing w:val="0"/>
          <w:w w:val="100"/>
          <w:position w:val="0"/>
        </w:rPr>
        <w:t>7规模化的人才供给体系</w:t>
      </w:r>
      <w:bookmarkEnd w:id="125"/>
      <w:bookmarkEnd w:id="126"/>
      <w:bookmarkEnd w:id="127"/>
    </w:p>
    <w:p>
      <w:pPr>
        <w:pStyle w:val="Style2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通过校企合作、渠道建设、生态发展，构建人才供给和培养体系，为业务发展提供强有力的人力资源保障。软通动力结 合业务实践构筑了选、用、育、留全过程的人才供应链管理及赋能体系，以产教融合的理念，加强人才的建设，通过建立健 全专业化协同育人服务体系、丰富专业教育教学资源、数字化远程云教育平台等方式不断强化人才的供给与培养，为中高端 人才培养蓄力，实现对产业人才的“精准需求、精准培养、精准供给”。</w:t>
      </w:r>
    </w:p>
    <w:p>
      <w:pPr>
        <w:pStyle w:val="Style37"/>
        <w:keepNext/>
        <w:keepLines/>
        <w:widowControl w:val="0"/>
        <w:shd w:val="clear" w:color="auto" w:fill="auto"/>
        <w:bidi w:val="0"/>
        <w:spacing w:before="0" w:after="0" w:line="314" w:lineRule="exact"/>
        <w:ind w:left="0" w:right="0"/>
        <w:jc w:val="both"/>
      </w:pPr>
      <w:bookmarkStart w:id="128" w:name="bookmark128"/>
      <w:bookmarkStart w:id="129" w:name="bookmark129"/>
      <w:bookmarkStart w:id="130" w:name="bookmark130"/>
      <w:r>
        <w:rPr>
          <w:color w:val="000000"/>
          <w:spacing w:val="0"/>
          <w:w w:val="100"/>
          <w:position w:val="0"/>
        </w:rPr>
        <w:t>8领先的能力发展计划保证了长期服务客户能力</w:t>
      </w:r>
      <w:bookmarkEnd w:id="128"/>
      <w:bookmarkEnd w:id="129"/>
      <w:bookmarkEnd w:id="130"/>
    </w:p>
    <w:p>
      <w:pPr>
        <w:pStyle w:val="Style22"/>
        <w:keepNext w:val="0"/>
        <w:keepLines w:val="0"/>
        <w:widowControl w:val="0"/>
        <w:shd w:val="clear" w:color="auto" w:fill="auto"/>
        <w:bidi w:val="0"/>
        <w:spacing w:before="0" w:line="314" w:lineRule="exact"/>
        <w:ind w:left="0" w:right="0" w:firstLine="380"/>
        <w:jc w:val="both"/>
      </w:pPr>
      <w:r>
        <w:rPr>
          <w:color w:val="000000"/>
          <w:spacing w:val="0"/>
          <w:w w:val="100"/>
          <w:position w:val="0"/>
        </w:rPr>
        <w:t>软通动力制定并实施了能力发展计划，在商业匹配、文化匹配、客户关系管理、质量体系、风险管理、项目管理、</w:t>
      </w:r>
      <w:r>
        <w:rPr>
          <w:color w:val="000000"/>
          <w:spacing w:val="0"/>
          <w:w w:val="100"/>
          <w:position w:val="0"/>
          <w:sz w:val="18"/>
          <w:szCs w:val="18"/>
        </w:rPr>
        <w:t xml:space="preserve">EHS </w:t>
      </w:r>
      <w:r>
        <w:rPr>
          <w:color w:val="000000"/>
          <w:spacing w:val="0"/>
          <w:w w:val="100"/>
          <w:position w:val="0"/>
        </w:rPr>
        <w:t>（环境、健康、安全）、财务管理等多个维度与全球领先实践进行对标，并制定每个维度工作目标和提升计划，逐步巩固行 业大客户战略供应商地位。通过能力发展计划，软通动力建立了高效的业务连续性管理</w:t>
      </w:r>
      <w:r>
        <w:rPr>
          <w:color w:val="000000"/>
          <w:spacing w:val="0"/>
          <w:w w:val="100"/>
          <w:position w:val="0"/>
          <w:sz w:val="18"/>
          <w:szCs w:val="18"/>
        </w:rPr>
        <w:t>（BCM</w:t>
      </w:r>
      <w:r>
        <w:rPr>
          <w:color w:val="000000"/>
          <w:spacing w:val="0"/>
          <w:w w:val="100"/>
          <w:position w:val="0"/>
          <w:sz w:val="18"/>
          <w:szCs w:val="18"/>
        </w:rPr>
        <w:t>）</w:t>
      </w:r>
      <w:r>
        <w:rPr>
          <w:color w:val="000000"/>
          <w:spacing w:val="0"/>
          <w:w w:val="100"/>
          <w:position w:val="0"/>
        </w:rPr>
        <w:t xml:space="preserve">流程体系和管理组织，及时 应对内外部变化，保证关键业务和服务的连续性。软通动力将继续用能力发展计划牵引公司业务发展，打造行业领先的、可 </w:t>
      </w:r>
      <w:r>
        <w:rPr>
          <w:color w:val="000000"/>
          <w:spacing w:val="0"/>
          <w:w w:val="100"/>
          <w:position w:val="0"/>
        </w:rPr>
        <w:t>信赖全栈优质服务，持续提升客户服务能力和竞争力。</w:t>
      </w:r>
    </w:p>
    <w:p>
      <w:pPr>
        <w:pStyle w:val="Style37"/>
        <w:keepNext/>
        <w:keepLines/>
        <w:widowControl w:val="0"/>
        <w:shd w:val="clear" w:color="auto" w:fill="auto"/>
        <w:bidi w:val="0"/>
        <w:spacing w:before="0" w:after="40"/>
        <w:ind w:left="0" w:right="0" w:firstLine="360"/>
        <w:jc w:val="both"/>
      </w:pPr>
      <w:bookmarkStart w:id="131" w:name="bookmark131"/>
      <w:bookmarkStart w:id="132" w:name="bookmark132"/>
      <w:bookmarkStart w:id="133" w:name="bookmark133"/>
      <w:r>
        <w:rPr>
          <w:color w:val="000000"/>
          <w:spacing w:val="0"/>
          <w:w w:val="100"/>
          <w:position w:val="0"/>
        </w:rPr>
        <w:t>9成熟的数字化管理平台支撑业务规模化高质量发展</w:t>
      </w:r>
      <w:bookmarkEnd w:id="131"/>
      <w:bookmarkEnd w:id="132"/>
      <w:bookmarkEnd w:id="133"/>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软通动力作为业内领先的数字化公司，重视运营管理数字化建设。通过逐步完善的数字化管理平台支撑公司国际化、跨 地域、规模化发展，实现对公司各主要类别业务端到端的数字化支撑，以全面云化、数字化、智能化的管理工具持续加强公 司的平台化能力，确保员工服务效率、人才供给效率和流程处理效率大幅提升，推动实现管理决策的在线化、实时化，为软 通动力未来规模化、高质量发展奠定了坚实基础。</w:t>
      </w:r>
    </w:p>
    <w:p>
      <w:pPr>
        <w:pStyle w:val="Style27"/>
        <w:keepNext/>
        <w:keepLines/>
        <w:widowControl w:val="0"/>
        <w:shd w:val="clear" w:color="auto" w:fill="auto"/>
        <w:bidi w:val="0"/>
        <w:spacing w:before="0" w:after="36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sz w:val="24"/>
          <w:szCs w:val="24"/>
        </w:rPr>
        <w:t>四</w:t>
      </w:r>
      <w:bookmarkEnd w:id="136"/>
      <w:r>
        <w:rPr>
          <w:color w:val="000000"/>
          <w:spacing w:val="0"/>
          <w:w w:val="100"/>
          <w:position w:val="0"/>
          <w:sz w:val="24"/>
          <w:szCs w:val="24"/>
        </w:rPr>
        <w:t>、主营业务分析</w:t>
      </w:r>
      <w:bookmarkEnd w:id="134"/>
      <w:bookmarkEnd w:id="135"/>
      <w:bookmarkEnd w:id="137"/>
    </w:p>
    <w:p>
      <w:pPr>
        <w:pStyle w:val="Style33"/>
        <w:keepNext/>
        <w:keepLines/>
        <w:widowControl w:val="0"/>
        <w:shd w:val="clear" w:color="auto" w:fill="auto"/>
        <w:bidi w:val="0"/>
        <w:spacing w:before="0" w:after="24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1</w:t>
      </w:r>
      <w:bookmarkEnd w:id="140"/>
      <w:r>
        <w:rPr>
          <w:color w:val="000000"/>
          <w:spacing w:val="0"/>
          <w:w w:val="100"/>
          <w:position w:val="0"/>
        </w:rPr>
        <w:t>、概述</w:t>
      </w:r>
      <w:bookmarkEnd w:id="138"/>
      <w:bookmarkEnd w:id="139"/>
      <w:bookmarkEnd w:id="141"/>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sz w:val="18"/>
          <w:szCs w:val="18"/>
        </w:rPr>
        <w:t>2021</w:t>
      </w:r>
      <w:r>
        <w:rPr>
          <w:color w:val="000000"/>
          <w:spacing w:val="0"/>
          <w:w w:val="100"/>
          <w:position w:val="0"/>
        </w:rPr>
        <w:t>年度，软通动力实现营业收入</w:t>
      </w:r>
      <w:r>
        <w:rPr>
          <w:color w:val="000000"/>
          <w:spacing w:val="0"/>
          <w:w w:val="100"/>
          <w:position w:val="0"/>
          <w:sz w:val="18"/>
          <w:szCs w:val="18"/>
        </w:rPr>
        <w:t>166.23</w:t>
      </w:r>
      <w:r>
        <w:rPr>
          <w:color w:val="000000"/>
          <w:spacing w:val="0"/>
          <w:w w:val="100"/>
          <w:position w:val="0"/>
        </w:rPr>
        <w:t>亿元，较上年同期增长</w:t>
      </w:r>
      <w:r>
        <w:rPr>
          <w:color w:val="000000"/>
          <w:spacing w:val="0"/>
          <w:w w:val="100"/>
          <w:position w:val="0"/>
          <w:sz w:val="18"/>
          <w:szCs w:val="18"/>
        </w:rPr>
        <w:t>27.88%，</w:t>
      </w:r>
      <w:r>
        <w:rPr>
          <w:color w:val="000000"/>
          <w:spacing w:val="0"/>
          <w:w w:val="100"/>
          <w:position w:val="0"/>
        </w:rPr>
        <w:t>其中支持数字化转型为核心的数字化创新业务 实现收入</w:t>
      </w:r>
      <w:r>
        <w:rPr>
          <w:color w:val="000000"/>
          <w:spacing w:val="0"/>
          <w:w w:val="100"/>
          <w:position w:val="0"/>
          <w:sz w:val="18"/>
          <w:szCs w:val="18"/>
        </w:rPr>
        <w:t>67.43</w:t>
      </w:r>
      <w:r>
        <w:rPr>
          <w:color w:val="000000"/>
          <w:spacing w:val="0"/>
          <w:w w:val="100"/>
          <w:position w:val="0"/>
        </w:rPr>
        <w:t>亿元，占营业收入的比例为</w:t>
      </w:r>
      <w:r>
        <w:rPr>
          <w:color w:val="000000"/>
          <w:spacing w:val="0"/>
          <w:w w:val="100"/>
          <w:position w:val="0"/>
          <w:sz w:val="18"/>
          <w:szCs w:val="18"/>
        </w:rPr>
        <w:t>40.56%，</w:t>
      </w:r>
      <w:r>
        <w:rPr>
          <w:color w:val="000000"/>
          <w:spacing w:val="0"/>
          <w:w w:val="100"/>
          <w:position w:val="0"/>
        </w:rPr>
        <w:t>同比增长</w:t>
      </w:r>
      <w:r>
        <w:rPr>
          <w:color w:val="000000"/>
          <w:spacing w:val="0"/>
          <w:w w:val="100"/>
          <w:position w:val="0"/>
          <w:sz w:val="18"/>
          <w:szCs w:val="18"/>
        </w:rPr>
        <w:t xml:space="preserve">37. </w:t>
      </w:r>
      <w:r>
        <w:rPr>
          <w:color w:val="000000"/>
          <w:spacing w:val="0"/>
          <w:w w:val="100"/>
          <w:position w:val="0"/>
          <w:sz w:val="18"/>
          <w:szCs w:val="18"/>
        </w:rPr>
        <w:t>82%</w:t>
      </w:r>
      <w:r>
        <w:rPr>
          <w:color w:val="000000"/>
          <w:spacing w:val="0"/>
          <w:w w:val="100"/>
          <w:position w:val="0"/>
        </w:rPr>
        <w:t>，业务结构持续优化，快速成为软通动力新的增长引擎。</w:t>
      </w:r>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报告期内，软通动力主营业务主要覆盖通讯设备、互联网服务、金融科技、高科技与制造等四大领域，同时在能源电力、 物流、消费品与零售等其他行业亦有布局，形成了多行业共同驱动的发展模式。</w:t>
      </w:r>
    </w:p>
    <w:p>
      <w:pPr>
        <w:pStyle w:val="Style22"/>
        <w:keepNext w:val="0"/>
        <w:keepLines w:val="0"/>
        <w:widowControl w:val="0"/>
        <w:shd w:val="clear" w:color="auto" w:fill="auto"/>
        <w:bidi w:val="0"/>
        <w:spacing w:before="0" w:line="314" w:lineRule="exact"/>
        <w:ind w:left="0" w:right="0"/>
        <w:jc w:val="both"/>
      </w:pPr>
      <w:r>
        <w:rPr>
          <w:color w:val="000000"/>
          <w:spacing w:val="0"/>
          <w:w w:val="100"/>
          <w:position w:val="0"/>
        </w:rPr>
        <w:t>伴随数字经济和产业数字化进程的快速发展，软通动力在巩固现有市场地位的基础上，将重点行业纳入战略新兴行业进 行突破。战略新兴行业主要包含金融科技，智能汽车，数字能源，智能终端，大健康等。软通动力成立专门的组织，协同内 外部的优势资源，在行业化产品和服务能力上持续投入，逐步推动成为行业领先的数字化解决方案服务提供商。</w:t>
      </w:r>
    </w:p>
    <w:p>
      <w:pPr>
        <w:pStyle w:val="Style22"/>
        <w:keepNext w:val="0"/>
        <w:keepLines w:val="0"/>
        <w:widowControl w:val="0"/>
        <w:shd w:val="clear" w:color="auto" w:fill="auto"/>
        <w:bidi w:val="0"/>
        <w:spacing w:before="0" w:after="140" w:line="322" w:lineRule="exact"/>
        <w:ind w:left="0" w:right="0"/>
        <w:jc w:val="both"/>
      </w:pPr>
      <w:r>
        <w:rPr>
          <w:color w:val="000000"/>
          <w:spacing w:val="0"/>
          <w:w w:val="100"/>
          <w:position w:val="0"/>
        </w:rPr>
        <w:t>报告期内，软通动力在上述战略新兴行业实现收入</w:t>
      </w:r>
      <w:r>
        <w:rPr>
          <w:color w:val="000000"/>
          <w:spacing w:val="0"/>
          <w:w w:val="100"/>
          <w:position w:val="0"/>
          <w:sz w:val="18"/>
          <w:szCs w:val="18"/>
        </w:rPr>
        <w:t>38.29</w:t>
      </w:r>
      <w:r>
        <w:rPr>
          <w:color w:val="000000"/>
          <w:spacing w:val="0"/>
          <w:w w:val="100"/>
          <w:position w:val="0"/>
        </w:rPr>
        <w:t>亿元，占营业收入的比例为</w:t>
      </w:r>
      <w:r>
        <w:rPr>
          <w:color w:val="000000"/>
          <w:spacing w:val="0"/>
          <w:w w:val="100"/>
          <w:position w:val="0"/>
          <w:sz w:val="18"/>
          <w:szCs w:val="18"/>
        </w:rPr>
        <w:t>23.03%</w:t>
      </w:r>
      <w:r>
        <w:rPr>
          <w:color w:val="000000"/>
          <w:spacing w:val="0"/>
          <w:w w:val="100"/>
          <w:position w:val="0"/>
        </w:rPr>
        <w:t>，同比增长</w:t>
      </w:r>
      <w:r>
        <w:rPr>
          <w:color w:val="000000"/>
          <w:spacing w:val="0"/>
          <w:w w:val="100"/>
          <w:position w:val="0"/>
          <w:sz w:val="18"/>
          <w:szCs w:val="18"/>
        </w:rPr>
        <w:t>60.50%</w:t>
      </w:r>
      <w:r>
        <w:rPr>
          <w:color w:val="000000"/>
          <w:spacing w:val="0"/>
          <w:w w:val="100"/>
          <w:position w:val="0"/>
        </w:rPr>
        <w:t>，逐步成 为业务增长新的支撑点。</w:t>
      </w:r>
    </w:p>
    <w:p>
      <w:pPr>
        <w:pStyle w:val="Style37"/>
        <w:keepNext/>
        <w:keepLines/>
        <w:widowControl w:val="0"/>
        <w:shd w:val="clear" w:color="auto" w:fill="auto"/>
        <w:bidi w:val="0"/>
        <w:spacing w:before="0" w:after="0" w:line="360" w:lineRule="auto"/>
        <w:ind w:left="0" w:right="0" w:firstLine="500"/>
        <w:jc w:val="both"/>
      </w:pPr>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通讯设备行业</w:t>
      </w:r>
      <w:bookmarkEnd w:id="142"/>
      <w:bookmarkEnd w:id="143"/>
      <w:bookmarkEnd w:id="144"/>
    </w:p>
    <w:p>
      <w:pPr>
        <w:pStyle w:val="Style22"/>
        <w:keepNext w:val="0"/>
        <w:keepLines w:val="0"/>
        <w:widowControl w:val="0"/>
        <w:shd w:val="clear" w:color="auto" w:fill="auto"/>
        <w:bidi w:val="0"/>
        <w:spacing w:before="0" w:line="311" w:lineRule="exact"/>
        <w:ind w:left="0" w:right="0"/>
        <w:jc w:val="both"/>
      </w:pPr>
      <w:r>
        <w:rPr>
          <w:color w:val="000000"/>
          <w:spacing w:val="0"/>
          <w:w w:val="100"/>
          <w:position w:val="0"/>
        </w:rPr>
        <w:t>软通动力是国内最大的通讯设备企业一华为以及其主要生态公司的核心供应商之一，经过长达</w:t>
      </w:r>
      <w:r>
        <w:rPr>
          <w:color w:val="000000"/>
          <w:spacing w:val="0"/>
          <w:w w:val="100"/>
          <w:position w:val="0"/>
          <w:sz w:val="18"/>
          <w:szCs w:val="18"/>
        </w:rPr>
        <w:t>16</w:t>
      </w:r>
      <w:r>
        <w:rPr>
          <w:color w:val="000000"/>
          <w:spacing w:val="0"/>
          <w:w w:val="100"/>
          <w:position w:val="0"/>
        </w:rPr>
        <w:t>年的密切合作，其服 务覆盖了华为多产品线，包括运营商、企业、终端、云、智能汽车等业务领域，业务布局覆盖华为国内的主要业务区域。报 告期内，软通动力与华为以及其主要生态公司的合作广度和深度进一步提升，成长为具备咨询与解决方案、产品研发、</w:t>
      </w:r>
      <w:r>
        <w:rPr>
          <w:color w:val="000000"/>
          <w:spacing w:val="0"/>
          <w:w w:val="100"/>
          <w:position w:val="0"/>
          <w:sz w:val="18"/>
          <w:szCs w:val="18"/>
        </w:rPr>
        <w:t xml:space="preserve">IT </w:t>
      </w:r>
      <w:r>
        <w:rPr>
          <w:color w:val="000000"/>
          <w:spacing w:val="0"/>
          <w:w w:val="100"/>
          <w:position w:val="0"/>
        </w:rPr>
        <w:t>实施、运维运营等综合服务能力的供应商，深入参与华为云、鸿蒙、欧拉、鲲鹏等生态领域的构建，连续保持华为软件服务 供应商</w:t>
      </w:r>
      <w:r>
        <w:rPr>
          <w:color w:val="000000"/>
          <w:spacing w:val="0"/>
          <w:w w:val="100"/>
          <w:position w:val="0"/>
          <w:sz w:val="18"/>
          <w:szCs w:val="18"/>
        </w:rPr>
        <w:t>TOP2</w:t>
      </w:r>
      <w:r>
        <w:rPr>
          <w:color w:val="000000"/>
          <w:spacing w:val="0"/>
          <w:w w:val="100"/>
          <w:position w:val="0"/>
        </w:rPr>
        <w:t>地位，多次获得华为对供应商年度综合排名第一。</w:t>
      </w:r>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报告期内，软通动力对通讯设备行业客户实现营业收入</w:t>
      </w:r>
      <w:r>
        <w:rPr>
          <w:color w:val="000000"/>
          <w:spacing w:val="0"/>
          <w:w w:val="100"/>
          <w:position w:val="0"/>
          <w:sz w:val="18"/>
          <w:szCs w:val="18"/>
        </w:rPr>
        <w:t xml:space="preserve">82. </w:t>
      </w:r>
      <w:r>
        <w:rPr>
          <w:color w:val="000000"/>
          <w:spacing w:val="0"/>
          <w:w w:val="100"/>
          <w:position w:val="0"/>
          <w:sz w:val="18"/>
          <w:szCs w:val="18"/>
        </w:rPr>
        <w:t>92</w:t>
      </w:r>
      <w:r>
        <w:rPr>
          <w:color w:val="000000"/>
          <w:spacing w:val="0"/>
          <w:w w:val="100"/>
          <w:position w:val="0"/>
        </w:rPr>
        <w:t>亿元，占营业收入的比例为</w:t>
      </w:r>
      <w:r>
        <w:rPr>
          <w:color w:val="000000"/>
          <w:spacing w:val="0"/>
          <w:w w:val="100"/>
          <w:position w:val="0"/>
          <w:sz w:val="18"/>
          <w:szCs w:val="18"/>
        </w:rPr>
        <w:t xml:space="preserve">49. </w:t>
      </w:r>
      <w:r>
        <w:rPr>
          <w:color w:val="000000"/>
          <w:spacing w:val="0"/>
          <w:w w:val="100"/>
          <w:position w:val="0"/>
          <w:sz w:val="18"/>
          <w:szCs w:val="18"/>
        </w:rPr>
        <w:t>89%，</w:t>
      </w:r>
      <w:r>
        <w:rPr>
          <w:color w:val="000000"/>
          <w:spacing w:val="0"/>
          <w:w w:val="100"/>
          <w:position w:val="0"/>
        </w:rPr>
        <w:t>较上年同期增长</w:t>
      </w:r>
      <w:r>
        <w:rPr>
          <w:color w:val="000000"/>
          <w:spacing w:val="0"/>
          <w:w w:val="100"/>
          <w:position w:val="0"/>
          <w:sz w:val="18"/>
          <w:szCs w:val="18"/>
        </w:rPr>
        <w:t>14.15%</w:t>
      </w:r>
      <w:r>
        <w:rPr>
          <w:color w:val="000000"/>
          <w:spacing w:val="0"/>
          <w:w w:val="100"/>
          <w:position w:val="0"/>
        </w:rPr>
        <w:t>。</w:t>
      </w:r>
    </w:p>
    <w:p>
      <w:pPr>
        <w:pStyle w:val="Style37"/>
        <w:keepNext/>
        <w:keepLines/>
        <w:widowControl w:val="0"/>
        <w:shd w:val="clear" w:color="auto" w:fill="auto"/>
        <w:bidi w:val="0"/>
        <w:spacing w:before="0" w:after="40"/>
        <w:ind w:left="0" w:right="0" w:firstLine="500"/>
        <w:jc w:val="both"/>
      </w:pPr>
      <w:bookmarkStart w:id="145" w:name="bookmark145"/>
      <w:bookmarkStart w:id="146" w:name="bookmark146"/>
      <w:bookmarkStart w:id="147" w:name="bookmark147"/>
      <w:r>
        <w:rPr>
          <w:color w:val="000000"/>
          <w:spacing w:val="0"/>
          <w:w w:val="100"/>
          <w:position w:val="0"/>
        </w:rPr>
        <w:t>2互联网服务行业</w:t>
      </w:r>
      <w:bookmarkEnd w:id="145"/>
      <w:bookmarkEnd w:id="146"/>
      <w:bookmarkEnd w:id="147"/>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报告期内，软通动力与阿里开展深入合作，服务覆盖阿里经济体的所有主要业务板块，已经成为阿里巴巴、腾讯、百度 的核心信息技术服务供应商之一。报告期内，软通动力与京东达成战略合作，同时也为字节跳动、京东、新浪、滴滴、美团、 网易等知名互联网企业提供多样化的服务，覆盖了互联网所有主要巨头企业，在互联网服务行业中建立了较高的品牌声誉。</w:t>
      </w:r>
    </w:p>
    <w:p>
      <w:pPr>
        <w:pStyle w:val="Style22"/>
        <w:keepNext w:val="0"/>
        <w:keepLines w:val="0"/>
        <w:widowControl w:val="0"/>
        <w:shd w:val="clear" w:color="auto" w:fill="auto"/>
        <w:bidi w:val="0"/>
        <w:spacing w:before="0" w:line="302" w:lineRule="exact"/>
        <w:ind w:left="0" w:right="0"/>
        <w:jc w:val="both"/>
      </w:pPr>
      <w:r>
        <w:rPr>
          <w:color w:val="000000"/>
          <w:spacing w:val="0"/>
          <w:w w:val="100"/>
          <w:position w:val="0"/>
        </w:rPr>
        <w:t>报告期内，软通动力成为移动云、天翼云重要合作伙伴，助力电信运营商在互联网、大数据、人工智能和实体经济深度 融合，并持续围绕运营商在通用技术、</w:t>
      </w:r>
      <w:r>
        <w:rPr>
          <w:color w:val="000000"/>
          <w:spacing w:val="0"/>
          <w:w w:val="100"/>
          <w:position w:val="0"/>
          <w:sz w:val="18"/>
          <w:szCs w:val="18"/>
        </w:rPr>
        <w:t>5G</w:t>
      </w:r>
      <w:r>
        <w:rPr>
          <w:color w:val="000000"/>
          <w:spacing w:val="0"/>
          <w:w w:val="100"/>
          <w:position w:val="0"/>
        </w:rPr>
        <w:t>产业垂直应用落地，在云计算、大数据、</w:t>
      </w:r>
      <w:r>
        <w:rPr>
          <w:color w:val="000000"/>
          <w:spacing w:val="0"/>
          <w:w w:val="100"/>
          <w:position w:val="0"/>
          <w:sz w:val="18"/>
          <w:szCs w:val="18"/>
        </w:rPr>
        <w:t>DICT</w:t>
      </w:r>
      <w:r>
        <w:rPr>
          <w:color w:val="000000"/>
          <w:spacing w:val="0"/>
          <w:w w:val="100"/>
          <w:position w:val="0"/>
        </w:rPr>
        <w:t>等领域共同探索，共同发力。</w:t>
      </w:r>
    </w:p>
    <w:p>
      <w:pPr>
        <w:pStyle w:val="Style22"/>
        <w:keepNext w:val="0"/>
        <w:keepLines w:val="0"/>
        <w:widowControl w:val="0"/>
        <w:shd w:val="clear" w:color="auto" w:fill="auto"/>
        <w:bidi w:val="0"/>
        <w:spacing w:before="0" w:line="307" w:lineRule="exact"/>
        <w:ind w:left="0" w:right="0"/>
        <w:jc w:val="both"/>
      </w:pPr>
      <w:r>
        <w:rPr>
          <w:color w:val="000000"/>
          <w:spacing w:val="0"/>
          <w:w w:val="100"/>
          <w:position w:val="0"/>
        </w:rPr>
        <w:t>报告期内，软通动力对互联网服务行业客户实现营业收入</w:t>
      </w:r>
      <w:r>
        <w:rPr>
          <w:color w:val="000000"/>
          <w:spacing w:val="0"/>
          <w:w w:val="100"/>
          <w:position w:val="0"/>
          <w:sz w:val="18"/>
          <w:szCs w:val="18"/>
        </w:rPr>
        <w:t>33.20</w:t>
      </w:r>
      <w:r>
        <w:rPr>
          <w:color w:val="000000"/>
          <w:spacing w:val="0"/>
          <w:w w:val="100"/>
          <w:position w:val="0"/>
        </w:rPr>
        <w:t>亿元，占营业收入的比例为</w:t>
      </w:r>
      <w:r>
        <w:rPr>
          <w:color w:val="000000"/>
          <w:spacing w:val="0"/>
          <w:w w:val="100"/>
          <w:position w:val="0"/>
          <w:sz w:val="18"/>
          <w:szCs w:val="18"/>
        </w:rPr>
        <w:t>19.97%，</w:t>
      </w:r>
      <w:r>
        <w:rPr>
          <w:color w:val="000000"/>
          <w:spacing w:val="0"/>
          <w:w w:val="100"/>
          <w:position w:val="0"/>
        </w:rPr>
        <w:t xml:space="preserve">较上年同期增长 </w:t>
      </w:r>
      <w:r>
        <w:rPr>
          <w:color w:val="000000"/>
          <w:spacing w:val="0"/>
          <w:w w:val="100"/>
          <w:position w:val="0"/>
          <w:sz w:val="18"/>
          <w:szCs w:val="18"/>
        </w:rPr>
        <w:t xml:space="preserve">57. </w:t>
      </w:r>
      <w:r>
        <w:rPr>
          <w:color w:val="000000"/>
          <w:spacing w:val="0"/>
          <w:w w:val="100"/>
          <w:position w:val="0"/>
          <w:sz w:val="18"/>
          <w:szCs w:val="18"/>
        </w:rPr>
        <w:t>47%</w:t>
      </w:r>
      <w:r>
        <w:rPr>
          <w:color w:val="000000"/>
          <w:spacing w:val="0"/>
          <w:w w:val="100"/>
          <w:position w:val="0"/>
        </w:rPr>
        <w:t>。</w:t>
      </w:r>
    </w:p>
    <w:p>
      <w:pPr>
        <w:pStyle w:val="Style37"/>
        <w:keepNext/>
        <w:keepLines/>
        <w:widowControl w:val="0"/>
        <w:shd w:val="clear" w:color="auto" w:fill="auto"/>
        <w:bidi w:val="0"/>
        <w:spacing w:before="0" w:after="40"/>
        <w:ind w:left="0" w:right="0" w:firstLine="500"/>
        <w:jc w:val="both"/>
      </w:pPr>
      <w:bookmarkStart w:id="148" w:name="bookmark148"/>
      <w:bookmarkStart w:id="149" w:name="bookmark149"/>
      <w:bookmarkStart w:id="150" w:name="bookmark150"/>
      <w:r>
        <w:rPr>
          <w:color w:val="000000"/>
          <w:spacing w:val="0"/>
          <w:w w:val="100"/>
          <w:position w:val="0"/>
        </w:rPr>
        <w:t>3金融科技行业</w:t>
      </w:r>
      <w:bookmarkEnd w:id="148"/>
      <w:bookmarkEnd w:id="149"/>
      <w:bookmarkEnd w:id="150"/>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“新金融”的特征和方向正在用产业金融、普惠金融、绿色金融、科创金融等多维度定义，在“新金融+新技术”的新 环境之下，软通动力推出了面向泛金融领域的子品牌一软通金科。软通金科是面向金融领域、横跨各细分行业的综合技术 服务业务品牌，其致力于以咨询服务为先导，更好地匹配金融企业的业务战略；以解决方案为触点，深入金融应用场景；以 数字技术服务为手段，更好地支撑金融客户的数字化转型；以数字化运营为延伸，协助客户实现平台化运营和全天候消费者 看护。软通动力着力将软通金科打造为国内金融行业科技服务领域“第一品牌”。</w:t>
      </w:r>
    </w:p>
    <w:p>
      <w:pPr>
        <w:pStyle w:val="Style22"/>
        <w:keepNext w:val="0"/>
        <w:keepLines w:val="0"/>
        <w:widowControl w:val="0"/>
        <w:shd w:val="clear" w:color="auto" w:fill="auto"/>
        <w:bidi w:val="0"/>
        <w:spacing w:before="0" w:line="307" w:lineRule="exact"/>
        <w:ind w:left="0" w:right="0"/>
        <w:jc w:val="both"/>
      </w:pPr>
      <w:r>
        <w:rPr>
          <w:color w:val="000000"/>
          <w:spacing w:val="0"/>
          <w:w w:val="100"/>
          <w:position w:val="0"/>
        </w:rPr>
        <w:t xml:space="preserve">在技术服务方面，软通金科提供了从咨询与解决方案到系统开发、测试、运维等，端到端整体交付能力。在应用体系方 面，软通金科可提供核心业务类、渠道业务类、数据与监管类、平台工具类、营销触达类等从交易到数据，从客户到监管， </w:t>
      </w:r>
      <w:r>
        <w:rPr>
          <w:color w:val="000000"/>
          <w:spacing w:val="0"/>
          <w:w w:val="100"/>
          <w:position w:val="0"/>
        </w:rPr>
        <w:t>从统计到分析，从桌面到移动的全场景支持能力。在研发创新方面，软通金科凭借全栈式的服务能力，围绕信创、云、大数 据、人工智能、区块链、物联网、数字货币等新兴技术，持续进行研发和应用建设能力方面的创新。通过创新成果与金融业 务应用场景进行深度融合，推动金融机构商业和运营模式的变革。在生态建设方面，软通金科正持续拉近数字技术应用与金 融机构的距离。基于与华为等科技巨头的深入合作，软通金科得以更早熟悉前沿技术与应用方式。在服务金融机构数字化转 型的进程中，凭借对客户战略目标和转型需求的了解，软通金科可第一时间将新技术应用于金融创新，以加速建设数字金融 生态。</w:t>
      </w:r>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报告期内，软通动力联合赛迪顾问发布了《新金融、新服务和新生态一</w:t>
      </w:r>
      <w:r>
        <w:rPr>
          <w:color w:val="000000"/>
          <w:spacing w:val="0"/>
          <w:w w:val="100"/>
          <w:position w:val="0"/>
          <w:sz w:val="18"/>
          <w:szCs w:val="18"/>
        </w:rPr>
        <w:t>2021</w:t>
      </w:r>
      <w:r>
        <w:rPr>
          <w:color w:val="000000"/>
          <w:spacing w:val="0"/>
          <w:w w:val="100"/>
          <w:position w:val="0"/>
        </w:rPr>
        <w:t>金融数字技术服务白皮书》，先后荣获</w:t>
      </w:r>
      <w:r>
        <w:rPr>
          <w:color w:val="000000"/>
          <w:spacing w:val="0"/>
          <w:w w:val="100"/>
          <w:position w:val="0"/>
          <w:sz w:val="18"/>
          <w:szCs w:val="18"/>
        </w:rPr>
        <w:t xml:space="preserve">“2021 </w:t>
      </w:r>
      <w:r>
        <w:rPr>
          <w:color w:val="000000"/>
          <w:spacing w:val="0"/>
          <w:w w:val="100"/>
          <w:position w:val="0"/>
        </w:rPr>
        <w:t>金融科技影响力品牌”奖、“赛迪</w:t>
      </w:r>
      <w:r>
        <w:rPr>
          <w:color w:val="000000"/>
          <w:spacing w:val="0"/>
          <w:w w:val="100"/>
          <w:position w:val="0"/>
          <w:sz w:val="18"/>
          <w:szCs w:val="18"/>
        </w:rPr>
        <w:t>2021</w:t>
      </w:r>
      <w:r>
        <w:rPr>
          <w:color w:val="000000"/>
          <w:spacing w:val="0"/>
          <w:w w:val="100"/>
          <w:position w:val="0"/>
        </w:rPr>
        <w:t>中国金融数字化专项先锋企业</w:t>
      </w:r>
      <w:r>
        <w:rPr>
          <w:color w:val="000000"/>
          <w:spacing w:val="0"/>
          <w:w w:val="100"/>
          <w:position w:val="0"/>
          <w:sz w:val="18"/>
          <w:szCs w:val="18"/>
        </w:rPr>
        <w:t>TOP50”</w:t>
      </w:r>
      <w:r>
        <w:rPr>
          <w:color w:val="000000"/>
          <w:spacing w:val="0"/>
          <w:w w:val="100"/>
          <w:position w:val="0"/>
        </w:rPr>
        <w:t>、</w:t>
      </w:r>
      <w:r>
        <w:rPr>
          <w:color w:val="000000"/>
          <w:spacing w:val="0"/>
          <w:w w:val="100"/>
          <w:position w:val="0"/>
        </w:rPr>
        <w:t>“艾瑞</w:t>
      </w:r>
      <w:r>
        <w:rPr>
          <w:color w:val="000000"/>
          <w:spacing w:val="0"/>
          <w:w w:val="100"/>
          <w:position w:val="0"/>
          <w:sz w:val="18"/>
          <w:szCs w:val="18"/>
        </w:rPr>
        <w:t>2021</w:t>
      </w:r>
      <w:r>
        <w:rPr>
          <w:color w:val="000000"/>
          <w:spacing w:val="0"/>
          <w:w w:val="100"/>
          <w:position w:val="0"/>
        </w:rPr>
        <w:t>年中国</w:t>
      </w:r>
      <w:r>
        <w:rPr>
          <w:color w:val="000000"/>
          <w:spacing w:val="0"/>
          <w:w w:val="100"/>
          <w:position w:val="0"/>
          <w:sz w:val="18"/>
          <w:szCs w:val="18"/>
        </w:rPr>
        <w:t xml:space="preserve">FinTech TOP </w:t>
      </w:r>
      <w:r>
        <w:rPr>
          <w:color w:val="000000"/>
          <w:spacing w:val="0"/>
          <w:w w:val="100"/>
          <w:position w:val="0"/>
          <w:sz w:val="18"/>
          <w:szCs w:val="18"/>
        </w:rPr>
        <w:t>50”</w:t>
      </w:r>
      <w:r>
        <w:rPr>
          <w:color w:val="000000"/>
          <w:spacing w:val="0"/>
          <w:w w:val="100"/>
          <w:position w:val="0"/>
        </w:rPr>
        <w:t>、</w:t>
      </w:r>
      <w:r>
        <w:rPr>
          <w:color w:val="000000"/>
          <w:spacing w:val="0"/>
          <w:w w:val="100"/>
          <w:position w:val="0"/>
          <w:sz w:val="18"/>
          <w:szCs w:val="18"/>
        </w:rPr>
        <w:t xml:space="preserve">“2020 </w:t>
      </w:r>
      <w:r>
        <w:rPr>
          <w:color w:val="000000"/>
          <w:spacing w:val="0"/>
          <w:w w:val="100"/>
          <w:position w:val="0"/>
        </w:rPr>
        <w:t>中国云计算金融行业领军企业”、</w:t>
      </w:r>
      <w:r>
        <w:rPr>
          <w:color w:val="000000"/>
          <w:spacing w:val="0"/>
          <w:w w:val="100"/>
          <w:position w:val="0"/>
          <w:sz w:val="18"/>
          <w:szCs w:val="18"/>
        </w:rPr>
        <w:t>“2021</w:t>
      </w:r>
      <w:r>
        <w:rPr>
          <w:color w:val="000000"/>
          <w:spacing w:val="0"/>
          <w:w w:val="100"/>
          <w:position w:val="0"/>
        </w:rPr>
        <w:t>中国金融数字化转型先锋企业”等荣誉称号。</w:t>
      </w:r>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在银行领域，软通动力市场占有率进一步提升，银行业务涵盖全部六家国有大型商业银行，所有</w:t>
      </w:r>
      <w:r>
        <w:rPr>
          <w:color w:val="000000"/>
          <w:spacing w:val="0"/>
          <w:w w:val="100"/>
          <w:position w:val="0"/>
          <w:sz w:val="18"/>
          <w:szCs w:val="18"/>
        </w:rPr>
        <w:t>12</w:t>
      </w:r>
      <w:r>
        <w:rPr>
          <w:color w:val="000000"/>
          <w:spacing w:val="0"/>
          <w:w w:val="100"/>
          <w:position w:val="0"/>
        </w:rPr>
        <w:t>家全国性股份制商业 银行，多个城市商业银行、农村信用合作组织，以及汇丰银行等外资银行。报告期内，软通动力在手机银行、直销银行、微 信银行、网点智能自助服务、精准营销、大数据等领域与多家银行进行合作，成功中标中国银行股份有限公司数字化转型外 部专家选型项目，助力中国银行新一代企业级技术平台成功投产；协助农行“数字乡村”工程、分布式核心银行、数字人民 币、掌银</w:t>
      </w:r>
      <w:r>
        <w:rPr>
          <w:color w:val="000000"/>
          <w:spacing w:val="0"/>
          <w:w w:val="100"/>
          <w:position w:val="0"/>
          <w:sz w:val="18"/>
          <w:szCs w:val="18"/>
        </w:rPr>
        <w:t>7.0</w:t>
      </w:r>
      <w:r>
        <w:rPr>
          <w:color w:val="000000"/>
          <w:spacing w:val="0"/>
          <w:w w:val="100"/>
          <w:position w:val="0"/>
        </w:rPr>
        <w:t>等项目上线；成功验收了中国光大银行现金管理客户端系统（跨行通）应用升级项目；获得“赛迪</w:t>
      </w:r>
      <w:r>
        <w:rPr>
          <w:color w:val="000000"/>
          <w:spacing w:val="0"/>
          <w:w w:val="100"/>
          <w:position w:val="0"/>
          <w:sz w:val="18"/>
          <w:szCs w:val="18"/>
        </w:rPr>
        <w:t>2020</w:t>
      </w:r>
      <w:r>
        <w:rPr>
          <w:color w:val="000000"/>
          <w:spacing w:val="0"/>
          <w:w w:val="100"/>
          <w:position w:val="0"/>
        </w:rPr>
        <w:t xml:space="preserve">年度银行 </w:t>
      </w:r>
      <w:r>
        <w:rPr>
          <w:color w:val="000000"/>
          <w:spacing w:val="0"/>
          <w:w w:val="100"/>
          <w:position w:val="0"/>
          <w:sz w:val="18"/>
          <w:szCs w:val="18"/>
        </w:rPr>
        <w:t>IT</w:t>
      </w:r>
      <w:r>
        <w:rPr>
          <w:color w:val="000000"/>
          <w:spacing w:val="0"/>
          <w:w w:val="100"/>
          <w:position w:val="0"/>
        </w:rPr>
        <w:t>解决方案排名第</w:t>
      </w:r>
      <w:r>
        <w:rPr>
          <w:color w:val="000000"/>
          <w:spacing w:val="0"/>
          <w:w w:val="100"/>
          <w:position w:val="0"/>
          <w:sz w:val="18"/>
          <w:szCs w:val="18"/>
        </w:rPr>
        <w:t>6”</w:t>
      </w:r>
      <w:r>
        <w:rPr>
          <w:color w:val="000000"/>
          <w:spacing w:val="0"/>
          <w:w w:val="100"/>
          <w:position w:val="0"/>
        </w:rPr>
        <w:t>、“软通动力</w:t>
      </w:r>
      <w:r>
        <w:rPr>
          <w:color w:val="000000"/>
          <w:spacing w:val="0"/>
          <w:w w:val="100"/>
          <w:position w:val="0"/>
          <w:sz w:val="18"/>
          <w:szCs w:val="18"/>
        </w:rPr>
        <w:t>一</w:t>
      </w:r>
      <w:r>
        <w:rPr>
          <w:color w:val="000000"/>
          <w:spacing w:val="0"/>
          <w:w w:val="100"/>
          <w:position w:val="0"/>
        </w:rPr>
        <w:t xml:space="preserve">云链金汇供应链金融平台”荣获“ </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2021</w:t>
      </w:r>
      <w:r>
        <w:rPr>
          <w:color w:val="000000"/>
          <w:spacing w:val="0"/>
          <w:w w:val="100"/>
          <w:position w:val="0"/>
        </w:rPr>
        <w:t xml:space="preserve">年度数字转型杰出创新产品”奖，“智 能协同门户平台”荣获“ </w:t>
      </w:r>
      <w:r>
        <w:rPr>
          <w:color w:val="000000"/>
          <w:spacing w:val="0"/>
          <w:w w:val="100"/>
          <w:position w:val="0"/>
          <w:sz w:val="18"/>
          <w:szCs w:val="18"/>
        </w:rPr>
        <w:t>2020</w:t>
      </w:r>
      <w:r>
        <w:rPr>
          <w:color w:val="000000"/>
          <w:spacing w:val="0"/>
          <w:w w:val="100"/>
          <w:position w:val="0"/>
        </w:rPr>
        <w:t>年中国软件行业优秀解决方案”等奖项。</w:t>
      </w:r>
    </w:p>
    <w:p>
      <w:pPr>
        <w:pStyle w:val="Style22"/>
        <w:keepNext w:val="0"/>
        <w:keepLines w:val="0"/>
        <w:widowControl w:val="0"/>
        <w:shd w:val="clear" w:color="auto" w:fill="auto"/>
        <w:bidi w:val="0"/>
        <w:spacing w:before="0" w:line="310" w:lineRule="exact"/>
        <w:ind w:left="0" w:right="0"/>
        <w:jc w:val="both"/>
      </w:pPr>
      <w:r>
        <w:rPr>
          <w:color w:val="000000"/>
          <w:spacing w:val="0"/>
          <w:w w:val="100"/>
          <w:position w:val="0"/>
        </w:rPr>
        <w:t>在保险领域，软通动力已形成以保险核心业务系统为基础，覆盖渠道、中介、平台工具、大数据及监管等各环节的保险 行业解决方案。报告期内，软通动力成功升级了保险核心业务系统、渠道管理系统、保险中介管理系统、数据与监管系统等， 中标平安健康险一体化理赔新核心开发项目、人保财险</w:t>
      </w:r>
      <w:r>
        <w:rPr>
          <w:color w:val="000000"/>
          <w:spacing w:val="0"/>
          <w:w w:val="100"/>
          <w:position w:val="0"/>
          <w:sz w:val="18"/>
          <w:szCs w:val="18"/>
        </w:rPr>
        <w:t>2021</w:t>
      </w:r>
      <w:r>
        <w:rPr>
          <w:color w:val="000000"/>
          <w:spacing w:val="0"/>
          <w:w w:val="100"/>
          <w:position w:val="0"/>
        </w:rPr>
        <w:t>年软件研发、测试和运维财务类项目。成功实施了瑞士再保险互 联网平台及核心系统建设项目、阿里云中华财险新一代全分布式保险核心系统项目等重要项目。软通金科获得</w:t>
      </w:r>
      <w:r>
        <w:rPr>
          <w:color w:val="000000"/>
          <w:spacing w:val="0"/>
          <w:w w:val="100"/>
          <w:position w:val="0"/>
          <w:sz w:val="18"/>
          <w:szCs w:val="18"/>
        </w:rPr>
        <w:t>“2020</w:t>
      </w:r>
      <w:r>
        <w:rPr>
          <w:color w:val="000000"/>
          <w:spacing w:val="0"/>
          <w:w w:val="100"/>
          <w:position w:val="0"/>
        </w:rPr>
        <w:t>年中国 保险行业</w:t>
      </w:r>
      <w:r>
        <w:rPr>
          <w:color w:val="000000"/>
          <w:spacing w:val="0"/>
          <w:w w:val="100"/>
          <w:position w:val="0"/>
          <w:sz w:val="18"/>
          <w:szCs w:val="18"/>
        </w:rPr>
        <w:t>IT</w:t>
      </w:r>
      <w:r>
        <w:rPr>
          <w:color w:val="000000"/>
          <w:spacing w:val="0"/>
          <w:w w:val="100"/>
          <w:position w:val="0"/>
        </w:rPr>
        <w:t xml:space="preserve">解决方案市场排名” </w:t>
      </w:r>
      <w:r>
        <w:rPr>
          <w:color w:val="000000"/>
          <w:spacing w:val="0"/>
          <w:w w:val="100"/>
          <w:position w:val="0"/>
          <w:sz w:val="18"/>
          <w:szCs w:val="18"/>
        </w:rPr>
        <w:t>TOP2，</w:t>
      </w:r>
      <w:r>
        <w:rPr>
          <w:color w:val="000000"/>
          <w:spacing w:val="0"/>
          <w:w w:val="100"/>
          <w:position w:val="0"/>
        </w:rPr>
        <w:t>"软通动力</w:t>
      </w:r>
      <w:r>
        <w:rPr>
          <w:color w:val="000000"/>
          <w:spacing w:val="0"/>
          <w:w w:val="100"/>
          <w:position w:val="0"/>
          <w:sz w:val="18"/>
          <w:szCs w:val="18"/>
        </w:rPr>
        <w:t>一</w:t>
      </w:r>
      <w:r>
        <w:rPr>
          <w:color w:val="000000"/>
          <w:spacing w:val="0"/>
          <w:w w:val="100"/>
          <w:position w:val="0"/>
        </w:rPr>
        <w:t>中银三星人寿数据平台”荣获</w:t>
      </w:r>
      <w:r>
        <w:rPr>
          <w:color w:val="000000"/>
          <w:spacing w:val="0"/>
          <w:w w:val="100"/>
          <w:position w:val="0"/>
          <w:sz w:val="18"/>
          <w:szCs w:val="18"/>
        </w:rPr>
        <w:t>“2020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2021</w:t>
      </w:r>
      <w:r>
        <w:rPr>
          <w:color w:val="000000"/>
          <w:spacing w:val="0"/>
          <w:w w:val="100"/>
          <w:position w:val="0"/>
        </w:rPr>
        <w:t>年度数字转型杰出案例”奖。</w:t>
      </w:r>
    </w:p>
    <w:p>
      <w:pPr>
        <w:pStyle w:val="Style22"/>
        <w:keepNext w:val="0"/>
        <w:keepLines w:val="0"/>
        <w:widowControl w:val="0"/>
        <w:shd w:val="clear" w:color="auto" w:fill="auto"/>
        <w:bidi w:val="0"/>
        <w:spacing w:before="0" w:line="314" w:lineRule="exact"/>
        <w:ind w:left="0" w:right="0"/>
        <w:jc w:val="both"/>
      </w:pPr>
      <w:r>
        <w:rPr>
          <w:color w:val="000000"/>
          <w:spacing w:val="0"/>
          <w:w w:val="100"/>
          <w:position w:val="0"/>
        </w:rPr>
        <w:t>在企业金融领域，软通动力为客户提供业务咨询、</w:t>
      </w:r>
      <w:r>
        <w:rPr>
          <w:color w:val="000000"/>
          <w:spacing w:val="0"/>
          <w:w w:val="100"/>
          <w:position w:val="0"/>
          <w:sz w:val="18"/>
          <w:szCs w:val="18"/>
        </w:rPr>
        <w:t>IT</w:t>
      </w:r>
      <w:r>
        <w:rPr>
          <w:color w:val="000000"/>
          <w:spacing w:val="0"/>
          <w:w w:val="100"/>
          <w:position w:val="0"/>
        </w:rPr>
        <w:t>规划、标准软件产品及信息系统开发、系统维护等服务。报告期内， 软通动力研发了新一代票据业务系统、信用风险管控平台，持续升级了财务公司核心系统、资金管理系统、信托公司核心系 统、第三方支付、融资租赁、保理等行业解决方案。报告期内，软通动力成功中标中铝集团司库管理项目、中能建财务公司 新一代信息系统、李宁集团资金管理系统等项目，受邀出席“财务公司信息化交流会”并授课，并成为中国总会计师协会信 息化分会常务理事单位。</w:t>
      </w:r>
    </w:p>
    <w:p>
      <w:pPr>
        <w:pStyle w:val="Style22"/>
        <w:keepNext w:val="0"/>
        <w:keepLines w:val="0"/>
        <w:widowControl w:val="0"/>
        <w:shd w:val="clear" w:color="auto" w:fill="auto"/>
        <w:bidi w:val="0"/>
        <w:spacing w:before="0" w:line="310" w:lineRule="exact"/>
        <w:ind w:left="0" w:right="0"/>
        <w:jc w:val="both"/>
      </w:pPr>
      <w:r>
        <w:rPr>
          <w:color w:val="000000"/>
          <w:spacing w:val="0"/>
          <w:w w:val="100"/>
          <w:position w:val="0"/>
        </w:rPr>
        <w:t>报告期内，软通动力对金融科技行业客户实现营业收入</w:t>
      </w:r>
      <w:r>
        <w:rPr>
          <w:color w:val="000000"/>
          <w:spacing w:val="0"/>
          <w:w w:val="100"/>
          <w:position w:val="0"/>
          <w:sz w:val="18"/>
          <w:szCs w:val="18"/>
        </w:rPr>
        <w:t>25.73</w:t>
      </w:r>
      <w:r>
        <w:rPr>
          <w:color w:val="000000"/>
          <w:spacing w:val="0"/>
          <w:w w:val="100"/>
          <w:position w:val="0"/>
        </w:rPr>
        <w:t>亿元，占营业收入的比例为</w:t>
      </w:r>
      <w:r>
        <w:rPr>
          <w:color w:val="000000"/>
          <w:spacing w:val="0"/>
          <w:w w:val="100"/>
          <w:position w:val="0"/>
          <w:sz w:val="18"/>
          <w:szCs w:val="18"/>
        </w:rPr>
        <w:t>15.48%</w:t>
      </w:r>
      <w:r>
        <w:rPr>
          <w:color w:val="000000"/>
          <w:spacing w:val="0"/>
          <w:w w:val="100"/>
          <w:position w:val="0"/>
        </w:rPr>
        <w:t>，较上年同期增长</w:t>
      </w:r>
      <w:r>
        <w:rPr>
          <w:color w:val="000000"/>
          <w:spacing w:val="0"/>
          <w:w w:val="100"/>
          <w:position w:val="0"/>
          <w:sz w:val="18"/>
          <w:szCs w:val="18"/>
        </w:rPr>
        <w:t xml:space="preserve">40. </w:t>
      </w:r>
      <w:r>
        <w:rPr>
          <w:color w:val="000000"/>
          <w:spacing w:val="0"/>
          <w:w w:val="100"/>
          <w:position w:val="0"/>
          <w:sz w:val="18"/>
          <w:szCs w:val="18"/>
        </w:rPr>
        <w:t>43%</w:t>
      </w:r>
      <w:r>
        <w:rPr>
          <w:color w:val="000000"/>
          <w:spacing w:val="0"/>
          <w:w w:val="100"/>
          <w:position w:val="0"/>
        </w:rPr>
        <w:t>。</w:t>
      </w:r>
    </w:p>
    <w:p>
      <w:pPr>
        <w:pStyle w:val="Style37"/>
        <w:keepNext/>
        <w:keepLines/>
        <w:widowControl w:val="0"/>
        <w:shd w:val="clear" w:color="auto" w:fill="auto"/>
        <w:bidi w:val="0"/>
        <w:spacing w:before="0" w:after="40" w:line="310" w:lineRule="exact"/>
        <w:ind w:left="0" w:right="0" w:firstLine="500"/>
        <w:jc w:val="both"/>
      </w:pPr>
      <w:bookmarkStart w:id="151" w:name="bookmark151"/>
      <w:bookmarkStart w:id="152" w:name="bookmark152"/>
      <w:bookmarkStart w:id="153" w:name="bookmark153"/>
      <w:r>
        <w:rPr>
          <w:color w:val="000000"/>
          <w:spacing w:val="0"/>
          <w:w w:val="100"/>
          <w:position w:val="0"/>
        </w:rPr>
        <w:t>4高科技与制造行业</w:t>
      </w:r>
      <w:bookmarkEnd w:id="151"/>
      <w:bookmarkEnd w:id="152"/>
      <w:bookmarkEnd w:id="153"/>
    </w:p>
    <w:p>
      <w:pPr>
        <w:pStyle w:val="Style22"/>
        <w:keepNext w:val="0"/>
        <w:keepLines w:val="0"/>
        <w:widowControl w:val="0"/>
        <w:shd w:val="clear" w:color="auto" w:fill="auto"/>
        <w:bidi w:val="0"/>
        <w:spacing w:before="0" w:line="309" w:lineRule="exact"/>
        <w:ind w:left="0" w:right="0"/>
        <w:jc w:val="both"/>
      </w:pPr>
      <w:r>
        <w:rPr>
          <w:color w:val="000000"/>
          <w:spacing w:val="0"/>
          <w:w w:val="100"/>
          <w:position w:val="0"/>
        </w:rPr>
        <w:t>报告期内，软通动力深耕高科技行业，为全球众多知名高科技企业提供专业可信赖的高价值服务，与客户共同成长。软 通动力已经服务了国内外众多高科技领军企业，包括微软、联想、长城汽车、美的、</w:t>
      </w:r>
      <w:r>
        <w:rPr>
          <w:color w:val="000000"/>
          <w:spacing w:val="0"/>
          <w:w w:val="100"/>
          <w:position w:val="0"/>
          <w:sz w:val="18"/>
          <w:szCs w:val="18"/>
        </w:rPr>
        <w:t>TCL</w:t>
      </w:r>
      <w:r>
        <w:rPr>
          <w:color w:val="000000"/>
          <w:spacing w:val="0"/>
          <w:w w:val="100"/>
          <w:position w:val="0"/>
        </w:rPr>
        <w:t>等。报告期内，成功实施了瑞士布 勒工业物联网平台应用开发项目，与联想集团建立了战略合作伙伴关系，软通动力</w:t>
      </w:r>
      <w:r>
        <w:rPr>
          <w:color w:val="000000"/>
          <w:spacing w:val="0"/>
          <w:w w:val="100"/>
          <w:position w:val="0"/>
          <w:sz w:val="18"/>
          <w:szCs w:val="18"/>
        </w:rPr>
        <w:t>“ABB</w:t>
      </w:r>
      <w:r>
        <w:rPr>
          <w:color w:val="000000"/>
          <w:spacing w:val="0"/>
          <w:w w:val="100"/>
          <w:position w:val="0"/>
        </w:rPr>
        <w:t>工业物联网平台异构云</w:t>
      </w:r>
      <w:r>
        <w:rPr>
          <w:color w:val="000000"/>
          <w:spacing w:val="0"/>
          <w:w w:val="100"/>
          <w:position w:val="0"/>
          <w:sz w:val="18"/>
          <w:szCs w:val="18"/>
        </w:rPr>
        <w:t>PaaS</w:t>
      </w:r>
      <w:r>
        <w:rPr>
          <w:color w:val="000000"/>
          <w:spacing w:val="0"/>
          <w:w w:val="100"/>
          <w:position w:val="0"/>
        </w:rPr>
        <w:t xml:space="preserve">服务迁 移实施项目”获得“ </w:t>
      </w:r>
      <w:r>
        <w:rPr>
          <w:color w:val="000000"/>
          <w:spacing w:val="0"/>
          <w:w w:val="100"/>
          <w:position w:val="0"/>
          <w:sz w:val="18"/>
          <w:szCs w:val="18"/>
        </w:rPr>
        <w:t>2020</w:t>
      </w:r>
      <w:r>
        <w:rPr>
          <w:color w:val="000000"/>
          <w:spacing w:val="0"/>
          <w:w w:val="100"/>
          <w:position w:val="0"/>
        </w:rPr>
        <w:t>中国云计算经典应用案例奖”。</w:t>
      </w:r>
    </w:p>
    <w:p>
      <w:pPr>
        <w:pStyle w:val="Style37"/>
        <w:keepNext/>
        <w:keepLines/>
        <w:widowControl w:val="0"/>
        <w:shd w:val="clear" w:color="auto" w:fill="auto"/>
        <w:bidi w:val="0"/>
        <w:spacing w:before="0" w:after="40" w:line="310" w:lineRule="exact"/>
        <w:ind w:left="0" w:right="0" w:firstLine="500"/>
        <w:jc w:val="both"/>
      </w:pPr>
      <w:bookmarkStart w:id="154" w:name="bookmark154"/>
      <w:bookmarkStart w:id="155" w:name="bookmark155"/>
      <w:bookmarkStart w:id="156" w:name="bookmark156"/>
      <w:r>
        <w:rPr>
          <w:color w:val="000000"/>
          <w:spacing w:val="0"/>
          <w:w w:val="100"/>
          <w:position w:val="0"/>
        </w:rPr>
        <w:t>4.1</w:t>
      </w:r>
      <w:r>
        <w:rPr>
          <w:color w:val="000000"/>
          <w:spacing w:val="0"/>
          <w:w w:val="100"/>
          <w:position w:val="0"/>
        </w:rPr>
        <w:t>智能终端</w:t>
      </w:r>
      <w:bookmarkEnd w:id="154"/>
      <w:bookmarkEnd w:id="155"/>
      <w:bookmarkEnd w:id="156"/>
    </w:p>
    <w:p>
      <w:pPr>
        <w:pStyle w:val="Style22"/>
        <w:keepNext w:val="0"/>
        <w:keepLines w:val="0"/>
        <w:widowControl w:val="0"/>
        <w:shd w:val="clear" w:color="auto" w:fill="auto"/>
        <w:bidi w:val="0"/>
        <w:spacing w:before="0" w:line="317" w:lineRule="exact"/>
        <w:ind w:left="0" w:right="0"/>
        <w:jc w:val="both"/>
      </w:pPr>
      <w:r>
        <w:rPr>
          <w:color w:val="000000"/>
          <w:spacing w:val="0"/>
          <w:w w:val="100"/>
          <w:position w:val="0"/>
        </w:rPr>
        <w:t>报告期内，软通动力持续开展智能终端操作系统、软硬件产品、技术及解决方案的研发，服务荣耀、</w:t>
      </w:r>
      <w:r>
        <w:rPr>
          <w:color w:val="000000"/>
          <w:spacing w:val="0"/>
          <w:w w:val="100"/>
          <w:position w:val="0"/>
          <w:sz w:val="18"/>
          <w:szCs w:val="18"/>
        </w:rPr>
        <w:t>VIVO</w:t>
      </w:r>
      <w:r>
        <w:rPr>
          <w:color w:val="000000"/>
          <w:spacing w:val="0"/>
          <w:w w:val="100"/>
          <w:position w:val="0"/>
        </w:rPr>
        <w:t>、</w:t>
      </w:r>
      <w:r>
        <w:rPr>
          <w:color w:val="000000"/>
          <w:spacing w:val="0"/>
          <w:w w:val="100"/>
          <w:position w:val="0"/>
          <w:sz w:val="18"/>
          <w:szCs w:val="18"/>
        </w:rPr>
        <w:t>OPPO</w:t>
      </w:r>
      <w:r>
        <w:rPr>
          <w:color w:val="000000"/>
          <w:spacing w:val="0"/>
          <w:w w:val="100"/>
          <w:position w:val="0"/>
        </w:rPr>
        <w:t>等全球 领先智能终端厂商，行业能力覆盖硬件工程、操作系统、手机及智能穿戴测试、芯片设计开发、互联网&amp;云等解决方案服务 能力。</w:t>
      </w:r>
    </w:p>
    <w:p>
      <w:pPr>
        <w:pStyle w:val="Style22"/>
        <w:keepNext w:val="0"/>
        <w:keepLines w:val="0"/>
        <w:widowControl w:val="0"/>
        <w:shd w:val="clear" w:color="auto" w:fill="auto"/>
        <w:bidi w:val="0"/>
        <w:spacing w:before="0" w:after="100" w:line="310" w:lineRule="exact"/>
        <w:ind w:left="0" w:right="0"/>
        <w:jc w:val="both"/>
      </w:pPr>
      <w:r>
        <w:rPr>
          <w:color w:val="000000"/>
          <w:spacing w:val="0"/>
          <w:w w:val="100"/>
          <w:position w:val="0"/>
        </w:rPr>
        <w:t>在消费市场，软通动力面向手机、平板电脑、智能穿戴、智能家居等终端品牌厂商提供模组开发、硬件设计、操作系统 定制验证、软件开发、测试等产品服务，为国内头部厂商提供相关数字技术服务。在芯片市场，软通动力面向国内芯片厂商 提供芯片设计、系统开发、模组开发、集成认证等产品服务，为国内知名芯片厂商提供相关服务。在车机市场，软通动力为 汽车车机厂商提供智能驾驶、智能座舱、车联网等产品研发服务，为</w:t>
      </w:r>
      <w:r>
        <w:rPr>
          <w:color w:val="000000"/>
          <w:spacing w:val="0"/>
          <w:w w:val="100"/>
          <w:position w:val="0"/>
          <w:sz w:val="18"/>
          <w:szCs w:val="18"/>
        </w:rPr>
        <w:t>10+</w:t>
      </w:r>
      <w:r>
        <w:rPr>
          <w:color w:val="000000"/>
          <w:spacing w:val="0"/>
          <w:w w:val="100"/>
          <w:position w:val="0"/>
        </w:rPr>
        <w:t>汽车企业及</w:t>
      </w:r>
      <w:r>
        <w:rPr>
          <w:color w:val="000000"/>
          <w:spacing w:val="0"/>
          <w:w w:val="100"/>
          <w:position w:val="0"/>
          <w:sz w:val="18"/>
          <w:szCs w:val="18"/>
        </w:rPr>
        <w:t xml:space="preserve">Tier </w:t>
      </w:r>
      <w:r>
        <w:rPr>
          <w:color w:val="000000"/>
          <w:spacing w:val="0"/>
          <w:w w:val="100"/>
          <w:position w:val="0"/>
          <w:sz w:val="18"/>
          <w:szCs w:val="18"/>
        </w:rPr>
        <w:t>1</w:t>
      </w:r>
      <w:r>
        <w:rPr>
          <w:color w:val="000000"/>
          <w:spacing w:val="0"/>
          <w:w w:val="100"/>
          <w:position w:val="0"/>
        </w:rPr>
        <w:t>厂商服务。报告期内，软通动力正 式成为开放原子开源基金会成员并加入</w:t>
      </w:r>
      <w:r>
        <w:rPr>
          <w:color w:val="000000"/>
          <w:spacing w:val="0"/>
          <w:w w:val="100"/>
          <w:position w:val="0"/>
          <w:sz w:val="18"/>
          <w:szCs w:val="18"/>
        </w:rPr>
        <w:t>“OpenAtom OpenHarmony</w:t>
      </w:r>
      <w:r>
        <w:rPr>
          <w:color w:val="000000"/>
          <w:spacing w:val="0"/>
          <w:w w:val="100"/>
          <w:position w:val="0"/>
        </w:rPr>
        <w:t>工作组”，与</w:t>
      </w:r>
      <w:r>
        <w:rPr>
          <w:color w:val="000000"/>
          <w:spacing w:val="0"/>
          <w:w w:val="100"/>
          <w:position w:val="0"/>
          <w:sz w:val="18"/>
          <w:szCs w:val="18"/>
        </w:rPr>
        <w:t>vivo</w:t>
      </w:r>
      <w:r>
        <w:rPr>
          <w:color w:val="000000"/>
          <w:spacing w:val="0"/>
          <w:w w:val="100"/>
          <w:position w:val="0"/>
        </w:rPr>
        <w:t xml:space="preserve">联合共建了 </w:t>
      </w:r>
      <w:r>
        <w:rPr>
          <w:color w:val="000000"/>
          <w:spacing w:val="0"/>
          <w:w w:val="100"/>
          <w:position w:val="0"/>
          <w:sz w:val="18"/>
          <w:szCs w:val="18"/>
        </w:rPr>
        <w:t>“vivo&amp;</w:t>
      </w:r>
      <w:r>
        <w:rPr>
          <w:color w:val="000000"/>
          <w:spacing w:val="0"/>
          <w:w w:val="100"/>
          <w:position w:val="0"/>
        </w:rPr>
        <w:t>软通重庆</w:t>
      </w:r>
      <w:r>
        <w:rPr>
          <w:color w:val="000000"/>
          <w:spacing w:val="0"/>
          <w:w w:val="100"/>
          <w:position w:val="0"/>
          <w:sz w:val="18"/>
          <w:szCs w:val="18"/>
        </w:rPr>
        <w:t>ODC</w:t>
      </w:r>
      <w:r>
        <w:rPr>
          <w:color w:val="000000"/>
          <w:spacing w:val="0"/>
          <w:w w:val="100"/>
          <w:position w:val="0"/>
        </w:rPr>
        <w:t>研发中心”，</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荣获“ </w:t>
      </w:r>
      <w:r>
        <w:rPr>
          <w:color w:val="000000"/>
          <w:spacing w:val="0"/>
          <w:w w:val="100"/>
          <w:position w:val="0"/>
          <w:sz w:val="18"/>
          <w:szCs w:val="18"/>
        </w:rPr>
        <w:t>2021</w:t>
      </w:r>
      <w:r>
        <w:rPr>
          <w:color w:val="000000"/>
          <w:spacing w:val="0"/>
          <w:w w:val="100"/>
          <w:position w:val="0"/>
        </w:rPr>
        <w:t>年中国</w:t>
      </w:r>
      <w:r>
        <w:rPr>
          <w:color w:val="000000"/>
          <w:spacing w:val="0"/>
          <w:w w:val="100"/>
          <w:position w:val="0"/>
          <w:sz w:val="18"/>
          <w:szCs w:val="18"/>
        </w:rPr>
        <w:t>AIoT</w:t>
      </w:r>
      <w:r>
        <w:rPr>
          <w:color w:val="000000"/>
          <w:spacing w:val="0"/>
          <w:w w:val="100"/>
          <w:position w:val="0"/>
        </w:rPr>
        <w:t>产业年会边缘产品大奖”、</w:t>
      </w:r>
      <w:r>
        <w:rPr>
          <w:color w:val="000000"/>
          <w:spacing w:val="0"/>
          <w:w w:val="100"/>
          <w:position w:val="0"/>
          <w:sz w:val="18"/>
          <w:szCs w:val="18"/>
        </w:rPr>
        <w:t>“2021</w:t>
      </w:r>
      <w:r>
        <w:rPr>
          <w:color w:val="000000"/>
          <w:spacing w:val="0"/>
          <w:w w:val="100"/>
          <w:position w:val="0"/>
        </w:rPr>
        <w:t>中国鸿蒙生态优秀企业奖”等奖项。</w:t>
      </w:r>
    </w:p>
    <w:p>
      <w:pPr>
        <w:pStyle w:val="Style22"/>
        <w:keepNext w:val="0"/>
        <w:keepLines w:val="0"/>
        <w:widowControl w:val="0"/>
        <w:shd w:val="clear" w:color="auto" w:fill="auto"/>
        <w:bidi w:val="0"/>
        <w:spacing w:before="0" w:line="240" w:lineRule="auto"/>
        <w:ind w:left="0" w:right="0" w:firstLine="500"/>
        <w:jc w:val="both"/>
      </w:pPr>
      <w:r>
        <w:rPr>
          <w:b/>
          <w:bCs/>
          <w:color w:val="000000"/>
          <w:spacing w:val="0"/>
          <w:w w:val="100"/>
          <w:position w:val="0"/>
        </w:rPr>
        <w:t>4.2</w:t>
      </w:r>
      <w:r>
        <w:rPr>
          <w:b/>
          <w:bCs/>
          <w:color w:val="000000"/>
          <w:spacing w:val="0"/>
          <w:w w:val="100"/>
          <w:position w:val="0"/>
        </w:rPr>
        <w:t>智能汽车</w:t>
      </w:r>
    </w:p>
    <w:p>
      <w:pPr>
        <w:pStyle w:val="Style22"/>
        <w:keepNext w:val="0"/>
        <w:keepLines w:val="0"/>
        <w:widowControl w:val="0"/>
        <w:shd w:val="clear" w:color="auto" w:fill="auto"/>
        <w:bidi w:val="0"/>
        <w:spacing w:before="0" w:line="308" w:lineRule="exact"/>
        <w:ind w:left="0" w:right="0" w:firstLine="380"/>
        <w:jc w:val="both"/>
      </w:pPr>
      <w:r>
        <w:rPr>
          <w:color w:val="000000"/>
          <w:spacing w:val="0"/>
          <w:w w:val="100"/>
          <w:position w:val="0"/>
        </w:rPr>
        <w:t>软通动力以工业互联网为发力点、以新能源为驱动力，在智能汽车领域开展业务布局。技术服务交付能力覆盖底层硬件 开发、</w:t>
      </w:r>
      <w:r>
        <w:rPr>
          <w:color w:val="000000"/>
          <w:spacing w:val="0"/>
          <w:w w:val="100"/>
          <w:position w:val="0"/>
          <w:sz w:val="18"/>
          <w:szCs w:val="18"/>
        </w:rPr>
        <w:t>ADS</w:t>
      </w:r>
      <w:r>
        <w:rPr>
          <w:color w:val="000000"/>
          <w:spacing w:val="0"/>
          <w:w w:val="100"/>
          <w:position w:val="0"/>
        </w:rPr>
        <w:t>自动驾驶、上层车云业务等多个业务领域，具备汽车软件的开发、设计、测试、实车路测等专业技术能力。报告 期内，开拓智能座舱、自动驾驶仿真工具链开发和通信诊断等新的业务领域，使得业务发展和专业能力实现双线突破。软通 动力拓展包括上汽、长城、神龙、东风、广汽等传统汽车制造厂商以及蔚来等新兴汽车厂商，在生产制造数字化服务领域涵 盖生产制造领域生产计划管理、高级排程管理、生产制造执行、供应链协同、全面质量管理、物流仓储管理等；在汽车新营 销数字化方面利用数字技术帮助车企在客户管理，新营销、后市场服务方面构建超级</w:t>
      </w:r>
      <w:r>
        <w:rPr>
          <w:color w:val="000000"/>
          <w:spacing w:val="0"/>
          <w:w w:val="100"/>
          <w:position w:val="0"/>
          <w:sz w:val="18"/>
          <w:szCs w:val="18"/>
        </w:rPr>
        <w:t>APP，</w:t>
      </w:r>
      <w:r>
        <w:rPr>
          <w:color w:val="000000"/>
          <w:spacing w:val="0"/>
          <w:w w:val="100"/>
          <w:position w:val="0"/>
        </w:rPr>
        <w:t>全面链接人、车、生活服务；在 产品数字化创新研发方面为车企、</w:t>
      </w:r>
      <w:r>
        <w:rPr>
          <w:color w:val="000000"/>
          <w:spacing w:val="0"/>
          <w:w w:val="100"/>
          <w:position w:val="0"/>
          <w:sz w:val="18"/>
          <w:szCs w:val="18"/>
        </w:rPr>
        <w:t>Tierl</w:t>
      </w:r>
      <w:r>
        <w:rPr>
          <w:color w:val="000000"/>
          <w:spacing w:val="0"/>
          <w:w w:val="100"/>
          <w:position w:val="0"/>
        </w:rPr>
        <w:t>供应商提供智能驾驶、智能座舱、高精地图、车联网等产品研发服务。报告期内， 软通动力成功中标东风柳汽营销主数据项目、智己汽车</w:t>
      </w:r>
      <w:r>
        <w:rPr>
          <w:color w:val="000000"/>
          <w:spacing w:val="0"/>
          <w:w w:val="100"/>
          <w:position w:val="0"/>
          <w:sz w:val="18"/>
          <w:szCs w:val="18"/>
        </w:rPr>
        <w:t>A</w:t>
      </w:r>
      <w:r>
        <w:rPr>
          <w:color w:val="000000"/>
          <w:spacing w:val="0"/>
          <w:w w:val="100"/>
          <w:position w:val="0"/>
        </w:rPr>
        <w:t>车</w:t>
      </w:r>
      <w:r>
        <w:rPr>
          <w:color w:val="000000"/>
          <w:spacing w:val="0"/>
          <w:w w:val="100"/>
          <w:position w:val="0"/>
          <w:sz w:val="18"/>
          <w:szCs w:val="18"/>
        </w:rPr>
        <w:t>SOP</w:t>
      </w:r>
      <w:r>
        <w:rPr>
          <w:color w:val="000000"/>
          <w:spacing w:val="0"/>
          <w:w w:val="100"/>
          <w:position w:val="0"/>
        </w:rPr>
        <w:t>交付相关数据检测与展示暨大数据平台项目，成功实施了长城 汽车超级</w:t>
      </w:r>
      <w:r>
        <w:rPr>
          <w:color w:val="000000"/>
          <w:spacing w:val="0"/>
          <w:w w:val="100"/>
          <w:position w:val="0"/>
          <w:sz w:val="18"/>
          <w:szCs w:val="18"/>
        </w:rPr>
        <w:t>APP</w:t>
      </w:r>
      <w:r>
        <w:rPr>
          <w:color w:val="000000"/>
          <w:spacing w:val="0"/>
          <w:w w:val="100"/>
          <w:position w:val="0"/>
        </w:rPr>
        <w:t>、</w:t>
      </w:r>
      <w:r>
        <w:rPr>
          <w:color w:val="000000"/>
          <w:spacing w:val="0"/>
          <w:w w:val="100"/>
          <w:position w:val="0"/>
        </w:rPr>
        <w:t>广汽风云惠、神龙汽车</w:t>
      </w:r>
      <w:r>
        <w:rPr>
          <w:color w:val="000000"/>
          <w:spacing w:val="0"/>
          <w:w w:val="100"/>
          <w:position w:val="0"/>
          <w:sz w:val="18"/>
          <w:szCs w:val="18"/>
        </w:rPr>
        <w:t>APP</w:t>
      </w:r>
      <w:r>
        <w:rPr>
          <w:color w:val="000000"/>
          <w:spacing w:val="0"/>
          <w:w w:val="100"/>
          <w:position w:val="0"/>
        </w:rPr>
        <w:t>等项目。软通动力获得“</w:t>
      </w:r>
      <w:r>
        <w:rPr>
          <w:color w:val="000000"/>
          <w:spacing w:val="0"/>
          <w:w w:val="100"/>
          <w:position w:val="0"/>
          <w:sz w:val="18"/>
          <w:szCs w:val="18"/>
        </w:rPr>
        <w:t>2020</w:t>
      </w:r>
      <w:r>
        <w:rPr>
          <w:color w:val="000000"/>
          <w:spacing w:val="0"/>
          <w:w w:val="100"/>
          <w:position w:val="0"/>
        </w:rPr>
        <w:t>年度数字制造创新解决方案奖”、“优秀车辆整备合 作伙伴奖,,，软通动力承担的国家级科技项目《汽车制造业协同制造云服务支撑平台》正式通过国家发改委组织的专家验收。</w:t>
      </w:r>
    </w:p>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shd w:val="clear" w:color="auto" w:fill="FFFFFF"/>
        </w:rPr>
        <w:t>报告期内，软通动力对高科技与制造行业客户实现营业收入</w:t>
      </w:r>
      <w:r>
        <w:rPr>
          <w:color w:val="000000"/>
          <w:spacing w:val="0"/>
          <w:w w:val="100"/>
          <w:position w:val="0"/>
          <w:sz w:val="18"/>
          <w:szCs w:val="18"/>
          <w:shd w:val="clear" w:color="auto" w:fill="FFFFFF"/>
        </w:rPr>
        <w:t>18.69</w:t>
      </w:r>
      <w:r>
        <w:rPr>
          <w:color w:val="000000"/>
          <w:spacing w:val="0"/>
          <w:w w:val="100"/>
          <w:position w:val="0"/>
          <w:shd w:val="clear" w:color="auto" w:fill="FFFFFF"/>
        </w:rPr>
        <w:t>亿元，占营业收入的比例为</w:t>
      </w:r>
      <w:r>
        <w:rPr>
          <w:color w:val="000000"/>
          <w:spacing w:val="0"/>
          <w:w w:val="100"/>
          <w:position w:val="0"/>
          <w:sz w:val="18"/>
          <w:szCs w:val="18"/>
          <w:shd w:val="clear" w:color="auto" w:fill="FFFFFF"/>
        </w:rPr>
        <w:t>11.24%</w:t>
      </w:r>
      <w:r>
        <w:rPr>
          <w:color w:val="000000"/>
          <w:spacing w:val="0"/>
          <w:w w:val="100"/>
          <w:position w:val="0"/>
          <w:shd w:val="clear" w:color="auto" w:fill="FFFFFF"/>
        </w:rPr>
        <w:t>，较上年同期增长</w:t>
      </w:r>
    </w:p>
    <w:p>
      <w:pPr>
        <w:pStyle w:val="Style22"/>
        <w:keepNext w:val="0"/>
        <w:keepLines w:val="0"/>
        <w:widowControl w:val="0"/>
        <w:numPr>
          <w:ilvl w:val="0"/>
          <w:numId w:val="1"/>
        </w:numPr>
        <w:shd w:val="clear" w:color="auto" w:fill="auto"/>
        <w:tabs>
          <w:tab w:pos="346" w:val="left"/>
        </w:tabs>
        <w:bidi w:val="0"/>
        <w:spacing w:before="0" w:line="307" w:lineRule="exact"/>
        <w:ind w:left="0" w:right="0" w:firstLine="0"/>
        <w:jc w:val="both"/>
      </w:pPr>
      <w:bookmarkStart w:id="157" w:name="bookmark157"/>
      <w:bookmarkEnd w:id="157"/>
      <w:r>
        <w:rPr>
          <w:color w:val="000000"/>
          <w:spacing w:val="0"/>
          <w:w w:val="100"/>
          <w:position w:val="0"/>
          <w:sz w:val="18"/>
          <w:szCs w:val="18"/>
        </w:rPr>
        <w:t>09%</w:t>
      </w:r>
      <w:r>
        <w:rPr>
          <w:color w:val="000000"/>
          <w:spacing w:val="0"/>
          <w:w w:val="100"/>
          <w:position w:val="0"/>
        </w:rPr>
        <w:t>。</w:t>
      </w:r>
    </w:p>
    <w:p>
      <w:pPr>
        <w:pStyle w:val="Style37"/>
        <w:keepNext/>
        <w:keepLines/>
        <w:widowControl w:val="0"/>
        <w:shd w:val="clear" w:color="auto" w:fill="auto"/>
        <w:bidi w:val="0"/>
        <w:spacing w:before="0" w:after="40"/>
        <w:ind w:left="0" w:right="0" w:firstLine="520"/>
        <w:jc w:val="left"/>
      </w:pPr>
      <w:bookmarkStart w:id="158" w:name="bookmark158"/>
      <w:bookmarkStart w:id="159" w:name="bookmark159"/>
      <w:bookmarkStart w:id="160" w:name="bookmark160"/>
      <w:r>
        <w:rPr>
          <w:color w:val="000000"/>
          <w:spacing w:val="0"/>
          <w:w w:val="100"/>
          <w:position w:val="0"/>
        </w:rPr>
        <w:t>5其它行业</w:t>
      </w:r>
      <w:bookmarkEnd w:id="158"/>
      <w:bookmarkEnd w:id="159"/>
      <w:bookmarkEnd w:id="160"/>
    </w:p>
    <w:p>
      <w:pPr>
        <w:pStyle w:val="Style37"/>
        <w:keepNext/>
        <w:keepLines/>
        <w:widowControl w:val="0"/>
        <w:shd w:val="clear" w:color="auto" w:fill="auto"/>
        <w:bidi w:val="0"/>
        <w:spacing w:before="0" w:after="40"/>
        <w:ind w:left="0" w:right="0" w:firstLine="520"/>
        <w:jc w:val="both"/>
      </w:pPr>
      <w:bookmarkStart w:id="158" w:name="bookmark158"/>
      <w:bookmarkStart w:id="159" w:name="bookmark159"/>
      <w:bookmarkStart w:id="161" w:name="bookmark161"/>
      <w:r>
        <w:rPr>
          <w:color w:val="000000"/>
          <w:spacing w:val="0"/>
          <w:w w:val="100"/>
          <w:position w:val="0"/>
        </w:rPr>
        <w:t>5.1</w:t>
      </w:r>
      <w:r>
        <w:rPr>
          <w:color w:val="000000"/>
          <w:spacing w:val="0"/>
          <w:w w:val="100"/>
          <w:position w:val="0"/>
        </w:rPr>
        <w:t>数字能源</w:t>
      </w:r>
      <w:bookmarkEnd w:id="158"/>
      <w:bookmarkEnd w:id="159"/>
      <w:bookmarkEnd w:id="161"/>
    </w:p>
    <w:p>
      <w:pPr>
        <w:pStyle w:val="Style22"/>
        <w:keepNext w:val="0"/>
        <w:keepLines w:val="0"/>
        <w:widowControl w:val="0"/>
        <w:shd w:val="clear" w:color="auto" w:fill="auto"/>
        <w:bidi w:val="0"/>
        <w:spacing w:before="0" w:line="312" w:lineRule="exact"/>
        <w:ind w:left="0" w:right="0" w:firstLine="380"/>
        <w:jc w:val="both"/>
      </w:pPr>
      <w:r>
        <w:rPr>
          <w:color w:val="000000"/>
          <w:spacing w:val="0"/>
          <w:w w:val="100"/>
          <w:position w:val="0"/>
        </w:rPr>
        <w:t>软通动力在数字能源行业凝聚多年服务经验，为客户提供全方位、多层次的信息技术服务，帮助国内能源企业在积极推 进集团化运作、集约化发展、精细化管理的同时，提高运作效率。软通电力行业解决方案以绿色能源产品为主导，打造风光 储充多能互补信息一体化服务能力。以节能减排服务为方向，提供高耗能企业（园区、大型数据中心）能量管理、火电节能 优化服务，从而实现节能减排和成本控制，满足数字化需求。报告期内，软通动力创新研究院发布了《双碳课题研究报告》， 软通动力围绕“碳达峰、碳中和”、数字能源等领域，在能源企业数字化转型领域研发了生产运营管控、电网基建业务、电 网运检业务、安监应急业务、智能供应链等数字化系统。在能源专业服务方面提供基于北斗导航的专业地图服务、智能数据 网关、电缆设备精益化管理、能源规划高级计算服务。在双碳驱动行业解决方案研发了新能源监管运营、碳监测与能效管理、 碳资产管理、综合能源服务等系统。在数据能源专业技术服务交付能力（软件开发、专业性测试）覆盖逆变器、数据中心机 房、站点电源、设备电源、储能、车载电源等多个业务领域，成功交付如智能光伏站点巡检、数据中心维护、数据中心结构 开发等多个项目。报告期内，软通动力能源电力业务得到快速增长，实现四大发电集团、两大电网公司全覆盖。</w:t>
      </w:r>
    </w:p>
    <w:p>
      <w:pPr>
        <w:pStyle w:val="Style37"/>
        <w:keepNext/>
        <w:keepLines/>
        <w:widowControl w:val="0"/>
        <w:shd w:val="clear" w:color="auto" w:fill="auto"/>
        <w:bidi w:val="0"/>
        <w:spacing w:before="0" w:after="40"/>
        <w:ind w:left="0" w:right="0"/>
        <w:jc w:val="both"/>
      </w:pPr>
      <w:bookmarkStart w:id="162" w:name="bookmark162"/>
      <w:bookmarkStart w:id="163" w:name="bookmark163"/>
      <w:bookmarkStart w:id="164" w:name="bookmark164"/>
      <w:r>
        <w:rPr>
          <w:color w:val="000000"/>
          <w:spacing w:val="0"/>
          <w:w w:val="100"/>
          <w:position w:val="0"/>
        </w:rPr>
        <w:t>5.2</w:t>
      </w:r>
      <w:r>
        <w:rPr>
          <w:color w:val="000000"/>
          <w:spacing w:val="0"/>
          <w:w w:val="100"/>
          <w:position w:val="0"/>
        </w:rPr>
        <w:t>物流行业</w:t>
      </w:r>
      <w:bookmarkEnd w:id="162"/>
      <w:bookmarkEnd w:id="163"/>
      <w:bookmarkEnd w:id="164"/>
    </w:p>
    <w:p>
      <w:pPr>
        <w:pStyle w:val="Style22"/>
        <w:keepNext w:val="0"/>
        <w:keepLines w:val="0"/>
        <w:widowControl w:val="0"/>
        <w:shd w:val="clear" w:color="auto" w:fill="auto"/>
        <w:bidi w:val="0"/>
        <w:spacing w:before="0" w:line="314" w:lineRule="exact"/>
        <w:ind w:left="0" w:right="0" w:firstLine="380"/>
        <w:jc w:val="both"/>
      </w:pPr>
      <w:r>
        <w:rPr>
          <w:color w:val="000000"/>
          <w:spacing w:val="0"/>
          <w:w w:val="100"/>
          <w:position w:val="0"/>
        </w:rPr>
        <w:t>软通动力在物流行业基于现代供应链管理思想，对供应链的物流网络、资源、订单、仓库、运输配送、资金等进行整体 计划、协调、操作、控制和优化，并通过云计算、大数据等信息技术优化供应链上下游采购、供应和产生运营的各个环节， 帮助客户打造具有互联性、共享性、可视化的高效供应协同管理体系，助力传统物流企业实现数字化转型升级。报告期内， 软通动力服务了顺丰、中外运等头部物流客户。</w:t>
      </w:r>
    </w:p>
    <w:p>
      <w:pPr>
        <w:pStyle w:val="Style37"/>
        <w:keepNext/>
        <w:keepLines/>
        <w:widowControl w:val="0"/>
        <w:shd w:val="clear" w:color="auto" w:fill="auto"/>
        <w:bidi w:val="0"/>
        <w:spacing w:before="0" w:after="40"/>
        <w:ind w:left="0" w:right="0"/>
        <w:jc w:val="both"/>
      </w:pPr>
      <w:bookmarkStart w:id="165" w:name="bookmark165"/>
      <w:bookmarkStart w:id="166" w:name="bookmark166"/>
      <w:bookmarkStart w:id="167" w:name="bookmark167"/>
      <w:r>
        <w:rPr>
          <w:color w:val="000000"/>
          <w:spacing w:val="0"/>
          <w:w w:val="100"/>
          <w:position w:val="0"/>
        </w:rPr>
        <w:t>5.3</w:t>
      </w:r>
      <w:r>
        <w:rPr>
          <w:color w:val="000000"/>
          <w:spacing w:val="0"/>
          <w:w w:val="100"/>
          <w:position w:val="0"/>
        </w:rPr>
        <w:t>消费品及零售行业</w:t>
      </w:r>
      <w:bookmarkEnd w:id="165"/>
      <w:bookmarkEnd w:id="166"/>
      <w:bookmarkEnd w:id="167"/>
    </w:p>
    <w:p>
      <w:pPr>
        <w:pStyle w:val="Style22"/>
        <w:keepNext w:val="0"/>
        <w:keepLines w:val="0"/>
        <w:widowControl w:val="0"/>
        <w:shd w:val="clear" w:color="auto" w:fill="auto"/>
        <w:bidi w:val="0"/>
        <w:spacing w:before="0" w:line="308" w:lineRule="exact"/>
        <w:ind w:left="0" w:right="0" w:firstLine="380"/>
        <w:jc w:val="both"/>
      </w:pPr>
      <w:r>
        <w:rPr>
          <w:color w:val="000000"/>
          <w:spacing w:val="0"/>
          <w:w w:val="100"/>
          <w:position w:val="0"/>
        </w:rPr>
        <w:t>随着零售行业正在迈入一个以消费者体验为中心、以技术创新为驱动要素的全面更新的新零售时代，数字化技术正扮演 着越来越重要的作用。作为数字化转型的推动者，报告期内，软通动力服务了</w:t>
      </w:r>
      <w:r>
        <w:rPr>
          <w:color w:val="000000"/>
          <w:spacing w:val="0"/>
          <w:w w:val="100"/>
          <w:position w:val="0"/>
          <w:sz w:val="18"/>
          <w:szCs w:val="18"/>
        </w:rPr>
        <w:t>Amway</w:t>
      </w:r>
      <w:r>
        <w:rPr>
          <w:color w:val="000000"/>
          <w:spacing w:val="0"/>
          <w:w w:val="100"/>
          <w:position w:val="0"/>
        </w:rPr>
        <w:t>、</w:t>
      </w:r>
      <w:r>
        <w:rPr>
          <w:color w:val="000000"/>
          <w:spacing w:val="0"/>
          <w:w w:val="100"/>
          <w:position w:val="0"/>
          <w:sz w:val="18"/>
          <w:szCs w:val="18"/>
        </w:rPr>
        <w:t>Avon</w:t>
      </w:r>
      <w:r>
        <w:rPr>
          <w:color w:val="000000"/>
          <w:spacing w:val="0"/>
          <w:w w:val="100"/>
          <w:position w:val="0"/>
        </w:rPr>
        <w:t>等国际知名消费零售行业客户， 为大中型零售企业提供包括咨询、体验设计、产品开发和运维运营等一体化服务，面向零售的各业务场景先后推出了全渠道 数据平台、数字化营销和内容管理、智能客服、</w:t>
      </w:r>
      <w:r>
        <w:rPr>
          <w:color w:val="000000"/>
          <w:spacing w:val="0"/>
          <w:w w:val="100"/>
          <w:position w:val="0"/>
          <w:sz w:val="18"/>
          <w:szCs w:val="18"/>
        </w:rPr>
        <w:t>IoT</w:t>
      </w:r>
      <w:r>
        <w:rPr>
          <w:color w:val="000000"/>
          <w:spacing w:val="0"/>
          <w:w w:val="100"/>
          <w:position w:val="0"/>
        </w:rPr>
        <w:t>、</w:t>
      </w:r>
      <w:r>
        <w:rPr>
          <w:color w:val="000000"/>
          <w:spacing w:val="0"/>
          <w:w w:val="100"/>
          <w:position w:val="0"/>
        </w:rPr>
        <w:t>数字化运营等数字化解决方案，全面满足零售型企业的数字化转型需 求</w:t>
      </w:r>
    </w:p>
    <w:p>
      <w:pPr>
        <w:pStyle w:val="Style37"/>
        <w:keepNext/>
        <w:keepLines/>
        <w:widowControl w:val="0"/>
        <w:shd w:val="clear" w:color="auto" w:fill="auto"/>
        <w:bidi w:val="0"/>
        <w:spacing w:before="0" w:after="40"/>
        <w:ind w:left="0" w:right="0"/>
        <w:jc w:val="left"/>
      </w:pPr>
      <w:bookmarkStart w:id="168" w:name="bookmark168"/>
      <w:bookmarkStart w:id="169" w:name="bookmark169"/>
      <w:bookmarkStart w:id="170" w:name="bookmark170"/>
      <w:r>
        <w:rPr>
          <w:color w:val="000000"/>
          <w:spacing w:val="0"/>
          <w:w w:val="100"/>
          <w:position w:val="0"/>
        </w:rPr>
        <w:t>5.4</w:t>
      </w:r>
      <w:r>
        <w:rPr>
          <w:color w:val="000000"/>
          <w:spacing w:val="0"/>
          <w:w w:val="100"/>
          <w:position w:val="0"/>
        </w:rPr>
        <w:t>大健康</w:t>
      </w:r>
      <w:bookmarkEnd w:id="168"/>
      <w:bookmarkEnd w:id="169"/>
      <w:bookmarkEnd w:id="170"/>
    </w:p>
    <w:p>
      <w:pPr>
        <w:pStyle w:val="Style22"/>
        <w:keepNext w:val="0"/>
        <w:keepLines w:val="0"/>
        <w:widowControl w:val="0"/>
        <w:shd w:val="clear" w:color="auto" w:fill="auto"/>
        <w:bidi w:val="0"/>
        <w:spacing w:before="0" w:line="312" w:lineRule="exact"/>
        <w:ind w:left="0" w:right="0" w:firstLine="380"/>
        <w:jc w:val="both"/>
      </w:pPr>
      <w:r>
        <w:rPr>
          <w:color w:val="000000"/>
          <w:spacing w:val="0"/>
          <w:w w:val="100"/>
          <w:position w:val="0"/>
        </w:rPr>
        <w:t xml:space="preserve">大健康产业具有巨大市场潜力，覆盖在线医疗、健康管理、康复医疗、养老产业、医疗美容等范畴。随着大数据、云计 算、移动互联、人工智能等现代信息技术在大健康领域的广泛应用，数字化对优化健康医疗资源配置、创新健康服务的内容 与形式产生了重要影响，已成为深化医改、推进健康中国建设的重要支撑。报告期内，软通动力积极布局大健康，旨在以创 新技术手段赋能大健康产业数字化转型，助力行业客户实现高质量可持续发展。推出了 </w:t>
      </w:r>
      <w:r>
        <w:rPr>
          <w:color w:val="000000"/>
          <w:spacing w:val="0"/>
          <w:w w:val="100"/>
          <w:position w:val="0"/>
          <w:sz w:val="18"/>
          <w:szCs w:val="18"/>
        </w:rPr>
        <w:t>PIVA S</w:t>
      </w:r>
      <w:r>
        <w:rPr>
          <w:color w:val="000000"/>
          <w:spacing w:val="0"/>
          <w:w w:val="100"/>
          <w:position w:val="0"/>
        </w:rPr>
        <w:t>管理系统、疫情宝、开源鸿蒙 可穿戴健康设备等多种解决方案，并服务了国药集团、百特医疗、诺华制药等行业客户。</w:t>
      </w:r>
    </w:p>
    <w:p>
      <w:pPr>
        <w:pStyle w:val="Style22"/>
        <w:keepNext w:val="0"/>
        <w:keepLines w:val="0"/>
        <w:widowControl w:val="0"/>
        <w:shd w:val="clear" w:color="auto" w:fill="auto"/>
        <w:bidi w:val="0"/>
        <w:spacing w:before="0" w:line="312" w:lineRule="exact"/>
        <w:ind w:left="0" w:right="0" w:firstLine="380"/>
        <w:jc w:val="both"/>
      </w:pPr>
      <w:r>
        <w:rPr>
          <w:color w:val="000000"/>
          <w:spacing w:val="0"/>
          <w:w w:val="100"/>
          <w:position w:val="0"/>
        </w:rPr>
        <w:t>报告期内，软通动力对其它行业客户实现营业收入</w:t>
      </w:r>
      <w:r>
        <w:rPr>
          <w:color w:val="000000"/>
          <w:spacing w:val="0"/>
          <w:w w:val="100"/>
          <w:position w:val="0"/>
          <w:sz w:val="18"/>
          <w:szCs w:val="18"/>
        </w:rPr>
        <w:t>5.66</w:t>
      </w:r>
      <w:r>
        <w:rPr>
          <w:color w:val="000000"/>
          <w:spacing w:val="0"/>
          <w:w w:val="100"/>
          <w:position w:val="0"/>
        </w:rPr>
        <w:t>亿元，占营业收入的比例为</w:t>
      </w:r>
      <w:r>
        <w:rPr>
          <w:color w:val="000000"/>
          <w:spacing w:val="0"/>
          <w:w w:val="100"/>
          <w:position w:val="0"/>
          <w:sz w:val="18"/>
          <w:szCs w:val="18"/>
        </w:rPr>
        <w:t>3.40%，</w:t>
      </w:r>
      <w:r>
        <w:rPr>
          <w:color w:val="000000"/>
          <w:spacing w:val="0"/>
          <w:w w:val="100"/>
          <w:position w:val="0"/>
        </w:rPr>
        <w:t>较上年同期增长</w:t>
      </w:r>
      <w:r>
        <w:rPr>
          <w:color w:val="000000"/>
          <w:spacing w:val="0"/>
          <w:w w:val="100"/>
          <w:position w:val="0"/>
          <w:sz w:val="18"/>
          <w:szCs w:val="18"/>
        </w:rPr>
        <w:t>30.86%</w:t>
      </w:r>
      <w:r>
        <w:rPr>
          <w:color w:val="000000"/>
          <w:spacing w:val="0"/>
          <w:w w:val="100"/>
          <w:position w:val="0"/>
        </w:rPr>
        <w:t>。</w:t>
      </w:r>
      <w:r>
        <w:br w:type="page"/>
      </w:r>
    </w:p>
    <w:p>
      <w:pPr>
        <w:pStyle w:val="Style33"/>
        <w:keepNext/>
        <w:keepLines/>
        <w:widowControl w:val="0"/>
        <w:shd w:val="clear" w:color="auto" w:fill="auto"/>
        <w:bidi w:val="0"/>
        <w:spacing w:before="0" w:after="38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、收入与成本</w:t>
      </w:r>
      <w:bookmarkEnd w:id="171"/>
      <w:bookmarkEnd w:id="172"/>
      <w:bookmarkEnd w:id="174"/>
    </w:p>
    <w:p>
      <w:pPr>
        <w:pStyle w:val="Style33"/>
        <w:keepNext/>
        <w:keepLines/>
        <w:widowControl w:val="0"/>
        <w:shd w:val="clear" w:color="auto" w:fill="auto"/>
        <w:bidi w:val="0"/>
        <w:spacing w:before="0" w:after="380" w:line="240" w:lineRule="auto"/>
        <w:ind w:left="0" w:right="0" w:firstLine="0"/>
        <w:jc w:val="left"/>
      </w:pPr>
      <w:bookmarkStart w:id="171" w:name="bookmark171"/>
      <w:bookmarkStart w:id="172" w:name="bookmark172"/>
      <w:bookmarkStart w:id="175" w:name="bookmark175"/>
      <w:bookmarkStart w:id="176" w:name="bookmark176"/>
      <w:r>
        <w:rPr>
          <w:color w:val="000000"/>
          <w:spacing w:val="0"/>
          <w:w w:val="100"/>
          <w:position w:val="0"/>
        </w:rPr>
        <w:t>（</w:t>
      </w:r>
      <w:bookmarkEnd w:id="17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71"/>
      <w:bookmarkEnd w:id="172"/>
      <w:bookmarkEnd w:id="176"/>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16,623,208,728.13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12,999,294,468.75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8,291,688,493.69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7,263,995,917.96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2,572,937,456.78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1,832,235,235.82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3,320,012,096.13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2,108,283,842.21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高科技与制造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1,868,592,788.86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1,343,475,596.31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566,013,775.66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432,535,618.76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3,964,117.01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18,768,257.69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8,597,169,121.07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7,295,405,558.47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5,958,393,493.01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4,296,703,525.75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咨询与解决方案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784,162,442.84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595,570,056.31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数字化运营服务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1,279,519,554.20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792,847,070.53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3,964,117.01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18,768,257.69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10,017,150,225.20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8,351,759,937.24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3,075,373,978.78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2,236,678,858.07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2,717,149,587.35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1,627,009,638.80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367,372,023.44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350,649,670.99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111,839,026.30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86,660,060.52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52,473,328.84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50,937,494.91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20,308,093.56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13,634,298.32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257,578,347.65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263,196,252.21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3,964,117.01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18,768,257.69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16,623,208,728.13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12,999,294,468.75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99" w:line="1" w:lineRule="exact"/>
      </w:pPr>
    </w:p>
    <w:p>
      <w:pPr>
        <w:pStyle w:val="Style2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第三季度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3,554,070,21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4,074,801,96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4,345,899,55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4,648,436,98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2,438,061,14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3,183,382,10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3,590,098,24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3,787,752,96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 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78,257,246.5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380,765,644.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256,563,266.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229,193,066.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26,899,803.8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451,585,263.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400,104,766.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380,041,539.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说明经营季节性（或周期性）发生的原因及波动风险</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rPr>
        <w:t>（</w:t>
      </w:r>
      <w:bookmarkEnd w:id="17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77"/>
      <w:bookmarkEnd w:id="178"/>
      <w:bookmarkEnd w:id="180"/>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752"/>
        <w:gridCol w:w="1699"/>
        <w:gridCol w:w="994"/>
        <w:gridCol w:w="1272"/>
        <w:gridCol w:w="1277"/>
        <w:gridCol w:w="1219"/>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8,291,688,493.69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6,150,707,546.89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3,320,012,096.13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2,591,486,804.59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2,572,937,456.78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1,921,954,906.94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高科技与制造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1,868,592,788.86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1,441,449,881.65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5,958,393,493.01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4,393,015,952.09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8,597,169,121.07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6,537,504,797.88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10,017,150,225.20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7,513,384,036.42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3,075,373,978.78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2,330,932,522.40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2,717,149,587.35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2,080,297,883.79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rPr>
        <w:t>（</w:t>
      </w:r>
      <w:bookmarkEnd w:id="18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81"/>
      <w:bookmarkEnd w:id="182"/>
      <w:bookmarkEnd w:id="184"/>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after="380" w:line="240" w:lineRule="auto"/>
        <w:ind w:left="0" w:right="0" w:firstLine="0"/>
        <w:jc w:val="both"/>
      </w:pPr>
      <w:bookmarkStart w:id="185" w:name="bookmark185"/>
      <w:bookmarkStart w:id="186" w:name="bookmark186"/>
      <w:bookmarkStart w:id="187" w:name="bookmark187"/>
      <w:bookmarkStart w:id="188" w:name="bookmark188"/>
      <w:r>
        <w:rPr>
          <w:color w:val="000000"/>
          <w:spacing w:val="0"/>
          <w:w w:val="100"/>
          <w:position w:val="0"/>
        </w:rPr>
        <w:t>（</w:t>
      </w:r>
      <w:bookmarkEnd w:id="18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85"/>
      <w:bookmarkEnd w:id="186"/>
      <w:bookmarkEnd w:id="188"/>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br w:type="page"/>
      </w:r>
      <w:r>
        <w:rPr>
          <w:color w:val="000000"/>
          <w:spacing w:val="0"/>
          <w:w w:val="100"/>
          <w:position w:val="0"/>
        </w:rPr>
        <w:t>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万元的正在履行的合同情况</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89"/>
      <w:bookmarkEnd w:id="190"/>
      <w:bookmarkEnd w:id="19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843"/>
        <w:gridCol w:w="1416"/>
        <w:gridCol w:w="994"/>
        <w:gridCol w:w="1416"/>
        <w:gridCol w:w="1133"/>
        <w:gridCol w:w="15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6,150,707,546.89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5,100,159,650.33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1,921,954,906.94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1,344,662,040.81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2,591,486,804.59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1,648,288,353.17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高科技与制造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1,441,449,881.65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1,012,761,811.55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415,600,332.27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341,615,825.76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人工成本及相关费用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1,212,544.23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12,766,058.74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752"/>
        <w:gridCol w:w="1416"/>
        <w:gridCol w:w="994"/>
        <w:gridCol w:w="1416"/>
        <w:gridCol w:w="1133"/>
        <w:gridCol w:w="15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 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6,537,504,797.88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5,430,903,373.00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4,393,015,952.09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2,980,038,546.65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咨询与解决方案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558,643,193.18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408,139,528.78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数字化运营服务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1,032,035,529.19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628,406,233.19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人工成本及相关费用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1,212,544.23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12,766,058.74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982"/>
        <w:gridCol w:w="1560"/>
        <w:gridCol w:w="1618"/>
        <w:gridCol w:w="1589"/>
        <w:gridCol w:w="1162"/>
      </w:tblGrid>
      <w:tr>
        <w:trPr>
          <w:trHeight w:val="32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同比增减</w:t>
            </w:r>
          </w:p>
        </w:tc>
      </w:tr>
      <w:tr>
        <w:trPr>
          <w:trHeight w:val="49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11,869,040,483.85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8,893,869,770.46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33.45%</w:t>
            </w:r>
          </w:p>
        </w:tc>
      </w:tr>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254,412,809.55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Arial" w:eastAsia="Arial" w:hAnsi="Arial" w:cs="Arial"/>
                <w:color w:val="000000"/>
                <w:spacing w:val="0"/>
                <w:w w:val="100"/>
                <w:position w:val="0"/>
                <w:sz w:val="18"/>
                <w:szCs w:val="18"/>
              </w:rPr>
              <w:t>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173,322,068.53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46.79%</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其他杂费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Arial" w:eastAsia="Arial" w:hAnsi="Arial" w:cs="Arial"/>
                <w:color w:val="000000"/>
                <w:spacing w:val="0"/>
                <w:w w:val="100"/>
                <w:position w:val="0"/>
                <w:sz w:val="18"/>
                <w:szCs w:val="18"/>
              </w:rPr>
              <w:t>397,746,178.94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Arial" w:eastAsia="Arial" w:hAnsi="Arial" w:cs="Arial"/>
                <w:color w:val="000000"/>
                <w:spacing w:val="0"/>
                <w:w w:val="100"/>
                <w:position w:val="0"/>
                <w:sz w:val="18"/>
                <w:szCs w:val="18"/>
              </w:rPr>
              <w:t>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Arial" w:eastAsia="Arial" w:hAnsi="Arial" w:cs="Arial"/>
                <w:color w:val="000000"/>
                <w:spacing w:val="0"/>
                <w:w w:val="100"/>
                <w:position w:val="0"/>
                <w:sz w:val="18"/>
                <w:szCs w:val="18"/>
              </w:rPr>
              <w:t>380,295,842.63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4.59%</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Arial" w:eastAsia="Arial" w:hAnsi="Arial" w:cs="Arial"/>
                <w:color w:val="000000"/>
                <w:spacing w:val="0"/>
                <w:w w:val="100"/>
                <w:position w:val="0"/>
                <w:sz w:val="18"/>
                <w:szCs w:val="18"/>
              </w:rPr>
              <w:t>12,521,199,472.34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9,447,487,681.62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Arial" w:eastAsia="Arial" w:hAnsi="Arial" w:cs="Arial"/>
                <w:color w:val="000000"/>
                <w:spacing w:val="0"/>
                <w:w w:val="100"/>
                <w:position w:val="0"/>
                <w:sz w:val="18"/>
                <w:szCs w:val="18"/>
              </w:rPr>
              <w:t>32.53%</w:t>
            </w:r>
          </w:p>
        </w:tc>
      </w:tr>
    </w:tbl>
    <w:p>
      <w:pPr>
        <w:pStyle w:val="Style33"/>
        <w:keepNext/>
        <w:keepLines/>
        <w:widowControl w:val="0"/>
        <w:shd w:val="clear" w:color="auto" w:fill="auto"/>
        <w:tabs>
          <w:tab w:pos="493" w:val="left"/>
        </w:tabs>
        <w:bidi w:val="0"/>
        <w:spacing w:before="0" w:after="280" w:line="240" w:lineRule="auto"/>
        <w:ind w:left="0" w:right="0" w:firstLine="0"/>
        <w:jc w:val="both"/>
      </w:pPr>
      <w:bookmarkStart w:id="193" w:name="bookmark193"/>
      <w:bookmarkStart w:id="194" w:name="bookmark194"/>
      <w:bookmarkStart w:id="195" w:name="bookmark195"/>
      <w:bookmarkStart w:id="196" w:name="bookmark196"/>
      <w:r>
        <w:rPr>
          <w:color w:val="000000"/>
          <w:spacing w:val="0"/>
          <w:w w:val="100"/>
          <w:position w:val="0"/>
        </w:rPr>
        <w:t>（</w:t>
      </w:r>
      <w:bookmarkEnd w:id="19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93"/>
      <w:bookmarkEnd w:id="194"/>
      <w:bookmarkEnd w:id="196"/>
    </w:p>
    <w:p>
      <w:pPr>
        <w:pStyle w:val="Style22"/>
        <w:keepNext w:val="0"/>
        <w:keepLines w:val="0"/>
        <w:widowControl w:val="0"/>
        <w:shd w:val="clear" w:color="auto" w:fill="auto"/>
        <w:bidi w:val="0"/>
        <w:spacing w:before="0" w:after="6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家，详见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附注九、在其他主体中的权益七与上年度相比， 本公司本年度合并范围增加</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附注八、合并范围的变更匚</w:t>
      </w:r>
    </w:p>
    <w:p>
      <w:pPr>
        <w:pStyle w:val="Style33"/>
        <w:keepNext/>
        <w:keepLines/>
        <w:widowControl w:val="0"/>
        <w:shd w:val="clear" w:color="auto" w:fill="auto"/>
        <w:tabs>
          <w:tab w:pos="493" w:val="left"/>
        </w:tabs>
        <w:bidi w:val="0"/>
        <w:spacing w:before="0" w:after="280" w:line="240" w:lineRule="auto"/>
        <w:ind w:left="0" w:right="0" w:firstLine="0"/>
        <w:jc w:val="both"/>
      </w:pPr>
      <w:bookmarkStart w:id="197" w:name="bookmark197"/>
      <w:bookmarkStart w:id="198" w:name="bookmark198"/>
      <w:bookmarkStart w:id="199" w:name="bookmark199"/>
      <w:bookmarkStart w:id="200" w:name="bookmark200"/>
      <w:r>
        <w:rPr>
          <w:color w:val="000000"/>
          <w:spacing w:val="0"/>
          <w:w w:val="100"/>
          <w:position w:val="0"/>
        </w:rPr>
        <w:t>（</w:t>
      </w:r>
      <w:bookmarkEnd w:id="19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97"/>
      <w:bookmarkEnd w:id="198"/>
      <w:bookmarkEnd w:id="200"/>
    </w:p>
    <w:p>
      <w:pPr>
        <w:pStyle w:val="Style22"/>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28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01"/>
      <w:bookmarkEnd w:id="202"/>
      <w:bookmarkEnd w:id="204"/>
    </w:p>
    <w:p>
      <w:pPr>
        <w:pStyle w:val="Style22"/>
        <w:keepNext w:val="0"/>
        <w:keepLines w:val="0"/>
        <w:widowControl w:val="0"/>
        <w:shd w:val="clear" w:color="auto" w:fill="auto"/>
        <w:bidi w:val="0"/>
        <w:spacing w:before="0" w:after="60" w:line="312" w:lineRule="exact"/>
        <w:ind w:left="0" w:right="0" w:firstLine="0"/>
        <w:jc w:val="both"/>
      </w:pPr>
      <w:r>
        <w:rPr>
          <w:color w:val="000000"/>
          <w:spacing w:val="0"/>
          <w:w w:val="100"/>
          <w:position w:val="0"/>
        </w:rPr>
        <w:t>公司主要销售客户情况</w:t>
      </w:r>
    </w:p>
    <w:tbl>
      <w:tblPr>
        <w:tblOverlap w:val="never"/>
        <w:jc w:val="center"/>
        <w:tblLayout w:type="fixed"/>
      </w:tblPr>
      <w:tblGrid>
        <w:gridCol w:w="4546"/>
        <w:gridCol w:w="504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10,654,049,440.25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7,854,789,548.15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1,362,184,798.84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572,745,820.54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435,664,911.66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428,664,361.06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10,654,049,440.25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64.09%</w:t>
            </w:r>
          </w:p>
        </w:tc>
      </w:tr>
    </w:tbl>
    <w:p>
      <w:pPr>
        <w:widowControl w:val="0"/>
        <w:spacing w:after="5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328,528,879.40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95,868,288.62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71,318,177.99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69,763,616.19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59,921,416.10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31,657,380.50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328,528,879.40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w:t>
            </w:r>
          </w:p>
        </w:tc>
      </w:tr>
    </w:tbl>
    <w:p>
      <w:pPr>
        <w:pStyle w:val="Style22"/>
        <w:keepNext w:val="0"/>
        <w:keepLines w:val="0"/>
        <w:widowControl w:val="0"/>
        <w:shd w:val="clear" w:color="auto" w:fill="auto"/>
        <w:bidi w:val="0"/>
        <w:spacing w:before="0" w:after="120" w:line="317" w:lineRule="exact"/>
        <w:ind w:left="0" w:right="0" w:firstLine="0"/>
        <w:jc w:val="both"/>
      </w:pPr>
      <w:r>
        <w:rPr>
          <w:color w:val="000000"/>
          <w:spacing w:val="0"/>
          <w:w w:val="100"/>
          <w:position w:val="0"/>
        </w:rPr>
        <w:t>主要供应商其他情况说明</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400" w:line="317" w:lineRule="exact"/>
        <w:ind w:left="0" w:right="0" w:firstLine="0"/>
        <w:jc w:val="both"/>
      </w:pPr>
      <w:r>
        <w:rPr>
          <w:color w:val="000000"/>
          <w:spacing w:val="0"/>
          <w:w w:val="100"/>
          <w:position w:val="0"/>
        </w:rPr>
        <w:t>公司前五名供应商资料之第四名为武汉通力互联技术服务有限公司及其子公司；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日，本公司之实际控制人间接 持有武汉通力互联技术服务有限公司</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的股权，变更为直接持有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日后，本公司之实际控制人不再 持有其股权。</w:t>
      </w:r>
    </w:p>
    <w:p>
      <w:pPr>
        <w:pStyle w:val="Style33"/>
        <w:keepNext/>
        <w:keepLines/>
        <w:widowControl w:val="0"/>
        <w:shd w:val="clear" w:color="auto" w:fill="auto"/>
        <w:bidi w:val="0"/>
        <w:spacing w:before="0" w:after="400" w:line="240"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、费用</w:t>
      </w:r>
      <w:bookmarkEnd w:id="205"/>
      <w:bookmarkEnd w:id="206"/>
      <w:bookmarkEnd w:id="20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577,501,713.13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372,796,317.39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主要系报告期内支持业务扩张，加强 区域销售网络建设所致。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1,414,454,250.09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1,020,765,051.30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主要系报告期内为快速响应业务需 求，加大人员和场地投入所致。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129,682,463.42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142,409,818.00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1,001,047,045.37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834,709,119.22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8" w:right="997" w:bottom="1455" w:left="1034" w:header="0" w:footer="3" w:gutter="0"/>
          <w:cols w:space="720"/>
          <w:noEndnote/>
          <w:rtlGutter w:val="0"/>
          <w:docGrid w:linePitch="360"/>
        </w:sectPr>
      </w:pPr>
    </w:p>
    <w:p>
      <w:pPr>
        <w:pStyle w:val="Style33"/>
        <w:keepNext/>
        <w:keepLines/>
        <w:widowControl w:val="0"/>
        <w:shd w:val="clear" w:color="auto" w:fill="auto"/>
        <w:bidi w:val="0"/>
        <w:spacing w:before="0" w:after="34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4</w:t>
      </w:r>
      <w:bookmarkEnd w:id="211"/>
      <w:r>
        <w:rPr>
          <w:color w:val="000000"/>
          <w:spacing w:val="0"/>
          <w:w w:val="100"/>
          <w:position w:val="0"/>
        </w:rPr>
        <w:t>、研发投入</w:t>
      </w:r>
      <w:bookmarkEnd w:id="209"/>
      <w:bookmarkEnd w:id="210"/>
      <w:bookmarkEnd w:id="212"/>
    </w:p>
    <w:p>
      <w:pPr>
        <w:pStyle w:val="Style29"/>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71"/>
        <w:gridCol w:w="2693"/>
        <w:gridCol w:w="4253"/>
        <w:gridCol w:w="2606"/>
        <w:gridCol w:w="331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IPSA</w:t>
            </w:r>
            <w:r>
              <w:rPr>
                <w:color w:val="000000"/>
                <w:spacing w:val="0"/>
                <w:w w:val="100"/>
                <w:position w:val="0"/>
              </w:rPr>
              <w:t>研发项 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本项目是面向企业运营构建 </w:t>
            </w:r>
            <w:r>
              <w:rPr>
                <w:color w:val="000000"/>
                <w:spacing w:val="0"/>
                <w:w w:val="100"/>
                <w:position w:val="0"/>
                <w:sz w:val="18"/>
                <w:szCs w:val="18"/>
              </w:rPr>
              <w:t>IPSA</w:t>
            </w:r>
            <w:r>
              <w:rPr>
                <w:color w:val="000000"/>
                <w:spacing w:val="0"/>
                <w:w w:val="100"/>
                <w:position w:val="0"/>
              </w:rPr>
              <w:t>专业服务自动化平台，采用 云原生技术打造管理数字化基 础技术支撑架构，采用大数据， 人工智能，</w:t>
            </w:r>
            <w:r>
              <w:rPr>
                <w:color w:val="000000"/>
                <w:spacing w:val="0"/>
                <w:w w:val="100"/>
                <w:position w:val="0"/>
                <w:sz w:val="18"/>
                <w:szCs w:val="18"/>
              </w:rPr>
              <w:t>AR/VR</w:t>
            </w:r>
            <w:r>
              <w:rPr>
                <w:color w:val="000000"/>
                <w:spacing w:val="0"/>
                <w:w w:val="100"/>
                <w:position w:val="0"/>
              </w:rPr>
              <w:t>等技术工具支 撑企业从商机到回款端到端项 目管理及企业交付能效管控，跟 踪管理业绩目标，通过数字化技 术驱动企业运营。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已完成云原生技术架构搭建，实现商机到回款的项 目管理闭环以及交付能效的管控和业绩目标的跟 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构建全面支撑企业端到端运营</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管理的数字化平台，实现企业 的数字化智能化运营。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通过打造端到端在线闭环运营的数字化 平台，快速灵活支撑各类业务的流程体 系运作，通过技术创新驱动企业安全、 稳定、高效的运营管理，支撑企业数字 化智能化转型。</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数据中台研发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本项目目的是开发一套覆盖数据 全生命周期的管理流程和工具，制 定数据管理标准，规范数据开发和 使用流程，保证数据质量和安全， 让数据更好的为业务服务。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数据中台的数据处理与治理能力已经全链路实现，其 中包括：离线数据集成交换、元数据管理、数据血缘 管理、数据质量分析、数据标准化、数据即时查询、 数据清洗和计算、数据服务。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构建一套支持完整、全面的数据 处理与治理平台，包括对国产化 数据库的支持，为用户提供智能 化的数据管理和数据服务。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基于软通数据湖、数据中台建设最佳实践， 针对大中型企业数字化转型需要，以适中 的价格，打造经过实践检验的高并发、大 数据量、安全稳定，面向企业量身定制的 数据服务平台。</w:t>
            </w:r>
          </w:p>
        </w:tc>
      </w:tr>
      <w:tr>
        <w:trPr>
          <w:trHeight w:val="322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软通动力零售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中台研发项目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结合业务中台、数据中台能力特 点，面向</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端零售企业打造线上 数字化营销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运营平台产品。构建 市场核心能力和销售核心能力，同 时提供圈层运营、会员运营、设备 </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实体产品管理等专项模块。整体 打造垂直服务于软饮、服饰、生活 新零售、</w:t>
            </w:r>
            <w:r>
              <w:rPr>
                <w:rFonts w:ascii="Times New Roman" w:eastAsia="Times New Roman" w:hAnsi="Times New Roman" w:cs="Times New Roman"/>
                <w:color w:val="000000"/>
                <w:spacing w:val="0"/>
                <w:w w:val="100"/>
                <w:position w:val="0"/>
                <w:sz w:val="18"/>
                <w:szCs w:val="18"/>
              </w:rPr>
              <w:t>VR/AR</w:t>
            </w:r>
            <w:r>
              <w:rPr>
                <w:color w:val="000000"/>
                <w:spacing w:val="0"/>
                <w:w w:val="100"/>
                <w:position w:val="0"/>
              </w:rPr>
              <w:t>等新零售细分企 业的一站式数字化运营服务平台。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已经完成包括登录中心，用户中心，商品中心，库存 中心，营销中心和支付中心等核心模块的系统开发， 结合业务场景构建数据中台。已研发完成面向软饮、 服饰、生活新零售等垂直领域行业的数字营销平台。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4" w:lineRule="exact"/>
              <w:ind w:left="0" w:right="0" w:firstLine="0"/>
              <w:jc w:val="both"/>
            </w:pPr>
            <w:r>
              <w:rPr>
                <w:color w:val="000000"/>
                <w:spacing w:val="0"/>
                <w:w w:val="100"/>
                <w:position w:val="0"/>
              </w:rPr>
              <w:t>建立支持零售特别是快消品企业 的数字化中台，完全打通线上和 线下两个市场，既能降低获客成 本又能提升老用户的黏性，有效 提升客户体验，促进销售。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建立端到端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新零售数字营销产品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技术''解决方案，兼顾规划、视觉</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产品设计、运营执行、效果可视化、项目 管控等，实现新零售企业在营销</w:t>
            </w:r>
            <w:r>
              <w:rPr>
                <w:rFonts w:ascii="Times New Roman" w:eastAsia="Times New Roman" w:hAnsi="Times New Roman" w:cs="Times New Roman"/>
                <w:color w:val="000000"/>
                <w:spacing w:val="0"/>
                <w:w w:val="100"/>
                <w:position w:val="0"/>
                <w:sz w:val="18"/>
                <w:szCs w:val="18"/>
              </w:rPr>
              <w:t>ROI</w:t>
            </w:r>
            <w:r>
              <w:rPr>
                <w:color w:val="000000"/>
                <w:spacing w:val="0"/>
                <w:w w:val="100"/>
                <w:position w:val="0"/>
              </w:rPr>
              <w:t>、</w:t>
            </w:r>
            <w:r>
              <w:rPr>
                <w:color w:val="000000"/>
                <w:spacing w:val="0"/>
                <w:w w:val="100"/>
                <w:position w:val="0"/>
              </w:rPr>
              <w:t>会 员粘性、产品形态、品牌口碑、用户体验 等最大化提升。自建软通动力自身大型数 字运营、数字业务及咨询团队，为企业主 提供从业务</w:t>
            </w:r>
            <w:r>
              <w:rPr>
                <w:rFonts w:ascii="Times New Roman" w:eastAsia="Times New Roman" w:hAnsi="Times New Roman" w:cs="Times New Roman"/>
                <w:color w:val="000000"/>
                <w:spacing w:val="0"/>
                <w:w w:val="100"/>
                <w:position w:val="0"/>
                <w:sz w:val="18"/>
                <w:szCs w:val="18"/>
              </w:rPr>
              <w:t>know-how</w:t>
            </w:r>
            <w:r>
              <w:rPr>
                <w:color w:val="000000"/>
                <w:spacing w:val="0"/>
                <w:w w:val="100"/>
                <w:position w:val="0"/>
              </w:rPr>
              <w:t>、数据分析洞察到 业务运营、触点</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平台化开发一站式跨领 域、跨部门、跨平台服务。</w:t>
            </w:r>
          </w:p>
        </w:tc>
      </w:tr>
    </w:tbl>
    <w:p>
      <w:pPr>
        <w:spacing w:lineRule="exact" w:line="1"/>
        <w:rPr>
          <w:sz w:val="2"/>
          <w:szCs w:val="2"/>
        </w:rPr>
      </w:pPr>
      <w:r>
        <w:br w:type="page"/>
      </w:r>
    </w:p>
    <w:tbl>
      <w:tblPr>
        <w:tblOverlap w:val="never"/>
        <w:jc w:val="center"/>
        <w:tblLayout w:type="fixed"/>
      </w:tblPr>
      <w:tblGrid>
        <w:gridCol w:w="1171"/>
        <w:gridCol w:w="2693"/>
        <w:gridCol w:w="4253"/>
        <w:gridCol w:w="2606"/>
        <w:gridCol w:w="3312"/>
      </w:tblGrid>
      <w:tr>
        <w:trPr>
          <w:trHeight w:val="74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主要研发项目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汽车制造整车</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物流系统研发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本项目旨在汽车整车物流供应链 环节有效实现供应链过程控制、优 化资源调配，通过对物流物联网设 施设备的有效控制，结合人工智能 优化分析和动态感知，实现对物流 过程可视化、车辆安全在线化、车 辆配载自动化；优化整车厂产品交 付周期并实现供应链效率提升。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销售订单系统与物流执行系统已经实现无缝连接，物 流执行模块将物流物联网设备进行有效对接，实现厂 内智慧物流及可视化跟踪；车、人、厂、货已经实现 系统内业务流程闭环。支持</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深度学习和视觉识别的 物流执行优化算法。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、利用大数据算法与视频数据分 析、机器视觉算法等技术，实现 对整车物流供应链环节的智能化 调度和全程可视化监控；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、实现 集团化、区域化物流服务管理;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提升整体物流供应链服务能力， 实现全程可视化监管。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完成扩展规划的整车物流系统将会在汽车 物流活动的生产装配、仓储、运输配送、 装卸搬运等各个环节有效实现过程控制； 结合车联网技术，构建对车辆从生产到报 废的全生命周期状态监控和自动化物流解 决方案，全方位降低汽车物流成本，实现 对整车厂商的物流供应链全链路解决方案 交付实施。</w:t>
            </w: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电力行业数据</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采集与交换平</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台研发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为电力集团企业数据中台、数据湖 等数据平台提供数据的扩展接入 功能，具备电力主控单元功能，具 备和边缘设备、终端设备多协议 （通用标准协议和电力专业协议 标准）通讯能力，具备电力秒级设 备实时数据的存储、管理和计算处 理能力。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目前版本</w:t>
            </w:r>
            <w:r>
              <w:rPr>
                <w:rFonts w:ascii="Times New Roman" w:eastAsia="Times New Roman" w:hAnsi="Times New Roman" w:cs="Times New Roman"/>
                <w:color w:val="000000"/>
                <w:spacing w:val="0"/>
                <w:w w:val="100"/>
                <w:position w:val="0"/>
                <w:sz w:val="18"/>
                <w:szCs w:val="18"/>
              </w:rPr>
              <w:t>v3.0</w:t>
            </w:r>
            <w:r>
              <w:rPr>
                <w:color w:val="000000"/>
                <w:spacing w:val="0"/>
                <w:w w:val="100"/>
                <w:position w:val="0"/>
              </w:rPr>
              <w:t>，</w:t>
            </w:r>
            <w:r>
              <w:rPr>
                <w:color w:val="000000"/>
                <w:spacing w:val="0"/>
                <w:w w:val="100"/>
                <w:position w:val="0"/>
              </w:rPr>
              <w:t>已实现多协议数据集成服务、数据共 享服务、数据管理等基础功能。升级优化对时序数据 的处理能力。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为电力集团企业提供上下级批量 数据交互枢纽，为全集团上下级 数据的统一交换提供支持，提升 信息集成水平，保障数据完整、 及时和准确。进一步响应电力企 业在数字化转型过程中对云计 算、大数据、物联网等新技术领 域的数据交换需求，在集团企业 范围内达到业务流、数据流、信 息流的有机统一。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该产品可对软通动力工业互联网平台在电 力行业的能力扩展提供支撑能力。扩展数 据接入的通讯协议解析集成能力，以及作 为主控单元的双向指令通讯能力。</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银行绩效管理 与分析系统研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面向银行客户提供绩效管理总体 思路和功能应用，通过内置分析模 型，并结合最新的数据处理技术， 实现银行经营管理层面的数字化 转型。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已完成统一批量调度和监控功能的研发工作；已完成 支持绩效管理的定价和成本分摊引擎的开发。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、人工智能数据钻取实现数据赋 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、更合理的成本分摊和定价 方法，考核结果更科学，更具说 服力；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、实现大数据批量处理效 率及错误处理效率，保证系统的 安全、稳定运行。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通过国产信创技术体系的引入，建立自主 可控的技术资产，将在未来银行信创领域 发挥较大的作用；整合软通动力在以往绩 效管理的模型和最新银行数字化经营的理 念，帮助银行客户实现管理理念的数字化。</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软通动力自动 化测试平台研 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本产品专注于企业级用户的自动 化测试解决方案。集</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Windows </w:t>
            </w:r>
            <w:r>
              <w:rPr>
                <w:color w:val="000000"/>
                <w:spacing w:val="0"/>
                <w:w w:val="100"/>
                <w:position w:val="0"/>
              </w:rPr>
              <w:t xml:space="preserve">应用的 </w:t>
            </w:r>
            <w:r>
              <w:rPr>
                <w:rFonts w:ascii="Times New Roman" w:eastAsia="Times New Roman" w:hAnsi="Times New Roman" w:cs="Times New Roman"/>
                <w:color w:val="000000"/>
                <w:spacing w:val="0"/>
                <w:w w:val="100"/>
                <w:position w:val="0"/>
                <w:sz w:val="18"/>
                <w:szCs w:val="18"/>
              </w:rPr>
              <w:t>E2E</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当前产品覆盖了 </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WEB UI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的自动化测试能 力。已完成</w:t>
            </w:r>
            <w:r>
              <w:rPr>
                <w:rFonts w:ascii="Times New Roman" w:eastAsia="Times New Roman" w:hAnsi="Times New Roman" w:cs="Times New Roman"/>
                <w:color w:val="000000"/>
                <w:spacing w:val="0"/>
                <w:w w:val="100"/>
                <w:position w:val="0"/>
                <w:sz w:val="18"/>
                <w:szCs w:val="18"/>
              </w:rPr>
              <w:t>mock</w:t>
            </w:r>
            <w:r>
              <w:rPr>
                <w:color w:val="000000"/>
                <w:spacing w:val="0"/>
                <w:w w:val="100"/>
                <w:position w:val="0"/>
              </w:rPr>
              <w:t>数据自动生成，自定义报告输出及分 析技术，并完成了各种测试类型灵活调度的测试自动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、在测试数据自动生成的基础 上，引入人工智能和大数据技术， 实现测试案例和测试预言的自动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随着数据分析、图像识别、机器学习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深度 学习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人工智能等相关技术在测试行业的 落地，越来越多的智能化测试的方式为企</w:t>
            </w:r>
          </w:p>
        </w:tc>
      </w:tr>
    </w:tbl>
    <w:p>
      <w:pPr>
        <w:spacing w:lineRule="exact" w:line="1"/>
        <w:rPr>
          <w:sz w:val="2"/>
          <w:szCs w:val="2"/>
        </w:rPr>
      </w:pPr>
      <w:r>
        <w:br w:type="page"/>
      </w:r>
    </w:p>
    <w:tbl>
      <w:tblPr>
        <w:tblOverlap w:val="never"/>
        <w:jc w:val="center"/>
        <w:tblLayout w:type="fixed"/>
      </w:tblPr>
      <w:tblGrid>
        <w:gridCol w:w="1171"/>
        <w:gridCol w:w="2693"/>
        <w:gridCol w:w="4253"/>
        <w:gridCol w:w="2606"/>
        <w:gridCol w:w="3312"/>
      </w:tblGrid>
      <w:tr>
        <w:trPr>
          <w:trHeight w:val="74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主要研发项目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50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功能、性能及</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测试于一体。 在测试项目管理、测试任务调度执 行、结果分析统计以及质量管理等 全流程上建立了完整的测试体系 与标准。为用户提供实时录制与调 试、环境变量、模版语法、</w:t>
            </w:r>
            <w:r>
              <w:rPr>
                <w:rFonts w:ascii="Times New Roman" w:eastAsia="Times New Roman" w:hAnsi="Times New Roman" w:cs="Times New Roman"/>
                <w:color w:val="000000"/>
                <w:spacing w:val="0"/>
                <w:w w:val="100"/>
                <w:position w:val="0"/>
                <w:sz w:val="18"/>
                <w:szCs w:val="18"/>
              </w:rPr>
              <w:t>Mock</w:t>
            </w:r>
            <w:r>
              <w:rPr>
                <w:color w:val="000000"/>
                <w:spacing w:val="0"/>
                <w:w w:val="100"/>
                <w:position w:val="0"/>
              </w:rPr>
              <w:t xml:space="preserve">、 </w:t>
            </w:r>
            <w:r>
              <w:rPr>
                <w:color w:val="000000"/>
                <w:spacing w:val="0"/>
                <w:w w:val="100"/>
                <w:position w:val="0"/>
              </w:rPr>
              <w:t>脚本等辅助设计功能，并应用人工 智能技术对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元素''与''组件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进行自 动识别，实现自建数据模型、用例 自完善与高拟真交互等创新技术。 助力行业用户更好的保障测试质 量。</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、在现有测试报告自动生 成的基础上，基于模式分析技术， 实现测试结果的智能分析，实现 缺陷模式的聚类和分析，并智能 提示进一步测试的策略与重点方 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、在已实现的测试资产库之 上，实现领域知识和测试专业知 识的多维关联与匹配，研发可在 行业内复用的新型资产库模型； 在现在自动化测试实施全流程的 基础上，实现各种测试类型的灵 活调度，支持各类客户实现高效 的研发流水线；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、在新技术扩展 层面形成开放式接口，支持后续 进一步迭代升级，并形成银行行 业的自动化测试标准。</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业大客户提供全方位的测试服务及质量保 障。该产品通过不断地升级改造，将应用 更多</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技术，并融入到成熟的自动化测 试生态中，为产品质量护航。在测试行业 领域有着强有力的竞争力。</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数字运营业务</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平台升级研发</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软通动力依托其核心的人工智能、 语音识别、图像识别等技术以及自 身在数字运营领域多年的应用积 累，打造符合市场需求的数字运营 业务综合平台。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已经完成客服系统机器人架构搭建，机器人能在便捷 交互中直接解决问题，让服务化繁为简，提升用户满 意度。审核平台已满足通过人工进行审核，能对音频、 视频、图像、文字具有一定审核能力。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打造符合市场需求的数字运营业 务综合平台，综合平台将由智能 客服、智能审核、智能标注及精 益运营系统组成。升级改造后的 数字运营业务综合平台将成为融 合技术、聚合数据、赋能应用的 企业数字服务中枢。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升级改造后的数字运营业务综合平台将成 为企业数字服务中枢，实现企业业务创新 和高效运营，助力企业数据管理和价值挖 掘，降低企业运营和管理复杂度。同时平 台拟构建对外提供可调用、松耦合、弹性 的标准化数字服务，构建强大的业务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 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生态协同系统，助力企业的快速发展。</w:t>
            </w: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鸿蒙生态组件 研发项目（一 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构建软通动力在鸿蒙生态的组件 开发，组件适配能力，参与相关项 目的研发与交付；依托中间件开发 构建南向</w:t>
            </w:r>
            <w:r>
              <w:rPr>
                <w:rFonts w:ascii="Times New Roman" w:eastAsia="Times New Roman" w:hAnsi="Times New Roman" w:cs="Times New Roman"/>
                <w:color w:val="000000"/>
                <w:spacing w:val="0"/>
                <w:w w:val="100"/>
                <w:position w:val="0"/>
                <w:sz w:val="18"/>
                <w:szCs w:val="18"/>
              </w:rPr>
              <w:t>SDK/NDK</w:t>
            </w:r>
            <w:r>
              <w:rPr>
                <w:color w:val="000000"/>
                <w:spacing w:val="0"/>
                <w:w w:val="100"/>
                <w:position w:val="0"/>
              </w:rPr>
              <w:t>的适配修改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已完成约</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个三方组件的适配迁移，并且已在开源社 区开源；相关能力已复制到了研发项目中；相关</w:t>
            </w:r>
            <w:r>
              <w:rPr>
                <w:rFonts w:ascii="Times New Roman" w:eastAsia="Times New Roman" w:hAnsi="Times New Roman" w:cs="Times New Roman"/>
                <w:color w:val="000000"/>
                <w:spacing w:val="0"/>
                <w:w w:val="100"/>
                <w:position w:val="0"/>
                <w:sz w:val="18"/>
                <w:szCs w:val="18"/>
              </w:rPr>
              <w:t xml:space="preserve">demo </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Sample</w:t>
            </w:r>
            <w:r>
              <w:rPr>
                <w:color w:val="000000"/>
                <w:spacing w:val="0"/>
                <w:w w:val="100"/>
                <w:position w:val="0"/>
              </w:rPr>
              <w:t>已在</w:t>
            </w:r>
            <w:r>
              <w:rPr>
                <w:rFonts w:ascii="Times New Roman" w:eastAsia="Times New Roman" w:hAnsi="Times New Roman" w:cs="Times New Roman"/>
                <w:color w:val="000000"/>
                <w:spacing w:val="0"/>
                <w:w w:val="100"/>
                <w:position w:val="0"/>
                <w:sz w:val="18"/>
                <w:szCs w:val="18"/>
              </w:rPr>
              <w:t>OpenHarmony</w:t>
            </w:r>
            <w:r>
              <w:rPr>
                <w:color w:val="000000"/>
                <w:spacing w:val="0"/>
                <w:w w:val="100"/>
                <w:position w:val="0"/>
              </w:rPr>
              <w:t xml:space="preserve">官网开源。基于 </w:t>
            </w:r>
            <w:r>
              <w:rPr>
                <w:rFonts w:ascii="Times New Roman" w:eastAsia="Times New Roman" w:hAnsi="Times New Roman" w:cs="Times New Roman"/>
                <w:color w:val="000000"/>
                <w:spacing w:val="0"/>
                <w:w w:val="100"/>
                <w:position w:val="0"/>
                <w:sz w:val="18"/>
                <w:szCs w:val="18"/>
              </w:rPr>
              <w:t>OpenHarmony</w:t>
            </w:r>
            <w:r>
              <w:rPr>
                <w:color w:val="000000"/>
                <w:spacing w:val="0"/>
                <w:w w:val="100"/>
                <w:position w:val="0"/>
              </w:rPr>
              <w:t>能力构建，完成了扬帆，启航，启鸿开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、构建基于鸿蒙系统的硬件适配 中间层，依托华为</w:t>
            </w:r>
            <w:r>
              <w:rPr>
                <w:rFonts w:ascii="Times New Roman" w:eastAsia="Times New Roman" w:hAnsi="Times New Roman" w:cs="Times New Roman"/>
                <w:color w:val="000000"/>
                <w:spacing w:val="0"/>
                <w:w w:val="100"/>
                <w:position w:val="0"/>
                <w:sz w:val="18"/>
                <w:szCs w:val="18"/>
              </w:rPr>
              <w:t>”1+8+n</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战略中 的</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，使用本项目提供的中间 件，可以快速开发基于鸿蒙系统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构建全栈的鸿蒙研发能力，发布软通商业 发行版产品。助力产品快速上市。</w:t>
            </w:r>
          </w:p>
        </w:tc>
      </w:tr>
    </w:tbl>
    <w:p>
      <w:pPr>
        <w:spacing w:lineRule="exact" w:line="1"/>
        <w:rPr>
          <w:sz w:val="2"/>
          <w:szCs w:val="2"/>
        </w:rPr>
      </w:pPr>
      <w:r>
        <w:br w:type="page"/>
      </w:r>
    </w:p>
    <w:tbl>
      <w:tblPr>
        <w:tblOverlap w:val="never"/>
        <w:jc w:val="center"/>
        <w:tblLayout w:type="fixed"/>
      </w:tblPr>
      <w:tblGrid>
        <w:gridCol w:w="1171"/>
        <w:gridCol w:w="2693"/>
        <w:gridCol w:w="4253"/>
        <w:gridCol w:w="2606"/>
        <w:gridCol w:w="3312"/>
      </w:tblGrid>
      <w:tr>
        <w:trPr>
          <w:trHeight w:val="74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主要研发项目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能力；北向延申，提供</w:t>
            </w:r>
            <w:r>
              <w:rPr>
                <w:rFonts w:ascii="Times New Roman" w:eastAsia="Times New Roman" w:hAnsi="Times New Roman" w:cs="Times New Roman"/>
                <w:color w:val="000000"/>
                <w:spacing w:val="0"/>
                <w:w w:val="100"/>
                <w:position w:val="0"/>
                <w:sz w:val="18"/>
                <w:szCs w:val="18"/>
              </w:rPr>
              <w:t>demo</w:t>
            </w:r>
            <w:r>
              <w:rPr>
                <w:color w:val="000000"/>
                <w:spacing w:val="0"/>
                <w:w w:val="100"/>
                <w:position w:val="0"/>
              </w:rPr>
              <w:t>，</w:t>
            </w:r>
            <w:r>
              <w:rPr>
                <w:color w:val="000000"/>
                <w:spacing w:val="0"/>
                <w:w w:val="100"/>
                <w:position w:val="0"/>
              </w:rPr>
              <w:t>创 建快应用。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发板的自主研发，构建了完整的从芯片适配到产品与 解决方案的全栈式鸿蒙能力。也为软通动力做基于 </w:t>
            </w:r>
            <w:r>
              <w:rPr>
                <w:rFonts w:ascii="Times New Roman" w:eastAsia="Times New Roman" w:hAnsi="Times New Roman" w:cs="Times New Roman"/>
                <w:color w:val="000000"/>
                <w:spacing w:val="0"/>
                <w:w w:val="100"/>
                <w:position w:val="0"/>
                <w:sz w:val="18"/>
                <w:szCs w:val="18"/>
              </w:rPr>
              <w:t>OpenHarmony</w:t>
            </w:r>
            <w:r>
              <w:rPr>
                <w:color w:val="000000"/>
                <w:spacing w:val="0"/>
                <w:w w:val="100"/>
                <w:position w:val="0"/>
              </w:rPr>
              <w:t>的商业发行版奠定了基础。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的物联网设备；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、构建基于鸿蒙 系统的应用适配中间层，结合 </w:t>
            </w:r>
            <w:r>
              <w:rPr>
                <w:rFonts w:ascii="Times New Roman" w:eastAsia="Times New Roman" w:hAnsi="Times New Roman" w:cs="Times New Roman"/>
                <w:color w:val="000000"/>
                <w:spacing w:val="0"/>
                <w:w w:val="100"/>
                <w:position w:val="0"/>
                <w:sz w:val="18"/>
                <w:szCs w:val="18"/>
              </w:rPr>
              <w:t>HMS</w:t>
            </w:r>
            <w:r>
              <w:rPr>
                <w:color w:val="000000"/>
                <w:spacing w:val="0"/>
                <w:w w:val="100"/>
                <w:position w:val="0"/>
              </w:rPr>
              <w:t xml:space="preserve">生态服务，构建基于华为 </w:t>
            </w:r>
            <w:r>
              <w:rPr>
                <w:rFonts w:ascii="Times New Roman" w:eastAsia="Times New Roman" w:hAnsi="Times New Roman" w:cs="Times New Roman"/>
                <w:color w:val="000000"/>
                <w:spacing w:val="0"/>
                <w:w w:val="100"/>
                <w:position w:val="0"/>
                <w:sz w:val="18"/>
                <w:szCs w:val="18"/>
              </w:rPr>
              <w:t>"1+8+n"</w:t>
            </w:r>
            <w:r>
              <w:rPr>
                <w:color w:val="000000"/>
                <w:spacing w:val="0"/>
                <w:w w:val="100"/>
                <w:position w:val="0"/>
              </w:rPr>
              <w:t>的全场景能力，使用本项 目提供的中间件，可以快速开发 全场景的应用，提升开发效率。</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软通智核研发 项目（一期）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本项目力图实现在部分</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关键技 术上建立软通动力的核心竞争力， 通过项目研发开发出软通智核这 个自然语言处理服务平台。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按照项目研发计划开展虚拟对话机器人、深度智能问 答架构、领域知识图谱构建等</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核心技术的研究，已 初步完成领域命名实体识别服务和工具、意图识别服 务、领域词典自动生成工具、知识图谱的管理和展示 工具的开发并应用于多个客户的智能客服和知识图谱 项目中。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以提供开放型</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接口的方式向 外提供自然语言处理相关的</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基础技术服务，基于这些基础技 术服务，智能产品的研发者可以 开发出满足市场需求的智能产 品，智能应用的开发者可以开发 出满足客户需求的定制化智能应 用系统。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通过该项目建立软通动力的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核心技术， 特别是</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核心技术平台和相关</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产品 （如智能客服、智能外呼、智能质检等）， 为软通动力协助客户进行智能化转型提供 坚实的技术和产品支持。</w:t>
            </w: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技术 平台工具研发 项目（一期）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w:t>
            </w:r>
            <w:r>
              <w:rPr>
                <w:color w:val="000000"/>
                <w:spacing w:val="0"/>
                <w:w w:val="100"/>
                <w:position w:val="0"/>
              </w:rPr>
              <w:t xml:space="preserve">元宇宙的大环境下， </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 xml:space="preserve">技术平台工具是解决高质 量的内容与应用的关键，降低用户 使用门槛，提高自由编辑、数据采 集、内容创作效率。在游戏、文旅、 社交、商圈可广泛推广与使用，是 </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应用落地的关键技术支撑。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目前已完成软件的架构规划、原型设计、图像识别， 自动拼接，实现了手持便携设备的数据采集、上传、 </w:t>
            </w:r>
            <w:r>
              <w:rPr>
                <w:rFonts w:ascii="Times New Roman" w:eastAsia="Times New Roman" w:hAnsi="Times New Roman" w:cs="Times New Roman"/>
                <w:color w:val="000000"/>
                <w:spacing w:val="0"/>
                <w:w w:val="100"/>
                <w:position w:val="0"/>
                <w:sz w:val="18"/>
                <w:szCs w:val="18"/>
              </w:rPr>
              <w:t>GPS</w:t>
            </w:r>
            <w:r>
              <w:rPr>
                <w:color w:val="000000"/>
                <w:spacing w:val="0"/>
                <w:w w:val="100"/>
                <w:position w:val="0"/>
              </w:rPr>
              <w:t>定位等功能。完成了用户创建、资源加载、模型 库的建设。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技术平台整合</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核心 算法提供运动跟踪、环境跟踪、 人体和人脸跟踪等</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基础能 力，通过这些能力让应用实现虚 拟世界与现实世界的融合，为应 用提供全新的视觉体验和交互方 式。对真实场景图像和计算机生 成的虚拟物体进行无缝合成，目 标是将真实场景和计算机生成的 虚拟物体无缝合成，并最终使观 察者感觉不到真实物体和虚拟物 体的区别。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通过该项目研发，为软通动力创造</w:t>
            </w:r>
            <w:r>
              <w:rPr>
                <w:rFonts w:ascii="Times New Roman" w:eastAsia="Times New Roman" w:hAnsi="Times New Roman" w:cs="Times New Roman"/>
                <w:color w:val="000000"/>
                <w:spacing w:val="0"/>
                <w:w w:val="100"/>
                <w:position w:val="0"/>
                <w:sz w:val="18"/>
                <w:szCs w:val="18"/>
              </w:rPr>
              <w:t xml:space="preserve">AR/VR </w:t>
            </w:r>
            <w:r>
              <w:rPr>
                <w:color w:val="000000"/>
                <w:spacing w:val="0"/>
                <w:w w:val="100"/>
                <w:position w:val="0"/>
              </w:rPr>
              <w:t>领域的关键核心技术，奠定在该领域的坚 实技术基础，助推软通动力元宇宙业务发 展。</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新一代财务公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依托软通动力二十年的财务公司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项目建设内容包括统一客户视图、统一产品管理、统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新一代财务公司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该系统的建设，能够帮助软通动力持续保</w:t>
            </w:r>
          </w:p>
        </w:tc>
      </w:tr>
    </w:tbl>
    <w:p>
      <w:pPr>
        <w:spacing w:lineRule="exact" w:line="1"/>
        <w:rPr>
          <w:sz w:val="2"/>
          <w:szCs w:val="2"/>
        </w:rPr>
      </w:pPr>
      <w:r>
        <w:br w:type="page"/>
      </w:r>
    </w:p>
    <w:tbl>
      <w:tblPr>
        <w:tblOverlap w:val="never"/>
        <w:jc w:val="center"/>
        <w:tblLayout w:type="fixed"/>
      </w:tblPr>
      <w:tblGrid>
        <w:gridCol w:w="1171"/>
        <w:gridCol w:w="2693"/>
        <w:gridCol w:w="4253"/>
        <w:gridCol w:w="2606"/>
        <w:gridCol w:w="3312"/>
      </w:tblGrid>
      <w:tr>
        <w:trPr>
          <w:trHeight w:val="74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主要研发项目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85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司''金融级''核 心业务系统研 发项目（一期）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实施经验，借鉴城商银行的核心业 务系统，进行了适度的前瞻性规划 和持续的研发设计。构建一套符合 当前财务公司发展需要的核心业 务系统。</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一定价管理、统一支付管理、统一安全认证、账户管 理、票据管理、会计引擎和业务流程整合等功能。基 础能力已经设计并验证完成；技术架构层面，在软通 </w:t>
            </w:r>
            <w:r>
              <w:rPr>
                <w:rFonts w:ascii="Times New Roman" w:eastAsia="Times New Roman" w:hAnsi="Times New Roman" w:cs="Times New Roman"/>
                <w:color w:val="000000"/>
                <w:spacing w:val="0"/>
                <w:w w:val="100"/>
                <w:position w:val="0"/>
                <w:sz w:val="18"/>
                <w:szCs w:val="18"/>
              </w:rPr>
              <w:t>iPaaS</w:t>
            </w:r>
            <w:r>
              <w:rPr>
                <w:color w:val="000000"/>
                <w:spacing w:val="0"/>
                <w:w w:val="100"/>
                <w:position w:val="0"/>
              </w:rPr>
              <w:t>平台的基础上已经搭建完成，金融级核心业务系 统需要的前后端组件的已完成封装。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务系统充分利用行业解决方案及 行业实施经验，借鉴城商银行的 核心业务系统，对于原有的财务 公司核心业务系统进行重构，实 现全面提升客户体验、提高业务 效率、强化金融创新能力、降低 企业运营成本、强化风险管控及 保障金融业务运行安全高效等目 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持财务公司的行业的领导者地位，并且能 够持续增加市场份额；借助财务公司业务 从而进一步打开集团层面的合作，助力集 团企业数字化转型的落地。</w:t>
            </w: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新一代保险公 司核心系统整 体解决方案研 发项目（一期）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0"/>
              <w:jc w:val="both"/>
            </w:pPr>
            <w:r>
              <w:rPr>
                <w:color w:val="000000"/>
                <w:spacing w:val="0"/>
                <w:w w:val="100"/>
                <w:position w:val="0"/>
              </w:rPr>
              <w:t>业务目的：满足保险企业业务发展 需求，实现以客户为中心，控制业 务风险，提高业务质量，帮助客户 融入保险新生态。技术目的：帮助 保险企业实现基于新架构信息数 字化转型，统一其应用架构与技术 架构，降本增效。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业务平台：对核心业务平台的部分业务能力与技术架 构进行了升级，业务功能方面，主要完成的是保险线 上化部分的数字化转型功能增强，技术平台方面，主 要包括集成环境组件的升级，前端性能提升，非结构 化数据类型扩展等内容。中台：同时完成了数据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 中台的基础架构设计，产险部分指标的设计与应用能 力输出，车险承保与风控指标集建设，渠道业务部分 能力中台应用开发等。</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 xml:space="preserve">能力：完成了智能双录平台 </w:t>
            </w:r>
            <w:r>
              <w:rPr>
                <w:rFonts w:ascii="Times New Roman" w:eastAsia="Times New Roman" w:hAnsi="Times New Roman" w:cs="Times New Roman"/>
                <w:color w:val="000000"/>
                <w:spacing w:val="0"/>
                <w:w w:val="100"/>
                <w:position w:val="0"/>
                <w:sz w:val="18"/>
                <w:szCs w:val="18"/>
              </w:rPr>
              <w:t>2.75</w:t>
            </w:r>
            <w:r>
              <w:rPr>
                <w:color w:val="000000"/>
                <w:spacing w:val="0"/>
                <w:w w:val="100"/>
                <w:position w:val="0"/>
              </w:rPr>
              <w:t>版本的研发，改进了更多客户端体验流程。信创 能力：完成了意健险核心业务平台（业务平台）和统 一监管数据上报平台（数据平台）的信创适配研发工 作，正在推进对应系统的压力测试和认证工作。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新一代保险公司核心系统整体解 决方案以中台设计为基础，从能 力梳理入手，一方面，促进保险 公司在价值链上下游重新组合企 业核心能力；另一方面，以业务 中台为发力点，深度推动保险企 业数字化转型落地。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形成较完整的保险业务流程平台，建立起 中台支持能力和全域的产品化解决方案， 从而完善整个保险解决方案，提高软通动 力保险解决方案的竞争力。</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银行实时分析 和智能预警平 台升级研发项 目（一期）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为满足银行在数据层面的实时性 要求和对应业务场景的需求，建立 基于新技术下的实时传输、实时计 算以及对应数据挖掘和业务场景 应用，缩短银行客户实现风控、经 营方面的决策周期。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、已完成内存实时计算工具的嵌入和实时计算方案的 设计，完成支撑分析平台的数据治理体系，实现元数 据、质量、安全、服务基本功能；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、完成基于特征值 的深度学习数据挖掘算法，实现对大数据的建模分析;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、完成数据应用的可视化基础工具研发，支持预警、 运营分析等各种场景应用。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通过本次升级，采取微服务、前 后端分离架构，并嵌入整体项目 </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流程；支持容器化部署、 集群和弹性扩展，支持大规模监 控指标数据分析处理；引入图数 据库、流数据管理、知识图谱和</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通过基础平台的持续投入研发，将在银行 业务应用场景发挥较大价值，预计会在数 据类转型中的实时分析和智能分析发挥较 大作用。</w:t>
            </w:r>
          </w:p>
        </w:tc>
      </w:tr>
    </w:tbl>
    <w:p>
      <w:pPr>
        <w:spacing w:lineRule="exact" w:line="1"/>
        <w:rPr>
          <w:sz w:val="2"/>
          <w:szCs w:val="2"/>
        </w:rPr>
      </w:pPr>
      <w:r>
        <w:br w:type="page"/>
      </w:r>
    </w:p>
    <w:tbl>
      <w:tblPr>
        <w:tblOverlap w:val="never"/>
        <w:jc w:val="center"/>
        <w:tblLayout w:type="fixed"/>
      </w:tblPr>
      <w:tblGrid>
        <w:gridCol w:w="1171"/>
        <w:gridCol w:w="2693"/>
        <w:gridCol w:w="4253"/>
        <w:gridCol w:w="2606"/>
        <w:gridCol w:w="3312"/>
      </w:tblGrid>
      <w:tr>
        <w:trPr>
          <w:trHeight w:val="74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主要研发项目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4" w:lineRule="exact"/>
              <w:ind w:left="0" w:right="0" w:firstLine="0"/>
              <w:jc w:val="both"/>
            </w:pPr>
            <w:r>
              <w:rPr>
                <w:color w:val="000000"/>
                <w:spacing w:val="0"/>
                <w:w w:val="100"/>
                <w:position w:val="0"/>
              </w:rPr>
              <w:t>内存计算引擎。提高实施、部署 效率，更好地支撑高并发、大用 户量访问。</w:t>
            </w: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新一代集团企 业资金管理系 统整体解决方 案研发项目</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对资金系统业务场景进行规划梳 理，建设符合国资委要求和市场需 求的资金产品。构建全新的底层支 撑架构，使系统业务功能模块化、 智能化、配置灵活化。设计业务功 能与底层基础架构，增加提升用户 体验性设计，打造好看、好用、功 能强大的资金管理产品。达到覆盖 当前大中小型企业客户的多种资 金管理模式的业务需求与技术需 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集团司库平台完成一期建设，一期方案和产品已有成 功实施案例。</w:t>
            </w:r>
            <w:r>
              <w:rPr>
                <w:rFonts w:ascii="Times New Roman" w:eastAsia="Times New Roman" w:hAnsi="Times New Roman" w:cs="Times New Roman"/>
                <w:color w:val="000000"/>
                <w:spacing w:val="0"/>
                <w:w w:val="100"/>
                <w:position w:val="0"/>
                <w:sz w:val="18"/>
                <w:szCs w:val="18"/>
              </w:rPr>
              <w:t>TSCloud</w:t>
            </w:r>
            <w:r>
              <w:rPr>
                <w:color w:val="000000"/>
                <w:spacing w:val="0"/>
                <w:w w:val="100"/>
                <w:position w:val="0"/>
              </w:rPr>
              <w:t>完成一期建设，并获得三级等 保认证。一期功能在公有云上发布，已经有企业入驻 使用。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、集团司库管理平台将重点以满 足国资委司库管理体系建设意见 的要求为主，尽快完善相关体系 内容，促进中央企业完成集团司 库系统落地建设；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TSCloud</w:t>
            </w:r>
            <w:r>
              <w:rPr>
                <w:color w:val="000000"/>
                <w:spacing w:val="0"/>
                <w:w w:val="100"/>
                <w:position w:val="0"/>
              </w:rPr>
              <w:t>成 长型企业资金云平台，持续为成 长型企业提供收付、融资、投资 业务，打通境内境外、本币外币、 线上线下业务流程，全面满足企 业从内部资金营运到外部资金收 付的业务需求，实现企业财资管 理业务快速升级，达到降本增效 的目标。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提升对超大型企业金融服务能力，巩固软 通动力在财资管理领域的领导地位。建立 针对小微型企业新服务模式，帮助企业数 字化转型，快速占领更多市场份额。</w:t>
            </w: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智能终端技术 解决方案升级 研发项目（一 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打造完整覆盖手机、</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、车机 各类智能终端产品，完整覆盖智能 终端从软件研发、硬件研发、产品 质量保障，到行业应用的端到端、 一体化的技术研发及解决方案。本 次研发项目涵盖智能终端操作系 统及软件特性相关技术研发、硬件 研发设计及验证解决方案、智能终 端自动化测试平台、物联网平台及 行业应用解决方案。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已完成</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接入开发以及云服务相关功能第一阶段 迭代、智能座舱产品设计。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基于智能终端软件、硬件、测试 的技术解决方案升级，涵盖智能 终端操作系统及软件特性相关技 术组件、智能终端应用开发平台、 硬件研发设计及验证工具、终端 产品品质保障、智能终端自动化 测试平台等部分，形成智能终端 领域性的能力覆盖，为智能手机、 智能物联网及其他智能行业提供 更加优质、全面的技术解决方案。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该项目的研发将帮助软通动力在智能终端 领域提升综合技术能力和解决方案能力， 在终端操作系统、软硬件研发、产品品质、 终端实验室等方面构建专项能力，并结合 人工智能等关键技术，提升智能物联网、 智能车联网领域技术能力，最终实现软通 动力在智能终端领域，''成为全球领先的智 能操作系统产品和技术提供商''的目标。</w:t>
            </w:r>
          </w:p>
        </w:tc>
      </w:tr>
      <w:tr>
        <w:trPr>
          <w:trHeight w:val="3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多云管理平台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本系统的建设围绕平台产品体系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多云管理升级分多云管理平台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云原生数据智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构建异构多云管理平台，实现分</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本次建设项目主要针对当下市场需求做出</w:t>
            </w:r>
          </w:p>
        </w:tc>
      </w:tr>
    </w:tbl>
    <w:p>
      <w:pPr>
        <w:spacing w:lineRule="exact" w:line="1"/>
        <w:rPr>
          <w:sz w:val="2"/>
          <w:szCs w:val="2"/>
        </w:rPr>
      </w:pPr>
      <w:r>
        <w:br w:type="page"/>
      </w:r>
    </w:p>
    <w:tbl>
      <w:tblPr>
        <w:tblOverlap w:val="never"/>
        <w:jc w:val="center"/>
        <w:tblLayout w:type="fixed"/>
      </w:tblPr>
      <w:tblGrid>
        <w:gridCol w:w="1171"/>
        <w:gridCol w:w="2693"/>
        <w:gridCol w:w="4253"/>
        <w:gridCol w:w="2606"/>
        <w:gridCol w:w="3312"/>
      </w:tblGrid>
      <w:tr>
        <w:trPr>
          <w:trHeight w:val="74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主要研发项目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48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升级研发项目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及服务体系展开。经过多年的研究 发展，软通动力已建成多云管理系 统，本次项目将在之前基础上，新 增对多个公有云的支持，同时完成 对私有云 </w:t>
            </w:r>
            <w:r>
              <w:rPr>
                <w:rFonts w:ascii="Times New Roman" w:eastAsia="Times New Roman" w:hAnsi="Times New Roman" w:cs="Times New Roman"/>
                <w:color w:val="000000"/>
                <w:spacing w:val="0"/>
                <w:w w:val="100"/>
                <w:position w:val="0"/>
                <w:sz w:val="18"/>
                <w:szCs w:val="18"/>
              </w:rPr>
              <w:t>openstack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zstack</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vmware</w:t>
            </w:r>
            <w:r>
              <w:rPr>
                <w:color w:val="000000"/>
                <w:spacing w:val="0"/>
                <w:w w:val="100"/>
                <w:position w:val="0"/>
              </w:rPr>
              <w:t>的支持，对磁盘快照的管 理（包括备份、恢复），和对公有 云数据库的管理功能增强。本次项 目还将新建云原生数据智能平台 以补充加强软通动力对云上数据 治理和数据服务的能力。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能平台两部分建设内容；多云管理平台已经完成混合 云基础能力版本（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朵公有云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朵私有云）和</w:t>
            </w:r>
            <w:r>
              <w:rPr>
                <w:rFonts w:ascii="Times New Roman" w:eastAsia="Times New Roman" w:hAnsi="Times New Roman" w:cs="Times New Roman"/>
                <w:color w:val="000000"/>
                <w:spacing w:val="0"/>
                <w:w w:val="100"/>
                <w:position w:val="0"/>
                <w:sz w:val="18"/>
                <w:szCs w:val="18"/>
              </w:rPr>
              <w:t>MSP</w:t>
            </w:r>
            <w:r>
              <w:rPr>
                <w:color w:val="000000"/>
                <w:spacing w:val="0"/>
                <w:w w:val="100"/>
                <w:position w:val="0"/>
              </w:rPr>
              <w:t>认 证版本；云原生数据智能平台已经具备了数据处理以 及数据治理的基础能力。</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析（优化资源分配）、资源治理（确 保可预测的控制）、自动化（加速 </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工作流）、架构（实现应 用基础设施的现代化）等关键功 能。帮助客户完成多云纳管、混 合式管理，面对海量主机做到自 动化运维。</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相应产品，软通动力将形成更完整的云服 务解决方案：多云管理平台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 原生数据智能平台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云咨询与专业服务。</w:t>
            </w:r>
          </w:p>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本项目迎合了当前市场需求，顺应了云计 算行业发展趋势，满足了未来企业发展的 战略需求。</w:t>
            </w:r>
          </w:p>
        </w:tc>
      </w:tr>
      <w:tr>
        <w:trPr>
          <w:trHeight w:val="446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iPaaS</w:t>
            </w:r>
            <w:r>
              <w:rPr>
                <w:color w:val="000000"/>
                <w:spacing w:val="0"/>
                <w:w w:val="100"/>
                <w:position w:val="0"/>
              </w:rPr>
              <w:t>通用技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术组件与平台</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升级研发项目</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根据所服务客户的特点及软通动 力服务模式要求，打造本平台，可 高效、高质量地响应与交付客户需 求，并对软通动力技术数字资产进 行积累。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目前已完成基础开发框架和套件升级，涵盖应用网关、 工作流引擎、表单引擎和设计器及数据权限管控等公 共框架和服务能力；完成元模型引擎和模型设计器的 构建和验证，并实现基于模型的前后端代码快速生成。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、聚焦技术中台和研发效能建 设，整合内部技术能力体系、优 化知识资产库。通过开放统一的 技术架构和最佳实践，规范应用 研发建设工作，提升交付质量;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通过公共组件和服务资产库，提 升研发交付过程中组件及解决方 案的复用度，助力加速应用交付 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、通过体系化的服务管控 与治理框架助力进一步构建云化 应用及</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、通过研发 交付一体化、运维智能自动化及 软件质量工程保障机制，进一步 提升研发效能管理。</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、通过本平台可以完成软通动力数字资产 组件级的管理与积累；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、对客户需求可提 升软件交付效率，降低交付成本，保证交 付质量；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、通过数字资产的组件级积累， 在满足自身工作的前提下，也可不断提升 行业技术解决方案成熟度；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、由单一的向 客户做软件开发交付向以帮助客户运营为 目标的研发运维一体化。</w:t>
            </w:r>
          </w:p>
        </w:tc>
      </w:tr>
    </w:tbl>
    <w:p>
      <w:pPr>
        <w:sectPr>
          <w:footnotePr>
            <w:pos w:val="pageBottom"/>
            <w:numFmt w:val="decimal"/>
            <w:numRestart w:val="continuous"/>
          </w:footnotePr>
          <w:pgSz w:w="16840" w:h="11900" w:orient="landscape"/>
          <w:pgMar w:top="1121" w:right="1402" w:bottom="1237" w:left="1402" w:header="0" w:footer="3" w:gutter="0"/>
          <w:cols w:space="720"/>
          <w:noEndnote/>
          <w:rtlGutter w:val="0"/>
          <w:docGrid w:linePitch="360"/>
        </w:sectPr>
      </w:pP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986"/>
        <w:gridCol w:w="1805"/>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54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86"/>
        <w:gridCol w:w="1805"/>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1,040,029,735.54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858,666,588.21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836,514,341.77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38,982,690.17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23,957,468.99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16,678,924.37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416"/>
        <w:gridCol w:w="5530"/>
        <w:gridCol w:w="107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实施进度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技术架 构研发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1,288,610.10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专业服务自动化系统的基础技术架构，采用云原生技术抽象 提炼构建共用组件和框架提高技术复用率，成为软通动力管理系统的 技术架构的支撑。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软通员工共享服务 中心平台研发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2,534,728.38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研发员工企业服务智能终端及城市服务管理平台，采用人工智能、 </w:t>
            </w:r>
            <w:r>
              <w:rPr>
                <w:rFonts w:ascii="Times New Roman" w:eastAsia="Times New Roman" w:hAnsi="Times New Roman" w:cs="Times New Roman"/>
                <w:color w:val="000000"/>
                <w:spacing w:val="0"/>
                <w:w w:val="100"/>
                <w:position w:val="0"/>
                <w:sz w:val="18"/>
                <w:szCs w:val="18"/>
              </w:rPr>
              <w:t>VR/AR</w:t>
            </w:r>
            <w:r>
              <w:rPr>
                <w:color w:val="000000"/>
                <w:spacing w:val="0"/>
                <w:w w:val="100"/>
                <w:position w:val="0"/>
              </w:rPr>
              <w:t>等技术对企业服务场景赋能，提升员工企业服务体验和运营效 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软通人力资源管理 系统研发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5,711,401.47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研发软通动力人力资源入离调转，以及人才招聘、人才地图、绩效管 理、干部管理等各类加强软通动力人力资源管理的系统，采用区块链、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bl>
    <w:p>
      <w:pPr>
        <w:spacing w:lineRule="exact" w:line="1"/>
        <w:rPr>
          <w:sz w:val="2"/>
          <w:szCs w:val="2"/>
        </w:rPr>
      </w:pPr>
      <w:r>
        <w:br w:type="page"/>
      </w:r>
    </w:p>
    <w:tbl>
      <w:tblPr>
        <w:tblOverlap w:val="never"/>
        <w:jc w:val="center"/>
        <w:tblLayout w:type="fixed"/>
      </w:tblPr>
      <w:tblGrid>
        <w:gridCol w:w="1570"/>
        <w:gridCol w:w="1416"/>
        <w:gridCol w:w="5530"/>
        <w:gridCol w:w="107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实施进度</w:t>
            </w:r>
          </w:p>
        </w:tc>
      </w:tr>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大数据、人工智能技术对企业人才供给和管理进行数字化技术赋能， 提升人才能效。</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软通</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专业服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务自动化系统研发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12,725,328.25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专业服务自动化系统，支撑软通动力从商机到回款端到端项 目管理及企业交付能效管控，跟踪管理业绩目标，通过数字化技术驱 动企业运营。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智能化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技术和工具研发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4,281,958.17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研发软通动力</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管理系统需求的智能技术，包括面向自然语言处理 技术、</w:t>
            </w:r>
            <w:r>
              <w:rPr>
                <w:rFonts w:ascii="Times New Roman" w:eastAsia="Times New Roman" w:hAnsi="Times New Roman" w:cs="Times New Roman"/>
                <w:color w:val="000000"/>
                <w:spacing w:val="0"/>
                <w:w w:val="100"/>
                <w:position w:val="0"/>
                <w:sz w:val="18"/>
                <w:szCs w:val="18"/>
              </w:rPr>
              <w:t>RPA</w:t>
            </w:r>
            <w:r>
              <w:rPr>
                <w:color w:val="000000"/>
                <w:spacing w:val="0"/>
                <w:w w:val="100"/>
                <w:position w:val="0"/>
              </w:rPr>
              <w:t>、</w:t>
            </w:r>
            <w:r>
              <w:rPr>
                <w:color w:val="000000"/>
                <w:spacing w:val="0"/>
                <w:w w:val="100"/>
                <w:position w:val="0"/>
              </w:rPr>
              <w:t>数字虚拟人、智能助手等智能技术和工具，赋能管理智能 化。</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bl>
    <w:p>
      <w:pPr>
        <w:widowControl w:val="0"/>
        <w:spacing w:after="79" w:line="1" w:lineRule="exact"/>
      </w:pPr>
    </w:p>
    <w:p>
      <w:pPr>
        <w:pStyle w:val="Style22"/>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本公司在研究开发阶段有足够的技术等相关资源支持且研究开发的内容具有针对性，开发支出能够可靠计量，形成的开 发成果可使用。</w:t>
      </w:r>
    </w:p>
    <w:p>
      <w:pPr>
        <w:pStyle w:val="Style22"/>
        <w:keepNext w:val="0"/>
        <w:keepLines w:val="0"/>
        <w:widowControl w:val="0"/>
        <w:shd w:val="clear" w:color="auto" w:fill="auto"/>
        <w:bidi w:val="0"/>
        <w:spacing w:before="0" w:after="400" w:line="322" w:lineRule="exact"/>
        <w:ind w:left="0" w:right="0" w:firstLine="380"/>
        <w:jc w:val="both"/>
      </w:pPr>
      <w:r>
        <w:rPr>
          <w:color w:val="000000"/>
          <w:spacing w:val="0"/>
          <w:w w:val="100"/>
          <w:position w:val="0"/>
        </w:rPr>
        <w:t>从研发项目立项，项目过程管理到研发项目的结项严格遵守集团研发项目管理制度及资本化项目管理办法。对于此类项 目开发成果可取得知识产权证书。</w:t>
      </w:r>
    </w:p>
    <w:p>
      <w:pPr>
        <w:pStyle w:val="Style33"/>
        <w:keepNext/>
        <w:keepLines/>
        <w:widowControl w:val="0"/>
        <w:shd w:val="clear" w:color="auto" w:fill="auto"/>
        <w:bidi w:val="0"/>
        <w:spacing w:before="0" w:after="40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5</w:t>
      </w:r>
      <w:bookmarkEnd w:id="215"/>
      <w:r>
        <w:rPr>
          <w:color w:val="000000"/>
          <w:spacing w:val="0"/>
          <w:w w:val="100"/>
          <w:position w:val="0"/>
        </w:rPr>
        <w:t>、现金流</w:t>
      </w:r>
      <w:bookmarkEnd w:id="213"/>
      <w:bookmarkEnd w:id="214"/>
      <w:bookmarkEnd w:id="21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16,826,177,729.23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13,678,793,942.21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16,178,970,887.48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12,256,044,559.59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647,206,841.75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1,422,749,382.62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65,197,489.25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1,155,274.69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285,464,177.50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229,721,279.64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-220,266,688.25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-228,566,004.95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3,064,637,146.07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2,631,995,228.37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3,496,090,052.63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-291,995,228.37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-431,452,906.56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128,827,768.38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749,180,048.57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w:t>
            </w:r>
          </w:p>
        </w:tc>
      </w:tr>
    </w:tbl>
    <w:p>
      <w:pPr>
        <w:pStyle w:val="Style22"/>
        <w:keepNext w:val="0"/>
        <w:keepLines w:val="0"/>
        <w:widowControl w:val="0"/>
        <w:shd w:val="clear" w:color="auto" w:fill="auto"/>
        <w:bidi w:val="0"/>
        <w:spacing w:before="0" w:after="120" w:line="324" w:lineRule="exact"/>
        <w:ind w:left="0" w:right="0" w:firstLine="0"/>
        <w:jc w:val="both"/>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tabs>
          <w:tab w:pos="541" w:val="left"/>
        </w:tabs>
        <w:bidi w:val="0"/>
        <w:spacing w:before="0" w:after="0" w:line="322" w:lineRule="exact"/>
        <w:ind w:left="0" w:right="0" w:firstLine="0"/>
        <w:jc w:val="both"/>
      </w:pPr>
      <w:bookmarkStart w:id="217" w:name="bookmark217"/>
      <w:r>
        <w:rPr>
          <w:color w:val="000000"/>
          <w:spacing w:val="0"/>
          <w:w w:val="100"/>
          <w:position w:val="0"/>
        </w:rPr>
        <w:t>（</w:t>
      </w:r>
      <w:bookmarkEnd w:id="2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报告期经营活动现金流出小计较上年同期增长</w:t>
      </w:r>
      <w:r>
        <w:rPr>
          <w:rFonts w:ascii="Times New Roman" w:eastAsia="Times New Roman" w:hAnsi="Times New Roman" w:cs="Times New Roman"/>
          <w:color w:val="000000"/>
          <w:spacing w:val="0"/>
          <w:w w:val="100"/>
          <w:position w:val="0"/>
          <w:sz w:val="18"/>
          <w:szCs w:val="18"/>
        </w:rPr>
        <w:t>32.01%</w:t>
      </w:r>
      <w:r>
        <w:rPr>
          <w:color w:val="000000"/>
          <w:spacing w:val="0"/>
          <w:w w:val="100"/>
          <w:position w:val="0"/>
        </w:rPr>
        <w:t>，主要系本期业务规模扩大，增加投入导致经营支出同比增加所 致。</w:t>
      </w:r>
    </w:p>
    <w:p>
      <w:pPr>
        <w:pStyle w:val="Style22"/>
        <w:keepNext w:val="0"/>
        <w:keepLines w:val="0"/>
        <w:widowControl w:val="0"/>
        <w:shd w:val="clear" w:color="auto" w:fill="auto"/>
        <w:tabs>
          <w:tab w:pos="541" w:val="left"/>
        </w:tabs>
        <w:bidi w:val="0"/>
        <w:spacing w:before="0" w:after="0" w:line="326" w:lineRule="exact"/>
        <w:ind w:left="0" w:right="0" w:firstLine="0"/>
        <w:jc w:val="both"/>
      </w:pPr>
      <w:bookmarkStart w:id="218" w:name="bookmark218"/>
      <w:r>
        <w:rPr>
          <w:color w:val="000000"/>
          <w:spacing w:val="0"/>
          <w:w w:val="100"/>
          <w:position w:val="0"/>
        </w:rPr>
        <w:t>（</w:t>
      </w:r>
      <w:bookmarkEnd w:id="2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报告期经营活动产生的现金流量净额较上年同期下降</w:t>
      </w:r>
      <w:r>
        <w:rPr>
          <w:rFonts w:ascii="Times New Roman" w:eastAsia="Times New Roman" w:hAnsi="Times New Roman" w:cs="Times New Roman"/>
          <w:color w:val="000000"/>
          <w:spacing w:val="0"/>
          <w:w w:val="100"/>
          <w:position w:val="0"/>
          <w:sz w:val="18"/>
          <w:szCs w:val="18"/>
        </w:rPr>
        <w:t>54.51%</w:t>
      </w:r>
      <w:r>
        <w:rPr>
          <w:color w:val="000000"/>
          <w:spacing w:val="0"/>
          <w:w w:val="100"/>
          <w:position w:val="0"/>
        </w:rPr>
        <w:t>，主要系本期业务规模扩大，增加投入导致经营支出同比 增加所致。</w:t>
      </w:r>
    </w:p>
    <w:p>
      <w:pPr>
        <w:pStyle w:val="Style22"/>
        <w:keepNext w:val="0"/>
        <w:keepLines w:val="0"/>
        <w:widowControl w:val="0"/>
        <w:shd w:val="clear" w:color="auto" w:fill="auto"/>
        <w:tabs>
          <w:tab w:pos="445" w:val="left"/>
        </w:tabs>
        <w:bidi w:val="0"/>
        <w:spacing w:before="0" w:after="0" w:line="324" w:lineRule="exact"/>
        <w:ind w:left="0" w:right="0" w:firstLine="0"/>
        <w:jc w:val="both"/>
      </w:pPr>
      <w:bookmarkStart w:id="219" w:name="bookmark219"/>
      <w:r>
        <w:rPr>
          <w:color w:val="000000"/>
          <w:spacing w:val="0"/>
          <w:w w:val="100"/>
          <w:position w:val="0"/>
        </w:rPr>
        <w:t>（</w:t>
      </w:r>
      <w:bookmarkEnd w:id="2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报告期投资活动现金流入小计较上年同期增长</w:t>
      </w:r>
      <w:r>
        <w:rPr>
          <w:rFonts w:ascii="Times New Roman" w:eastAsia="Times New Roman" w:hAnsi="Times New Roman" w:cs="Times New Roman"/>
          <w:color w:val="000000"/>
          <w:spacing w:val="0"/>
          <w:w w:val="100"/>
          <w:position w:val="0"/>
          <w:sz w:val="18"/>
          <w:szCs w:val="18"/>
        </w:rPr>
        <w:t>5,543.46%</w:t>
      </w:r>
      <w:r>
        <w:rPr>
          <w:color w:val="000000"/>
          <w:spacing w:val="0"/>
          <w:w w:val="100"/>
          <w:position w:val="0"/>
        </w:rPr>
        <w:t>，主要系本期收回投资收到的现金增加所致。</w:t>
      </w:r>
    </w:p>
    <w:p>
      <w:pPr>
        <w:pStyle w:val="Style22"/>
        <w:keepNext w:val="0"/>
        <w:keepLines w:val="0"/>
        <w:widowControl w:val="0"/>
        <w:shd w:val="clear" w:color="auto" w:fill="auto"/>
        <w:tabs>
          <w:tab w:pos="445" w:val="left"/>
        </w:tabs>
        <w:bidi w:val="0"/>
        <w:spacing w:before="0" w:after="0" w:line="324" w:lineRule="exact"/>
        <w:ind w:left="0" w:right="0" w:firstLine="0"/>
        <w:jc w:val="both"/>
      </w:pPr>
      <w:bookmarkStart w:id="220" w:name="bookmark220"/>
      <w:r>
        <w:rPr>
          <w:color w:val="000000"/>
          <w:spacing w:val="0"/>
          <w:w w:val="100"/>
          <w:position w:val="0"/>
        </w:rPr>
        <w:t>（</w:t>
      </w:r>
      <w:bookmarkEnd w:id="2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报告期筹资活动产生的现金流量净额增加</w:t>
      </w:r>
      <w:r>
        <w:rPr>
          <w:rFonts w:ascii="Times New Roman" w:eastAsia="Times New Roman" w:hAnsi="Times New Roman" w:cs="Times New Roman"/>
          <w:color w:val="000000"/>
          <w:spacing w:val="0"/>
          <w:w w:val="100"/>
          <w:position w:val="0"/>
          <w:sz w:val="18"/>
          <w:szCs w:val="18"/>
        </w:rPr>
        <w:t>32.32%</w:t>
      </w:r>
      <w:r>
        <w:rPr>
          <w:color w:val="000000"/>
          <w:spacing w:val="0"/>
          <w:w w:val="100"/>
          <w:position w:val="0"/>
        </w:rPr>
        <w:t>，主要系公司上一报告年度支付减资款所致。</w:t>
      </w:r>
    </w:p>
    <w:p>
      <w:pPr>
        <w:pStyle w:val="Style22"/>
        <w:keepNext w:val="0"/>
        <w:keepLines w:val="0"/>
        <w:widowControl w:val="0"/>
        <w:shd w:val="clear" w:color="auto" w:fill="auto"/>
        <w:tabs>
          <w:tab w:pos="445" w:val="left"/>
        </w:tabs>
        <w:bidi w:val="0"/>
        <w:spacing w:before="0" w:after="0" w:line="324" w:lineRule="exact"/>
        <w:ind w:left="0" w:right="0" w:firstLine="0"/>
        <w:jc w:val="both"/>
      </w:pPr>
      <w:bookmarkStart w:id="221" w:name="bookmark221"/>
      <w:r>
        <w:rPr>
          <w:color w:val="000000"/>
          <w:spacing w:val="0"/>
          <w:w w:val="100"/>
          <w:position w:val="0"/>
        </w:rPr>
        <w:t>（</w:t>
      </w:r>
      <w:bookmarkEnd w:id="22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报告期现金及现金等价物净增加额较上年同期下降</w:t>
      </w:r>
      <w:r>
        <w:rPr>
          <w:rFonts w:ascii="Times New Roman" w:eastAsia="Times New Roman" w:hAnsi="Times New Roman" w:cs="Times New Roman"/>
          <w:color w:val="000000"/>
          <w:spacing w:val="0"/>
          <w:w w:val="100"/>
          <w:position w:val="0"/>
          <w:sz w:val="18"/>
          <w:szCs w:val="18"/>
        </w:rPr>
        <w:t>82.8%</w:t>
      </w:r>
      <w:r>
        <w:rPr>
          <w:color w:val="000000"/>
          <w:spacing w:val="0"/>
          <w:w w:val="100"/>
          <w:position w:val="0"/>
        </w:rPr>
        <w:t>，主要系报告期经营活动现金流量减少所致。</w:t>
      </w:r>
    </w:p>
    <w:p>
      <w:pPr>
        <w:pStyle w:val="Style22"/>
        <w:keepNext w:val="0"/>
        <w:keepLines w:val="0"/>
        <w:widowControl w:val="0"/>
        <w:shd w:val="clear" w:color="auto" w:fill="auto"/>
        <w:bidi w:val="0"/>
        <w:spacing w:before="0" w:after="120" w:line="324" w:lineRule="exact"/>
        <w:ind w:left="0" w:right="0" w:firstLine="0"/>
        <w:jc w:val="both"/>
      </w:pPr>
      <w:r>
        <w:rPr>
          <w:color w:val="000000"/>
          <w:spacing w:val="0"/>
          <w:w w:val="100"/>
          <w:position w:val="0"/>
        </w:rPr>
        <w:t>报告期内公司经营活动产生的现金净流量与本年度净利润存在重大差异的原因说明</w:t>
      </w:r>
      <w:r>
        <w:br w:type="page"/>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五</w:t>
      </w:r>
      <w:bookmarkEnd w:id="224"/>
      <w:r>
        <w:rPr>
          <w:color w:val="000000"/>
          <w:spacing w:val="0"/>
          <w:w w:val="100"/>
          <w:position w:val="0"/>
          <w:sz w:val="24"/>
          <w:szCs w:val="24"/>
        </w:rPr>
        <w:t>、非主营业务情况</w:t>
      </w:r>
      <w:bookmarkEnd w:id="222"/>
      <w:bookmarkEnd w:id="223"/>
      <w:bookmarkEnd w:id="22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454"/>
        <w:gridCol w:w="1560"/>
        <w:gridCol w:w="3120"/>
        <w:gridCol w:w="192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-107,102.55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9,417,298.30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存货跌价损失及合同履约成本减值损失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13,776,692.76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主要是人员转签费及政府补助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8,492,974.40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主要是捐赠支出等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156,112,731.13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主要是政府补助及增值税加计抵减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-18,473,212.37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主要是应收账款计提的坏账损失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六</w:t>
      </w:r>
      <w:bookmarkEnd w:id="228"/>
      <w:r>
        <w:rPr>
          <w:color w:val="000000"/>
          <w:spacing w:val="0"/>
          <w:w w:val="100"/>
          <w:position w:val="0"/>
          <w:sz w:val="24"/>
          <w:szCs w:val="24"/>
        </w:rPr>
        <w:t>、资产及负债状况分析</w:t>
      </w:r>
      <w:bookmarkEnd w:id="226"/>
      <w:bookmarkEnd w:id="227"/>
      <w:bookmarkEnd w:id="229"/>
    </w:p>
    <w:p>
      <w:pPr>
        <w:pStyle w:val="Style33"/>
        <w:keepNext/>
        <w:keepLines/>
        <w:widowControl w:val="0"/>
        <w:shd w:val="clear" w:color="auto" w:fill="auto"/>
        <w:bidi w:val="0"/>
        <w:spacing w:before="0" w:after="36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1</w:t>
      </w:r>
      <w:bookmarkEnd w:id="232"/>
      <w:r>
        <w:rPr>
          <w:color w:val="000000"/>
          <w:spacing w:val="0"/>
          <w:w w:val="100"/>
          <w:position w:val="0"/>
        </w:rPr>
        <w:t>、资产构成重大变动情况</w:t>
      </w:r>
      <w:bookmarkEnd w:id="230"/>
      <w:bookmarkEnd w:id="231"/>
      <w:bookmarkEnd w:id="23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560"/>
        <w:gridCol w:w="1416"/>
        <w:gridCol w:w="1560"/>
        <w:gridCol w:w="1277"/>
        <w:gridCol w:w="850"/>
        <w:gridCol w:w="164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2,994,819,890.68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2,868,947,656.46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-2.70%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4,646,284,904.85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3,307,239,160.97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35.92%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主要系报告期公 司业务增长所致。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693,060,205.95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634,309,472.37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投资性房地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11,379,553.23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61,979,554.86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 公司对外出租房 产转为自用所致。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长期股权投 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201,020,576.10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201,127,678.59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730,302,804.96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642,413,087.04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350,703,547.51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167,171,849.22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Arial" w:eastAsia="Arial" w:hAnsi="Arial" w:cs="Arial"/>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主要系执行新租 赁准则新增项目。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2,343,361,209.21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2,193,277,148.49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Arial" w:eastAsia="Arial" w:hAnsi="Arial" w:cs="Arial"/>
                <w:color w:val="000000"/>
                <w:spacing w:val="0"/>
                <w:w w:val="100"/>
                <w:position w:val="0"/>
                <w:sz w:val="18"/>
                <w:szCs w:val="18"/>
              </w:rPr>
              <w:t>23.82%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342,876,731.06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444,737,342.76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4.83%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Arial" w:eastAsia="Arial" w:hAnsi="Arial" w:cs="Arial"/>
                <w:color w:val="000000"/>
                <w:spacing w:val="0"/>
                <w:w w:val="100"/>
                <w:position w:val="0"/>
                <w:sz w:val="18"/>
                <w:szCs w:val="18"/>
              </w:rPr>
              <w:t>-1.57%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560"/>
        <w:gridCol w:w="1416"/>
        <w:gridCol w:w="1560"/>
        <w:gridCol w:w="1277"/>
        <w:gridCol w:w="850"/>
        <w:gridCol w:w="164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3,323,556.80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584,084,581.08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长期借款转入一 年内到期的非流 动负债所致。</w:t>
            </w:r>
          </w:p>
        </w:tc>
      </w:tr>
      <w:tr>
        <w:trPr>
          <w:trHeight w:val="72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375,020,007.88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177,684,162.78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Arial" w:eastAsia="Arial" w:hAnsi="Arial" w:cs="Arial"/>
                <w:color w:val="000000"/>
                <w:spacing w:val="0"/>
                <w:w w:val="100"/>
                <w:position w:val="0"/>
                <w:sz w:val="18"/>
                <w:szCs w:val="18"/>
              </w:rPr>
              <w:t>1.93%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主要系执行新租 赁准则新增项目。</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2</w:t>
      </w:r>
      <w:bookmarkEnd w:id="236"/>
      <w:r>
        <w:rPr>
          <w:color w:val="000000"/>
          <w:spacing w:val="0"/>
          <w:w w:val="100"/>
          <w:position w:val="0"/>
        </w:rPr>
        <w:t>、以公允价值计量的资产和负债</w:t>
      </w:r>
      <w:bookmarkEnd w:id="234"/>
      <w:bookmarkEnd w:id="235"/>
      <w:bookmarkEnd w:id="23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426"/>
        <w:gridCol w:w="710"/>
        <w:gridCol w:w="1133"/>
        <w:gridCol w:w="710"/>
        <w:gridCol w:w="566"/>
        <w:gridCol w:w="1277"/>
        <w:gridCol w:w="1416"/>
        <w:gridCol w:w="1358"/>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60" w:right="0" w:firstLine="0"/>
              <w:jc w:val="left"/>
            </w:pPr>
            <w:r>
              <w:rPr>
                <w:color w:val="000000"/>
                <w:spacing w:val="0"/>
                <w:w w:val="100"/>
                <w:position w:val="0"/>
              </w:rPr>
              <w:t>本期 公允 价值 变动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计提 的减 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 期 购 买 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 金融资产 （不含衍 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 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 益工具投 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Arial" w:eastAsia="Arial" w:hAnsi="Arial" w:cs="Arial"/>
                <w:color w:val="000000"/>
                <w:spacing w:val="0"/>
                <w:w w:val="100"/>
                <w:position w:val="0"/>
                <w:sz w:val="18"/>
                <w:szCs w:val="18"/>
              </w:rPr>
              <w:t>8,694,551.96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4,249,763.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D0D0D"/>
                <w:spacing w:val="0"/>
                <w:w w:val="100"/>
                <w:position w:val="0"/>
                <w:sz w:val="18"/>
                <w:szCs w:val="18"/>
              </w:rPr>
              <w:t>10,396,120.0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D0D0D"/>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2,548,195.25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金融资产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投资性房 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生产性生 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1426"/>
        <w:gridCol w:w="710"/>
        <w:gridCol w:w="1133"/>
        <w:gridCol w:w="710"/>
        <w:gridCol w:w="566"/>
        <w:gridCol w:w="1277"/>
        <w:gridCol w:w="1416"/>
        <w:gridCol w:w="1358"/>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公允 价值 变动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计提 的减 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 期 购 买 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期末数</w:t>
            </w:r>
          </w:p>
        </w:tc>
      </w:tr>
      <w:tr>
        <w:trPr>
          <w:trHeight w:val="102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 融资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20" w:line="240" w:lineRule="auto"/>
              <w:ind w:left="0" w:right="0" w:firstLine="160"/>
              <w:jc w:val="left"/>
              <w:rPr>
                <w:sz w:val="18"/>
                <w:szCs w:val="18"/>
              </w:rPr>
            </w:pPr>
            <w:r>
              <w:rPr>
                <w:rFonts w:ascii="Arial" w:eastAsia="Arial" w:hAnsi="Arial" w:cs="Arial"/>
                <w:color w:val="000000"/>
                <w:spacing w:val="0"/>
                <w:w w:val="100"/>
                <w:position w:val="0"/>
                <w:sz w:val="18"/>
                <w:szCs w:val="18"/>
              </w:rPr>
              <w:t>514,606,032.8</w:t>
            </w:r>
          </w:p>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-345,243,211.5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Arial" w:eastAsia="Arial" w:hAnsi="Arial" w:cs="Arial"/>
                <w:color w:val="000000"/>
                <w:spacing w:val="0"/>
                <w:w w:val="100"/>
                <w:position w:val="0"/>
                <w:sz w:val="18"/>
                <w:szCs w:val="18"/>
              </w:rPr>
              <w:t>169,362,821.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25</w:t>
            </w:r>
          </w:p>
        </w:tc>
      </w:tr>
      <w:tr>
        <w:trPr>
          <w:trHeight w:val="102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60"/>
              <w:jc w:val="left"/>
              <w:rPr>
                <w:sz w:val="18"/>
                <w:szCs w:val="18"/>
              </w:rPr>
            </w:pPr>
            <w:r>
              <w:rPr>
                <w:rFonts w:ascii="Arial" w:eastAsia="Arial" w:hAnsi="Arial" w:cs="Arial"/>
                <w:color w:val="000000"/>
                <w:spacing w:val="0"/>
                <w:w w:val="100"/>
                <w:position w:val="0"/>
                <w:sz w:val="18"/>
                <w:szCs w:val="18"/>
              </w:rPr>
              <w:t>523,300,584.7</w:t>
            </w:r>
          </w:p>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Arial" w:eastAsia="Arial" w:hAnsi="Arial" w:cs="Arial"/>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4,249,763.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Arial" w:eastAsia="Arial" w:hAnsi="Arial" w:cs="Arial"/>
                <w:color w:val="000000"/>
                <w:spacing w:val="0"/>
                <w:w w:val="100"/>
                <w:position w:val="0"/>
                <w:sz w:val="18"/>
                <w:szCs w:val="18"/>
              </w:rPr>
              <w:t>1 0,396,120.0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Arial" w:eastAsia="Arial" w:hAnsi="Arial" w:cs="Arial"/>
                <w:color w:val="000000"/>
                <w:spacing w:val="0"/>
                <w:w w:val="100"/>
                <w:position w:val="0"/>
                <w:sz w:val="18"/>
                <w:szCs w:val="18"/>
              </w:rPr>
              <w:t>-345,243,211.5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80"/>
              <w:jc w:val="left"/>
              <w:rPr>
                <w:sz w:val="18"/>
                <w:szCs w:val="18"/>
              </w:rPr>
            </w:pPr>
            <w:r>
              <w:rPr>
                <w:rFonts w:ascii="Arial" w:eastAsia="Arial" w:hAnsi="Arial" w:cs="Arial"/>
                <w:color w:val="000000"/>
                <w:spacing w:val="0"/>
                <w:w w:val="100"/>
                <w:position w:val="0"/>
                <w:sz w:val="18"/>
                <w:szCs w:val="18"/>
              </w:rPr>
              <w:t>171,911,016.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r>
    </w:tbl>
    <w:p>
      <w:pPr>
        <w:pStyle w:val="Style29"/>
        <w:keepNext w:val="0"/>
        <w:keepLines w:val="0"/>
        <w:widowControl w:val="0"/>
        <w:shd w:val="clear" w:color="auto" w:fill="auto"/>
        <w:bidi w:val="0"/>
        <w:spacing w:before="0" w:after="140" w:line="240" w:lineRule="auto"/>
        <w:ind w:left="91" w:right="0" w:firstLine="0"/>
        <w:jc w:val="left"/>
      </w:pPr>
      <w:r>
        <w:rPr>
          <w:color w:val="000000"/>
          <w:spacing w:val="0"/>
          <w:w w:val="100"/>
          <w:position w:val="0"/>
        </w:rPr>
        <w:t>其他变动的内容</w:t>
      </w:r>
    </w:p>
    <w:p>
      <w:pPr>
        <w:pStyle w:val="Style29"/>
        <w:keepNext w:val="0"/>
        <w:keepLines w:val="0"/>
        <w:widowControl w:val="0"/>
        <w:shd w:val="clear" w:color="auto" w:fill="auto"/>
        <w:bidi w:val="0"/>
        <w:spacing w:before="0" w:after="140" w:line="240" w:lineRule="auto"/>
        <w:ind w:left="91"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91" w:right="0" w:firstLine="0"/>
        <w:jc w:val="left"/>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140" w:line="240" w:lineRule="auto"/>
        <w:ind w:left="91"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widowControl w:val="0"/>
        <w:spacing w:after="399" w:line="1" w:lineRule="exact"/>
      </w:pPr>
    </w:p>
    <w:p>
      <w:pPr>
        <w:pStyle w:val="Style33"/>
        <w:keepNext/>
        <w:keepLines/>
        <w:widowControl w:val="0"/>
        <w:shd w:val="clear" w:color="auto" w:fill="auto"/>
        <w:bidi w:val="0"/>
        <w:spacing w:before="0" w:after="40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3</w:t>
      </w:r>
      <w:bookmarkEnd w:id="240"/>
      <w:r>
        <w:rPr>
          <w:color w:val="000000"/>
          <w:spacing w:val="0"/>
          <w:w w:val="100"/>
          <w:position w:val="0"/>
        </w:rPr>
        <w:t>、截至报告期末的资产权利受限情况</w:t>
      </w:r>
      <w:bookmarkEnd w:id="238"/>
      <w:bookmarkEnd w:id="239"/>
      <w:bookmarkEnd w:id="241"/>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27"/>
        <w:keepNext/>
        <w:keepLines/>
        <w:widowControl w:val="0"/>
        <w:shd w:val="clear" w:color="auto" w:fill="auto"/>
        <w:bidi w:val="0"/>
        <w:spacing w:before="0" w:after="36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七</w:t>
      </w:r>
      <w:bookmarkEnd w:id="244"/>
      <w:r>
        <w:rPr>
          <w:color w:val="000000"/>
          <w:spacing w:val="0"/>
          <w:w w:val="100"/>
          <w:position w:val="0"/>
          <w:sz w:val="24"/>
          <w:szCs w:val="24"/>
        </w:rPr>
        <w:t>、投资状况分析</w:t>
      </w:r>
      <w:bookmarkEnd w:id="242"/>
      <w:bookmarkEnd w:id="243"/>
      <w:bookmarkEnd w:id="245"/>
    </w:p>
    <w:p>
      <w:pPr>
        <w:pStyle w:val="Style33"/>
        <w:keepNext/>
        <w:keepLines/>
        <w:widowControl w:val="0"/>
        <w:shd w:val="clear" w:color="auto" w:fill="auto"/>
        <w:bidi w:val="0"/>
        <w:spacing w:before="0" w:after="36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、总体情况</w:t>
      </w:r>
      <w:bookmarkEnd w:id="246"/>
      <w:bookmarkEnd w:id="247"/>
      <w:bookmarkEnd w:id="249"/>
    </w:p>
    <w:p>
      <w:pPr>
        <w:pStyle w:val="Style29"/>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203,568,771.35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209,822,230.55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-2.98%</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2</w:t>
      </w:r>
      <w:bookmarkEnd w:id="252"/>
      <w:r>
        <w:rPr>
          <w:color w:val="000000"/>
          <w:spacing w:val="0"/>
          <w:w w:val="100"/>
          <w:position w:val="0"/>
        </w:rPr>
        <w:t>、报告期内获取的重大的股权投资情况</w:t>
      </w:r>
      <w:bookmarkEnd w:id="250"/>
      <w:bookmarkEnd w:id="251"/>
      <w:bookmarkEnd w:id="253"/>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both"/>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3</w:t>
      </w:r>
      <w:bookmarkEnd w:id="256"/>
      <w:r>
        <w:rPr>
          <w:color w:val="000000"/>
          <w:spacing w:val="0"/>
          <w:w w:val="100"/>
          <w:position w:val="0"/>
        </w:rPr>
        <w:t>、</w:t>
        <w:tab/>
        <w:t>报告期内正在进行的重大的非股权投资情况</w:t>
      </w:r>
      <w:bookmarkEnd w:id="254"/>
      <w:bookmarkEnd w:id="255"/>
      <w:bookmarkEnd w:id="257"/>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both"/>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4</w:t>
      </w:r>
      <w:bookmarkEnd w:id="260"/>
      <w:r>
        <w:rPr>
          <w:color w:val="000000"/>
          <w:spacing w:val="0"/>
          <w:w w:val="100"/>
          <w:position w:val="0"/>
        </w:rPr>
        <w:t>、</w:t>
        <w:tab/>
        <w:t>以公允价值计量的金融资产</w:t>
      </w:r>
      <w:bookmarkEnd w:id="258"/>
      <w:bookmarkEnd w:id="259"/>
      <w:bookmarkEnd w:id="261"/>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50"/>
        <w:gridCol w:w="1368"/>
        <w:gridCol w:w="936"/>
        <w:gridCol w:w="1358"/>
        <w:gridCol w:w="998"/>
        <w:gridCol w:w="1368"/>
        <w:gridCol w:w="845"/>
        <w:gridCol w:w="1282"/>
        <w:gridCol w:w="950"/>
      </w:tblGrid>
      <w:tr>
        <w:trPr>
          <w:trHeight w:val="9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价值变动</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累计投</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20,704,906.57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-7,760,591.32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10,396,120.00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2,548,195.25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20,704,906.57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Arial" w:eastAsia="Arial" w:hAnsi="Arial" w:cs="Arial"/>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Arial" w:eastAsia="Arial" w:hAnsi="Arial" w:cs="Arial"/>
                <w:color w:val="000000"/>
                <w:spacing w:val="0"/>
                <w:w w:val="100"/>
                <w:position w:val="0"/>
                <w:sz w:val="18"/>
                <w:szCs w:val="18"/>
              </w:rPr>
              <w:t>-7,760,591.32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10,396,120.00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2,548,195.25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bl>
    <w:p>
      <w:pPr>
        <w:widowControl w:val="0"/>
        <w:spacing w:after="679" w:line="1" w:lineRule="exact"/>
      </w:pPr>
    </w:p>
    <w:p>
      <w:pPr>
        <w:pStyle w:val="Style33"/>
        <w:keepNext/>
        <w:keepLines/>
        <w:widowControl w:val="0"/>
        <w:shd w:val="clear" w:color="auto" w:fill="auto"/>
        <w:bidi w:val="0"/>
        <w:spacing w:before="0" w:after="36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5</w:t>
      </w:r>
      <w:bookmarkEnd w:id="264"/>
      <w:r>
        <w:rPr>
          <w:color w:val="000000"/>
          <w:spacing w:val="0"/>
          <w:w w:val="100"/>
          <w:position w:val="0"/>
        </w:rPr>
        <w:t>、募集资金使用情况</w:t>
      </w:r>
      <w:bookmarkEnd w:id="262"/>
      <w:bookmarkEnd w:id="263"/>
      <w:bookmarkEnd w:id="26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八</w:t>
      </w:r>
      <w:bookmarkEnd w:id="268"/>
      <w:r>
        <w:rPr>
          <w:color w:val="000000"/>
          <w:spacing w:val="0"/>
          <w:w w:val="100"/>
          <w:position w:val="0"/>
          <w:sz w:val="24"/>
          <w:szCs w:val="24"/>
        </w:rPr>
        <w:t>、</w:t>
        <w:tab/>
        <w:t>重大资产和股权出售</w:t>
      </w:r>
      <w:bookmarkEnd w:id="266"/>
      <w:bookmarkEnd w:id="267"/>
      <w:bookmarkEnd w:id="269"/>
    </w:p>
    <w:p>
      <w:pPr>
        <w:pStyle w:val="Style33"/>
        <w:keepNext/>
        <w:keepLines/>
        <w:widowControl w:val="0"/>
        <w:shd w:val="clear" w:color="auto" w:fill="auto"/>
        <w:tabs>
          <w:tab w:pos="400" w:val="left"/>
        </w:tabs>
        <w:bidi w:val="0"/>
        <w:spacing w:before="0" w:after="36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w:t>
        <w:tab/>
        <w:t>出售重大资产情况</w:t>
      </w:r>
      <w:bookmarkEnd w:id="270"/>
      <w:bookmarkEnd w:id="271"/>
      <w:bookmarkEnd w:id="27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00" w:val="left"/>
        </w:tabs>
        <w:bidi w:val="0"/>
        <w:spacing w:before="0" w:after="36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w:t>
        <w:tab/>
        <w:t>出售重大股权情况</w:t>
      </w:r>
      <w:bookmarkEnd w:id="274"/>
      <w:bookmarkEnd w:id="275"/>
      <w:bookmarkEnd w:id="277"/>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九</w:t>
      </w:r>
      <w:bookmarkEnd w:id="280"/>
      <w:r>
        <w:rPr>
          <w:color w:val="000000"/>
          <w:spacing w:val="0"/>
          <w:w w:val="100"/>
          <w:position w:val="0"/>
          <w:sz w:val="24"/>
          <w:szCs w:val="24"/>
        </w:rPr>
        <w:t>、</w:t>
        <w:tab/>
        <w:t>主要控股参股公司分析</w:t>
      </w:r>
      <w:bookmarkEnd w:id="278"/>
      <w:bookmarkEnd w:id="279"/>
      <w:bookmarkEnd w:id="28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2"/>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单位：元</w:t>
      </w:r>
    </w:p>
    <w:tbl>
      <w:tblPr>
        <w:tblOverlap w:val="never"/>
        <w:jc w:val="center"/>
        <w:tblLayout w:type="fixed"/>
      </w:tblPr>
      <w:tblGrid>
        <w:gridCol w:w="1061"/>
        <w:gridCol w:w="792"/>
        <w:gridCol w:w="1133"/>
        <w:gridCol w:w="994"/>
        <w:gridCol w:w="141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软通动力技 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信息技术服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5,088,490,812.57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1,622,186,30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9,320,629,79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417,262,723.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389,172,082.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深圳软通动 力信息技术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信息技术服 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2,981,601,656.32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952,035,991. </w:t>
            </w: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5,050,358,24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131,633,699.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132,239,104.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4546"/>
        <w:gridCol w:w="1560"/>
        <w:gridCol w:w="348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报告期内取得和处 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杭州旭天云科技有限公司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依据公司战略布局及业务部署设立，报告期 内进行有序管理，符合公司预期。</w:t>
            </w:r>
          </w:p>
        </w:tc>
      </w:tr>
    </w:tbl>
    <w:tbl>
      <w:tblPr>
        <w:tblOverlap w:val="never"/>
        <w:jc w:val="center"/>
        <w:tblLayout w:type="fixed"/>
      </w:tblPr>
      <w:tblGrid>
        <w:gridCol w:w="4546"/>
        <w:gridCol w:w="1560"/>
        <w:gridCol w:w="3480"/>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德清软通信息技术服务有限公司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依据公司战略布局及业务部署设立，报告期 内进行有序管理，符合公司预期。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TECHNOLOGY POLAND LLC SPOLKA Z</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OGRANICZONA ODPOWIEDZIALNOSCIA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依据公司战略布局及业务部署设立，报告期 内进行有序管理，符合公司预期。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西藏软通动力科技有限公司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依据公司战略布局及业务部署设立，报告期 内进行有序管理，符合公司预期。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西藏软通动力信息技术服务有限公司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依据公司战略布局及业务部署设立，报告期 内进行有序管理，符合公司预期。</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依据公司战略布局及业务部署设立，报告期 内进行有序管理，符合公司预期。</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TECHNOLOGY INDIA PRIVATE 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新设立子公司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依据公司战略布局及业务部署设立，报告期 内进行有序管理，符合公司预期。</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82" w:name="bookmark282"/>
      <w:bookmarkStart w:id="283" w:name="bookmark283"/>
      <w:bookmarkStart w:id="284" w:name="bookmark284"/>
      <w:r>
        <w:rPr>
          <w:color w:val="000000"/>
          <w:spacing w:val="0"/>
          <w:w w:val="100"/>
          <w:position w:val="0"/>
          <w:sz w:val="24"/>
          <w:szCs w:val="24"/>
        </w:rPr>
        <w:t>十、公司控制的结构化主体情况</w:t>
      </w:r>
      <w:bookmarkEnd w:id="282"/>
      <w:bookmarkEnd w:id="283"/>
      <w:bookmarkEnd w:id="284"/>
    </w:p>
    <w:p>
      <w:pPr>
        <w:pStyle w:val="Style22"/>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85" w:name="bookmark285"/>
      <w:bookmarkStart w:id="286" w:name="bookmark286"/>
      <w:bookmarkStart w:id="287" w:name="bookmark287"/>
      <w:r>
        <w:rPr>
          <w:color w:val="000000"/>
          <w:spacing w:val="0"/>
          <w:w w:val="100"/>
          <w:position w:val="0"/>
          <w:sz w:val="24"/>
          <w:szCs w:val="24"/>
        </w:rPr>
        <w:t>十一、公司未来发展的展望</w:t>
      </w:r>
      <w:bookmarkEnd w:id="285"/>
      <w:bookmarkEnd w:id="286"/>
      <w:bookmarkEnd w:id="287"/>
    </w:p>
    <w:p>
      <w:pPr>
        <w:pStyle w:val="Style37"/>
        <w:keepNext/>
        <w:keepLines/>
        <w:widowControl w:val="0"/>
        <w:shd w:val="clear" w:color="auto" w:fill="auto"/>
        <w:bidi w:val="0"/>
        <w:spacing w:before="0" w:after="0" w:line="360" w:lineRule="auto"/>
        <w:ind w:left="0" w:right="0" w:firstLine="360"/>
        <w:jc w:val="both"/>
      </w:pPr>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公司发展战略及经营计划</w:t>
      </w:r>
      <w:bookmarkEnd w:id="288"/>
      <w:bookmarkEnd w:id="289"/>
      <w:bookmarkEnd w:id="290"/>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紧紧围绕国家战略，基于多年深厚的行业沉淀和技术积累，软通动力将聚焦重点大客户，积极发力布局战略新兴行业， 持续强化数字化创新能力，夯实稳健业务基础的同时将把数字化创新业务打造成为新增长引擎。</w:t>
      </w:r>
    </w:p>
    <w:p>
      <w:pPr>
        <w:pStyle w:val="Style37"/>
        <w:keepNext/>
        <w:keepLines/>
        <w:widowControl w:val="0"/>
        <w:shd w:val="clear" w:color="auto" w:fill="auto"/>
        <w:bidi w:val="0"/>
        <w:spacing w:before="0" w:after="0"/>
        <w:ind w:left="0" w:right="0" w:firstLine="360"/>
        <w:jc w:val="both"/>
      </w:pPr>
      <w:bookmarkStart w:id="291" w:name="bookmark291"/>
      <w:bookmarkStart w:id="292" w:name="bookmark292"/>
      <w:bookmarkStart w:id="293" w:name="bookmark293"/>
      <w:r>
        <w:rPr>
          <w:color w:val="000000"/>
          <w:spacing w:val="0"/>
          <w:w w:val="100"/>
          <w:position w:val="0"/>
        </w:rPr>
        <w:t>1.1</w:t>
      </w:r>
      <w:r>
        <w:rPr>
          <w:color w:val="000000"/>
          <w:spacing w:val="0"/>
          <w:w w:val="100"/>
          <w:position w:val="0"/>
        </w:rPr>
        <w:t>做深做强大客户，打造稳健业务基础</w:t>
      </w:r>
      <w:bookmarkEnd w:id="291"/>
      <w:bookmarkEnd w:id="292"/>
      <w:bookmarkEnd w:id="293"/>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大客户是公司业务的基本盘，业务增长是由大客户驱动，为此，软通动力一直坚定不移地贯彻落实大客户发展战略。软 通动力成立了专门的事业部门和中后台组织，整合优势资源，拉通融合，不断提升客户价值。目前，</w:t>
      </w:r>
      <w:r>
        <w:rPr>
          <w:color w:val="000000"/>
          <w:spacing w:val="0"/>
          <w:w w:val="100"/>
          <w:position w:val="0"/>
          <w:sz w:val="18"/>
          <w:szCs w:val="18"/>
        </w:rPr>
        <w:t>TOP</w:t>
      </w:r>
      <w:r>
        <w:rPr>
          <w:color w:val="000000"/>
          <w:spacing w:val="0"/>
          <w:w w:val="100"/>
          <w:position w:val="0"/>
        </w:rPr>
        <w:t>大客户贡献了软通 动力主要的收入，报告期内新增</w:t>
      </w:r>
      <w:r>
        <w:rPr>
          <w:color w:val="000000"/>
          <w:spacing w:val="0"/>
          <w:w w:val="100"/>
          <w:position w:val="0"/>
          <w:sz w:val="18"/>
          <w:szCs w:val="18"/>
        </w:rPr>
        <w:t>1</w:t>
      </w:r>
      <w:r>
        <w:rPr>
          <w:color w:val="000000"/>
          <w:spacing w:val="0"/>
          <w:w w:val="100"/>
          <w:position w:val="0"/>
        </w:rPr>
        <w:t>亿级以上客户</w:t>
      </w:r>
      <w:r>
        <w:rPr>
          <w:color w:val="000000"/>
          <w:spacing w:val="0"/>
          <w:w w:val="100"/>
          <w:position w:val="0"/>
          <w:sz w:val="18"/>
          <w:szCs w:val="18"/>
        </w:rPr>
        <w:t>8</w:t>
      </w:r>
      <w:r>
        <w:rPr>
          <w:color w:val="000000"/>
          <w:spacing w:val="0"/>
          <w:w w:val="100"/>
          <w:position w:val="0"/>
        </w:rPr>
        <w:t>家。在长期的服务过程中，软通动力也和众多大客户建立了持续、稳定、可 信赖的合作伙伴关系，合作类型和合作领域不断延展。来自老客户的可重复性收入持续保持较高比例，保障了业务稳健可持 续增长。</w:t>
      </w:r>
    </w:p>
    <w:p>
      <w:pPr>
        <w:pStyle w:val="Style37"/>
        <w:keepNext/>
        <w:keepLines/>
        <w:widowControl w:val="0"/>
        <w:shd w:val="clear" w:color="auto" w:fill="auto"/>
        <w:bidi w:val="0"/>
        <w:spacing w:before="0" w:after="0"/>
        <w:ind w:left="0" w:right="0" w:firstLine="360"/>
        <w:jc w:val="both"/>
      </w:pPr>
      <w:bookmarkStart w:id="294" w:name="bookmark294"/>
      <w:bookmarkStart w:id="295" w:name="bookmark295"/>
      <w:bookmarkStart w:id="296" w:name="bookmark296"/>
      <w:r>
        <w:rPr>
          <w:color w:val="000000"/>
          <w:spacing w:val="0"/>
          <w:w w:val="100"/>
          <w:position w:val="0"/>
        </w:rPr>
        <w:t>1.2</w:t>
      </w:r>
      <w:r>
        <w:rPr>
          <w:color w:val="000000"/>
          <w:spacing w:val="0"/>
          <w:w w:val="100"/>
          <w:position w:val="0"/>
        </w:rPr>
        <w:t>积极发力布局战略新兴行业</w:t>
      </w:r>
      <w:bookmarkEnd w:id="294"/>
      <w:bookmarkEnd w:id="295"/>
      <w:bookmarkEnd w:id="296"/>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相较传统产业，国家产业政策积极倡导的战略新兴行业历史包袱少，对新技术、新方法、新应用更为敏锐，技术导入也 更为高效顺畅。为此，软通动力在未来的发展中仍将聚焦行业主赛道和朝阳产业，大力拓展金融科技、智能汽车、数字能源、 大健康等战略新兴行业，使之成为公司发展的新增长点。其中：</w:t>
      </w:r>
    </w:p>
    <w:p>
      <w:pPr>
        <w:pStyle w:val="Style37"/>
        <w:keepNext/>
        <w:keepLines/>
        <w:widowControl w:val="0"/>
        <w:shd w:val="clear" w:color="auto" w:fill="auto"/>
        <w:bidi w:val="0"/>
        <w:spacing w:before="0" w:after="0"/>
        <w:ind w:left="0" w:right="0" w:firstLine="360"/>
        <w:jc w:val="both"/>
      </w:pPr>
      <w:bookmarkStart w:id="297" w:name="bookmark297"/>
      <w:bookmarkStart w:id="298" w:name="bookmark298"/>
      <w:bookmarkStart w:id="299" w:name="bookmark299"/>
      <w:r>
        <w:rPr>
          <w:color w:val="000000"/>
          <w:spacing w:val="0"/>
          <w:w w:val="100"/>
          <w:position w:val="0"/>
        </w:rPr>
        <w:t>1.2.1</w:t>
      </w:r>
      <w:r>
        <w:rPr>
          <w:color w:val="000000"/>
          <w:spacing w:val="0"/>
          <w:w w:val="100"/>
          <w:position w:val="0"/>
        </w:rPr>
        <w:t>金融科技领域</w:t>
      </w:r>
      <w:bookmarkEnd w:id="297"/>
      <w:bookmarkEnd w:id="298"/>
      <w:bookmarkEnd w:id="299"/>
    </w:p>
    <w:p>
      <w:pPr>
        <w:pStyle w:val="Style22"/>
        <w:keepNext w:val="0"/>
        <w:keepLines w:val="0"/>
        <w:widowControl w:val="0"/>
        <w:shd w:val="clear" w:color="auto" w:fill="auto"/>
        <w:bidi w:val="0"/>
        <w:spacing w:before="0" w:after="0" w:line="313" w:lineRule="exact"/>
        <w:ind w:left="0" w:right="0"/>
        <w:jc w:val="both"/>
      </w:pPr>
      <w:r>
        <w:rPr>
          <w:color w:val="000000"/>
          <w:spacing w:val="0"/>
          <w:w w:val="100"/>
          <w:position w:val="0"/>
        </w:rPr>
        <w:t>在金融科技领域，数字化是最重要的基因之一，无论在银行、保险等传统金融领域，还是证券、信托、财务公司等泛金 融领域，对数字技术都有天然的敏锐性，行业的数字化赋能也从业务经营电子化、管理流程信息化逐步过渡到客户交互移动 化、业务经营数智化等阶段。未来，软通动力将依托过去积累的银行、保险、证券、财务公司等客户群以及从咨询、开发、 测试、运维、</w:t>
      </w:r>
      <w:r>
        <w:rPr>
          <w:color w:val="000000"/>
          <w:spacing w:val="0"/>
          <w:w w:val="100"/>
          <w:position w:val="0"/>
          <w:sz w:val="18"/>
          <w:szCs w:val="18"/>
        </w:rPr>
        <w:t>BI</w:t>
      </w:r>
      <w:r>
        <w:rPr>
          <w:color w:val="000000"/>
          <w:spacing w:val="0"/>
          <w:w w:val="100"/>
          <w:position w:val="0"/>
        </w:rPr>
        <w:t>包括数据分析等一系列的服务能力，立足数字经济时代，围绕行业“产业金融、普惠金融、绿色金融、科创 金融”的目标，与客户共同推进金融科技在金融基础设施、数字货币、私人银行和财富管理、供应链金融、绿色金融、普惠 金融等领域的深度应用，实现金融基础设施的能级跃迁和业务经营的精细化管控，促进金融与科技融合创新发展。</w:t>
      </w:r>
    </w:p>
    <w:p>
      <w:pPr>
        <w:pStyle w:val="Style22"/>
        <w:keepNext w:val="0"/>
        <w:keepLines w:val="0"/>
        <w:widowControl w:val="0"/>
        <w:shd w:val="clear" w:color="auto" w:fill="auto"/>
        <w:bidi w:val="0"/>
        <w:spacing w:before="0" w:after="0" w:line="312" w:lineRule="exact"/>
        <w:ind w:left="0" w:right="0"/>
        <w:jc w:val="both"/>
      </w:pPr>
      <w:r>
        <w:rPr>
          <w:b/>
          <w:bCs/>
          <w:color w:val="000000"/>
          <w:spacing w:val="0"/>
          <w:w w:val="100"/>
          <w:position w:val="0"/>
        </w:rPr>
        <w:t>1.2.2</w:t>
      </w:r>
      <w:r>
        <w:rPr>
          <w:b/>
          <w:bCs/>
          <w:color w:val="000000"/>
          <w:spacing w:val="0"/>
          <w:w w:val="100"/>
          <w:position w:val="0"/>
        </w:rPr>
        <w:t>智能汽车领域</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未来智能汽车行业非常具有潜力，尤其在新能源、智能网联、自动驾驶等领域会有长足发展。在汽车行业，软通动力积 累了很多行业客户，包括传统的汽车厂商、零部件供应商、新兴造车势力等，已经形成比较好的客户基础。目前，利用数字 技术和产品创新研发能力，软通动力已经参与到诸如智能座舱、自动驾驶、车联网等领域。未来，软通动力将持续在这些领 域发力，整合并拉通公司核心技术能力、业务能力、服务能力以及关键战略资源，在智能汽车行业全产业链各关键环节卡位 布局，构建软通动力在智能汽车数字技术服务领域的核心竞争力，推动智能汽车产业发展。具体包括三个方向：一是智能汽 车车载终端的研发，包括车载设备的智能化和数字化，例如智能座舱、智能驾驶舱的设计和开发、车机驱动开发等；二是基 于物联网的</w:t>
      </w:r>
      <w:r>
        <w:rPr>
          <w:color w:val="000000"/>
          <w:spacing w:val="0"/>
          <w:w w:val="100"/>
          <w:position w:val="0"/>
          <w:sz w:val="18"/>
          <w:szCs w:val="18"/>
        </w:rPr>
        <w:t>IoT</w:t>
      </w:r>
      <w:r>
        <w:rPr>
          <w:color w:val="000000"/>
          <w:spacing w:val="0"/>
          <w:w w:val="100"/>
          <w:position w:val="0"/>
        </w:rPr>
        <w:t>能力和</w:t>
      </w:r>
      <w:r>
        <w:rPr>
          <w:color w:val="000000"/>
          <w:spacing w:val="0"/>
          <w:w w:val="100"/>
          <w:position w:val="0"/>
          <w:sz w:val="18"/>
          <w:szCs w:val="18"/>
        </w:rPr>
        <w:t>5G</w:t>
      </w:r>
      <w:r>
        <w:rPr>
          <w:color w:val="000000"/>
          <w:spacing w:val="0"/>
          <w:w w:val="100"/>
          <w:position w:val="0"/>
        </w:rPr>
        <w:t>通信能力提供车辆的智能网联服务，例如设备与设备、设备与云、设备与人之间的通讯和信息交互 服务，包括车辆的实时数据的共享，位置、路面状态信息的交互与处理；三是围绕智能汽车与人的服务，帮助车企建设多触 点全流程数字营销服务，实现从产品咨询、选车、购车、使用、售后、保养、置换的全流程服务。</w:t>
      </w:r>
    </w:p>
    <w:p>
      <w:pPr>
        <w:pStyle w:val="Style37"/>
        <w:keepNext/>
        <w:keepLines/>
        <w:widowControl w:val="0"/>
        <w:shd w:val="clear" w:color="auto" w:fill="auto"/>
        <w:bidi w:val="0"/>
        <w:spacing w:before="0" w:after="0"/>
        <w:ind w:left="0" w:right="0" w:firstLine="360"/>
        <w:jc w:val="left"/>
      </w:pPr>
      <w:bookmarkStart w:id="300" w:name="bookmark300"/>
      <w:bookmarkStart w:id="301" w:name="bookmark301"/>
      <w:bookmarkStart w:id="302" w:name="bookmark302"/>
      <w:r>
        <w:rPr>
          <w:color w:val="000000"/>
          <w:spacing w:val="0"/>
          <w:w w:val="100"/>
          <w:position w:val="0"/>
        </w:rPr>
        <w:t>1.2.3</w:t>
      </w:r>
      <w:r>
        <w:rPr>
          <w:color w:val="000000"/>
          <w:spacing w:val="0"/>
          <w:w w:val="100"/>
          <w:position w:val="0"/>
        </w:rPr>
        <w:t>数字能源领域</w:t>
      </w:r>
      <w:bookmarkEnd w:id="300"/>
      <w:bookmarkEnd w:id="301"/>
      <w:bookmarkEnd w:id="302"/>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在国家双碳战略下，加快推动能源绿色低碳转型是大势所趋，数字能源行业大有可为。对数字技术服务商而言，分布式 能源、新兴电力系统、新型储能技术等方面具有广阔的市场空间。目前，软通动力已经为四大国家发电集团，两大国家电网 集团以及石油公司、能源公司提供各种数字化服务，有着良好的客户基础。未来，软通动力将抓住“双碳”和“东数西算” 的发展机遇，加大资源投入，加快人工智能、云计算、区块链、物联网、大数据等新一代数字技术和能源产业的融合发展。 通过和战略合作伙伴以及能源头部企业的合作，实现优势互补，共同推进能源产业数字化升级，建设更数字化、自动化、网 络化的能源基础设施，在能源生产、能源调度、能源运输、能源交易等环节推动能源行业的数字化变革。</w:t>
      </w:r>
    </w:p>
    <w:p>
      <w:pPr>
        <w:pStyle w:val="Style37"/>
        <w:keepNext/>
        <w:keepLines/>
        <w:widowControl w:val="0"/>
        <w:shd w:val="clear" w:color="auto" w:fill="auto"/>
        <w:bidi w:val="0"/>
        <w:spacing w:before="0" w:after="0"/>
        <w:ind w:left="0" w:right="0" w:firstLine="360"/>
        <w:jc w:val="both"/>
      </w:pPr>
      <w:bookmarkStart w:id="303" w:name="bookmark303"/>
      <w:bookmarkStart w:id="304" w:name="bookmark304"/>
      <w:bookmarkStart w:id="305" w:name="bookmark305"/>
      <w:r>
        <w:rPr>
          <w:color w:val="000000"/>
          <w:spacing w:val="0"/>
          <w:w w:val="100"/>
          <w:position w:val="0"/>
        </w:rPr>
        <w:t>1.3</w:t>
      </w:r>
      <w:r>
        <w:rPr>
          <w:color w:val="000000"/>
          <w:spacing w:val="0"/>
          <w:w w:val="100"/>
          <w:position w:val="0"/>
        </w:rPr>
        <w:t>强化数字化创新能力</w:t>
      </w:r>
      <w:bookmarkEnd w:id="303"/>
      <w:bookmarkEnd w:id="304"/>
      <w:bookmarkEnd w:id="305"/>
    </w:p>
    <w:p>
      <w:pPr>
        <w:pStyle w:val="Style37"/>
        <w:keepNext/>
        <w:keepLines/>
        <w:widowControl w:val="0"/>
        <w:shd w:val="clear" w:color="auto" w:fill="auto"/>
        <w:bidi w:val="0"/>
        <w:spacing w:before="0" w:after="0"/>
        <w:ind w:left="0" w:right="0" w:firstLine="360"/>
        <w:jc w:val="both"/>
      </w:pPr>
      <w:bookmarkStart w:id="303" w:name="bookmark303"/>
      <w:bookmarkStart w:id="304" w:name="bookmark304"/>
      <w:bookmarkStart w:id="306" w:name="bookmark306"/>
      <w:r>
        <w:rPr>
          <w:color w:val="000000"/>
          <w:spacing w:val="0"/>
          <w:w w:val="100"/>
          <w:position w:val="0"/>
        </w:rPr>
        <w:t>1.3.1</w:t>
      </w:r>
      <w:r>
        <w:rPr>
          <w:color w:val="000000"/>
          <w:spacing w:val="0"/>
          <w:w w:val="100"/>
          <w:position w:val="0"/>
        </w:rPr>
        <w:t>咨询和解决方案</w:t>
      </w:r>
      <w:bookmarkEnd w:id="303"/>
      <w:bookmarkEnd w:id="304"/>
      <w:bookmarkEnd w:id="306"/>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做强做深做优咨询和解决方案能力，继续秉持用专业的方法提升数字化效率的理念，建立完善的“行业线+能力线”服 务体系，重点为以央国企为代表的的大型集团客户提供数字化转型咨询和解决方案服务。以数字化理念为引导，以新兴的数 字化技术为支撑，以领先的业务咨询、系统设计和实施方案为抓手，为企业的数字化转型提供全栈式解决方案，让客户真正 体会数字化转型带来的价值。</w:t>
      </w:r>
    </w:p>
    <w:p>
      <w:pPr>
        <w:pStyle w:val="Style37"/>
        <w:keepNext/>
        <w:keepLines/>
        <w:widowControl w:val="0"/>
        <w:shd w:val="clear" w:color="auto" w:fill="auto"/>
        <w:bidi w:val="0"/>
        <w:spacing w:before="0" w:after="0"/>
        <w:ind w:left="0" w:right="0" w:firstLine="360"/>
        <w:jc w:val="both"/>
      </w:pPr>
      <w:bookmarkStart w:id="307" w:name="bookmark307"/>
      <w:bookmarkStart w:id="308" w:name="bookmark308"/>
      <w:bookmarkStart w:id="309" w:name="bookmark309"/>
      <w:r>
        <w:rPr>
          <w:color w:val="000000"/>
          <w:spacing w:val="0"/>
          <w:w w:val="100"/>
          <w:position w:val="0"/>
        </w:rPr>
        <w:t>1.3.2</w:t>
      </w:r>
      <w:r>
        <w:rPr>
          <w:color w:val="000000"/>
          <w:spacing w:val="0"/>
          <w:w w:val="100"/>
          <w:position w:val="0"/>
        </w:rPr>
        <w:t>云智能服务</w:t>
      </w:r>
      <w:bookmarkEnd w:id="307"/>
      <w:bookmarkEnd w:id="308"/>
      <w:bookmarkEnd w:id="309"/>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不断提升云智能服务能力，打造软通动力多云管理和云原生解决方案，构建从咨询、开发、迁移、运维到网络安全的全 方位云服务能力，为客户提供端到端的云智能服务，帮助中国企业加速上云之路，实现数智化转型。</w:t>
      </w:r>
    </w:p>
    <w:p>
      <w:pPr>
        <w:pStyle w:val="Style37"/>
        <w:keepNext/>
        <w:keepLines/>
        <w:widowControl w:val="0"/>
        <w:shd w:val="clear" w:color="auto" w:fill="auto"/>
        <w:bidi w:val="0"/>
        <w:spacing w:before="0" w:after="0"/>
        <w:ind w:left="0" w:right="0" w:firstLine="360"/>
        <w:jc w:val="both"/>
      </w:pPr>
      <w:bookmarkStart w:id="310" w:name="bookmark310"/>
      <w:bookmarkStart w:id="311" w:name="bookmark311"/>
      <w:bookmarkStart w:id="312" w:name="bookmark312"/>
      <w:r>
        <w:rPr>
          <w:color w:val="000000"/>
          <w:spacing w:val="0"/>
          <w:w w:val="100"/>
          <w:position w:val="0"/>
        </w:rPr>
        <w:t>1.3.3</w:t>
      </w:r>
      <w:r>
        <w:rPr>
          <w:color w:val="000000"/>
          <w:spacing w:val="0"/>
          <w:w w:val="100"/>
          <w:position w:val="0"/>
        </w:rPr>
        <w:t>智能终端的数字化服务</w:t>
      </w:r>
      <w:bookmarkEnd w:id="310"/>
      <w:bookmarkEnd w:id="311"/>
      <w:bookmarkEnd w:id="312"/>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夯实并提升软通动力在智能终端核心技术、芯片方案以及数字技术服务领域的核心竞争力，在智能终端全产业链各关键 环节卡位和业务拓展。沿着产业新兴技术的演进，与生态合作伙伴一起加速推动相关垂直领域的产业创新和数字化应用，提 供涵盖软硬件、行业解决方案、人才供给的全栈式服务，助力移动互联网产业链终端设备制造商、芯片商、运营商、移动互 联网服务商持续进行产品与服务创新，共赢</w:t>
      </w:r>
      <w:r>
        <w:rPr>
          <w:color w:val="000000"/>
          <w:spacing w:val="0"/>
          <w:w w:val="100"/>
          <w:position w:val="0"/>
          <w:sz w:val="18"/>
          <w:szCs w:val="18"/>
        </w:rPr>
        <w:t>5G</w:t>
      </w:r>
      <w:r>
        <w:rPr>
          <w:color w:val="000000"/>
          <w:spacing w:val="0"/>
          <w:w w:val="100"/>
          <w:position w:val="0"/>
        </w:rPr>
        <w:t>时代智能终端的广阔市场。</w:t>
      </w:r>
    </w:p>
    <w:p>
      <w:pPr>
        <w:pStyle w:val="Style37"/>
        <w:keepNext/>
        <w:keepLines/>
        <w:widowControl w:val="0"/>
        <w:shd w:val="clear" w:color="auto" w:fill="auto"/>
        <w:bidi w:val="0"/>
        <w:spacing w:before="0" w:after="0"/>
        <w:ind w:left="0" w:right="0" w:firstLine="360"/>
        <w:jc w:val="both"/>
      </w:pPr>
      <w:bookmarkStart w:id="313" w:name="bookmark313"/>
      <w:bookmarkStart w:id="314" w:name="bookmark314"/>
      <w:bookmarkStart w:id="315" w:name="bookmark315"/>
      <w:r>
        <w:rPr>
          <w:color w:val="000000"/>
          <w:spacing w:val="0"/>
          <w:w w:val="100"/>
          <w:position w:val="0"/>
        </w:rPr>
        <w:t>1.3.4</w:t>
      </w:r>
      <w:r>
        <w:rPr>
          <w:color w:val="000000"/>
          <w:spacing w:val="0"/>
          <w:w w:val="100"/>
          <w:position w:val="0"/>
        </w:rPr>
        <w:t>工业互联网</w:t>
      </w:r>
      <w:bookmarkEnd w:id="313"/>
      <w:bookmarkEnd w:id="314"/>
      <w:bookmarkEnd w:id="315"/>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围绕国家战略，凭借多年深厚的技术沉淀、能力积累和行业基础，整合软通动力内部现有工业互联网能力，聚焦工业互 联网赛道，赋能工业制造领域高质量发展。以</w:t>
      </w:r>
      <w:r>
        <w:rPr>
          <w:color w:val="000000"/>
          <w:spacing w:val="0"/>
          <w:w w:val="100"/>
          <w:position w:val="0"/>
          <w:sz w:val="18"/>
          <w:szCs w:val="18"/>
        </w:rPr>
        <w:t>5G</w:t>
      </w:r>
      <w:r>
        <w:rPr>
          <w:color w:val="000000"/>
          <w:spacing w:val="0"/>
          <w:w w:val="100"/>
          <w:position w:val="0"/>
        </w:rPr>
        <w:t>、云计算、大数据、数字孪生等技术为基础，积极构建“云-边-端”的技 术服务能力，通过重构行业的产业链和价值链，推动传统企业向智能化、数字化方向进化。</w:t>
      </w:r>
    </w:p>
    <w:p>
      <w:pPr>
        <w:pStyle w:val="Style37"/>
        <w:keepNext/>
        <w:keepLines/>
        <w:widowControl w:val="0"/>
        <w:shd w:val="clear" w:color="auto" w:fill="auto"/>
        <w:bidi w:val="0"/>
        <w:spacing w:before="0" w:after="0"/>
        <w:ind w:left="0" w:right="0" w:firstLine="360"/>
        <w:jc w:val="both"/>
      </w:pPr>
      <w:bookmarkStart w:id="316" w:name="bookmark316"/>
      <w:bookmarkStart w:id="317" w:name="bookmark317"/>
      <w:bookmarkStart w:id="318" w:name="bookmark318"/>
      <w:r>
        <w:rPr>
          <w:color w:val="000000"/>
          <w:spacing w:val="0"/>
          <w:w w:val="100"/>
          <w:position w:val="0"/>
        </w:rPr>
        <w:t>1.3.5</w:t>
      </w:r>
      <w:r>
        <w:rPr>
          <w:color w:val="000000"/>
          <w:spacing w:val="0"/>
          <w:w w:val="100"/>
          <w:position w:val="0"/>
        </w:rPr>
        <w:t>信创及开源鸿蒙/欧拉</w:t>
      </w:r>
      <w:bookmarkEnd w:id="316"/>
      <w:bookmarkEnd w:id="317"/>
      <w:bookmarkEnd w:id="318"/>
    </w:p>
    <w:p>
      <w:pPr>
        <w:pStyle w:val="Style22"/>
        <w:keepNext w:val="0"/>
        <w:keepLines w:val="0"/>
        <w:widowControl w:val="0"/>
        <w:shd w:val="clear" w:color="auto" w:fill="auto"/>
        <w:bidi w:val="0"/>
        <w:spacing w:before="0" w:after="0" w:line="310" w:lineRule="exact"/>
        <w:ind w:left="0" w:right="0"/>
        <w:jc w:val="both"/>
      </w:pPr>
      <w:r>
        <w:rPr>
          <w:color w:val="000000"/>
          <w:spacing w:val="0"/>
          <w:w w:val="100"/>
          <w:position w:val="0"/>
        </w:rPr>
        <w:t>紧密围绕华为的开源平台，从服务器端的欧拉，到物联网端的鸿蒙，再到数据库高斯以及可信云，打造软通动力自身的 行业信创产品和服务体系。积极探索鸿蒙商业发行版，结合</w:t>
      </w:r>
      <w:r>
        <w:rPr>
          <w:color w:val="000000"/>
          <w:spacing w:val="0"/>
          <w:w w:val="100"/>
          <w:position w:val="0"/>
          <w:sz w:val="18"/>
          <w:szCs w:val="18"/>
        </w:rPr>
        <w:t>5G</w:t>
      </w:r>
      <w:r>
        <w:rPr>
          <w:color w:val="000000"/>
          <w:spacing w:val="0"/>
          <w:w w:val="100"/>
          <w:position w:val="0"/>
        </w:rPr>
        <w:t>、</w:t>
      </w:r>
      <w:r>
        <w:rPr>
          <w:color w:val="000000"/>
          <w:spacing w:val="0"/>
          <w:w w:val="100"/>
          <w:position w:val="0"/>
        </w:rPr>
        <w:t>云和行业场景特性，聚焦优势领域，打造受市场欢迎的软通 鸿蒙生态解决方案，加速鸿蒙生态的商业化推广。从而推动自主创新发展，依靠创新提高发展质量，为建设科技强国贡献力 量。</w:t>
      </w:r>
    </w:p>
    <w:p>
      <w:pPr>
        <w:pStyle w:val="Style37"/>
        <w:keepNext/>
        <w:keepLines/>
        <w:widowControl w:val="0"/>
        <w:numPr>
          <w:ilvl w:val="0"/>
          <w:numId w:val="3"/>
        </w:numPr>
        <w:shd w:val="clear" w:color="auto" w:fill="auto"/>
        <w:bidi w:val="0"/>
        <w:spacing w:before="0" w:after="0"/>
        <w:ind w:left="0" w:right="0" w:firstLine="360"/>
        <w:jc w:val="both"/>
      </w:pPr>
      <w:bookmarkStart w:id="319" w:name="bookmark319"/>
      <w:bookmarkStart w:id="320" w:name="bookmark320"/>
      <w:bookmarkStart w:id="321" w:name="bookmark321"/>
      <w:bookmarkStart w:id="322" w:name="bookmark322"/>
      <w:bookmarkEnd w:id="321"/>
      <w:r>
        <w:rPr>
          <w:color w:val="000000"/>
          <w:spacing w:val="0"/>
          <w:w w:val="100"/>
          <w:position w:val="0"/>
        </w:rPr>
        <w:t>可能面对的风险</w:t>
      </w:r>
      <w:bookmarkEnd w:id="319"/>
      <w:bookmarkEnd w:id="320"/>
      <w:bookmarkEnd w:id="322"/>
    </w:p>
    <w:p>
      <w:pPr>
        <w:pStyle w:val="Style37"/>
        <w:keepNext/>
        <w:keepLines/>
        <w:widowControl w:val="0"/>
        <w:shd w:val="clear" w:color="auto" w:fill="auto"/>
        <w:bidi w:val="0"/>
        <w:spacing w:before="0" w:after="0"/>
        <w:ind w:left="0" w:right="0" w:firstLine="360"/>
        <w:jc w:val="both"/>
      </w:pPr>
      <w:bookmarkStart w:id="319" w:name="bookmark319"/>
      <w:bookmarkStart w:id="320" w:name="bookmark320"/>
      <w:bookmarkStart w:id="323" w:name="bookmark323"/>
      <w:r>
        <w:rPr>
          <w:color w:val="000000"/>
          <w:spacing w:val="0"/>
          <w:w w:val="100"/>
          <w:position w:val="0"/>
        </w:rPr>
        <w:t>2.1</w:t>
      </w:r>
      <w:r>
        <w:rPr>
          <w:color w:val="000000"/>
          <w:spacing w:val="0"/>
          <w:w w:val="100"/>
          <w:position w:val="0"/>
        </w:rPr>
        <w:t>新冠疫情的风险：</w:t>
      </w:r>
      <w:bookmarkEnd w:id="319"/>
      <w:bookmarkEnd w:id="320"/>
      <w:bookmarkEnd w:id="323"/>
    </w:p>
    <w:p>
      <w:pPr>
        <w:pStyle w:val="Style22"/>
        <w:keepNext w:val="0"/>
        <w:keepLines w:val="0"/>
        <w:widowControl w:val="0"/>
        <w:shd w:val="clear" w:color="auto" w:fill="auto"/>
        <w:bidi w:val="0"/>
        <w:spacing w:before="0" w:line="312" w:lineRule="exact"/>
        <w:ind w:left="0" w:right="0"/>
        <w:jc w:val="both"/>
      </w:pPr>
      <w:r>
        <w:rPr>
          <w:color w:val="000000"/>
          <w:spacing w:val="0"/>
          <w:w w:val="100"/>
          <w:position w:val="0"/>
        </w:rPr>
        <w:t xml:space="preserve">目前疫情处于复杂性、反复性的严峻挑战，软通动力将持续关注其发展，评估和积极应对疫情可能对公司业务开展所产 </w:t>
      </w:r>
      <w:r>
        <w:rPr>
          <w:color w:val="000000"/>
          <w:spacing w:val="0"/>
          <w:w w:val="100"/>
          <w:position w:val="0"/>
        </w:rPr>
        <w:t>生的影响，在确保员工和客户安全、健康的前提下，积极、有序的开展各项生产经营工作。若未来国内疫情持续，将可能对 公司的业务经营产生一定的不利影响。</w:t>
      </w:r>
    </w:p>
    <w:p>
      <w:pPr>
        <w:pStyle w:val="Style37"/>
        <w:keepNext/>
        <w:keepLines/>
        <w:widowControl w:val="0"/>
        <w:shd w:val="clear" w:color="auto" w:fill="auto"/>
        <w:bidi w:val="0"/>
        <w:spacing w:before="0" w:after="40"/>
        <w:ind w:left="0" w:right="0" w:firstLine="360"/>
        <w:jc w:val="both"/>
      </w:pPr>
      <w:bookmarkStart w:id="324" w:name="bookmark324"/>
      <w:bookmarkStart w:id="325" w:name="bookmark325"/>
      <w:bookmarkStart w:id="326" w:name="bookmark326"/>
      <w:r>
        <w:rPr>
          <w:color w:val="000000"/>
          <w:spacing w:val="0"/>
          <w:w w:val="100"/>
          <w:position w:val="0"/>
        </w:rPr>
        <w:t>2.2</w:t>
      </w:r>
      <w:r>
        <w:rPr>
          <w:color w:val="000000"/>
          <w:spacing w:val="0"/>
          <w:w w:val="100"/>
          <w:position w:val="0"/>
        </w:rPr>
        <w:t>人力成本上升和规模持续扩张带来的管理风险：</w:t>
      </w:r>
      <w:bookmarkEnd w:id="324"/>
      <w:bookmarkEnd w:id="325"/>
      <w:bookmarkEnd w:id="326"/>
    </w:p>
    <w:p>
      <w:pPr>
        <w:pStyle w:val="Style22"/>
        <w:keepNext w:val="0"/>
        <w:keepLines w:val="0"/>
        <w:widowControl w:val="0"/>
        <w:shd w:val="clear" w:color="auto" w:fill="auto"/>
        <w:bidi w:val="0"/>
        <w:spacing w:before="0" w:line="310" w:lineRule="exact"/>
        <w:ind w:left="0" w:right="0"/>
        <w:jc w:val="both"/>
      </w:pPr>
      <w:r>
        <w:rPr>
          <w:color w:val="000000"/>
          <w:spacing w:val="0"/>
          <w:w w:val="100"/>
          <w:position w:val="0"/>
        </w:rPr>
        <w:t>软件和信息技术服务行业属于人力资源密集、人力成本相对比较高的产业，职工薪酬是软通动力营业成本及期间费用的 最主要支出，对公司经营影响显著。软通动力将不断完善组织、干部与人力资源体系，持续以价值链为导向，完善生态交付 平台，降低资源供给周期，重视自身数字化建设，坚持效益为先，精益运营。但随着公司规模的持续扩张，员工规模增加， 将对公司经营管理提出更高的要求和挑战；同时，如未来人力成本上升，也将对公司的业务经营产生一定的不利影响。</w:t>
      </w:r>
    </w:p>
    <w:p>
      <w:pPr>
        <w:pStyle w:val="Style37"/>
        <w:keepNext/>
        <w:keepLines/>
        <w:widowControl w:val="0"/>
        <w:shd w:val="clear" w:color="auto" w:fill="auto"/>
        <w:bidi w:val="0"/>
        <w:spacing w:before="0" w:after="40"/>
        <w:ind w:left="0" w:right="0" w:firstLine="360"/>
        <w:jc w:val="both"/>
      </w:pPr>
      <w:bookmarkStart w:id="327" w:name="bookmark327"/>
      <w:bookmarkStart w:id="328" w:name="bookmark328"/>
      <w:bookmarkStart w:id="329" w:name="bookmark329"/>
      <w:r>
        <w:rPr>
          <w:color w:val="000000"/>
          <w:spacing w:val="0"/>
          <w:w w:val="100"/>
          <w:position w:val="0"/>
        </w:rPr>
        <w:t>2.3</w:t>
      </w:r>
      <w:r>
        <w:rPr>
          <w:color w:val="000000"/>
          <w:spacing w:val="0"/>
          <w:w w:val="100"/>
          <w:position w:val="0"/>
        </w:rPr>
        <w:t>技术创新风险：</w:t>
      </w:r>
      <w:bookmarkEnd w:id="327"/>
      <w:bookmarkEnd w:id="328"/>
      <w:bookmarkEnd w:id="329"/>
    </w:p>
    <w:p>
      <w:pPr>
        <w:pStyle w:val="Style22"/>
        <w:keepNext w:val="0"/>
        <w:keepLines w:val="0"/>
        <w:widowControl w:val="0"/>
        <w:shd w:val="clear" w:color="auto" w:fill="auto"/>
        <w:bidi w:val="0"/>
        <w:spacing w:before="0" w:line="314" w:lineRule="exact"/>
        <w:ind w:left="0" w:right="0"/>
        <w:jc w:val="both"/>
      </w:pPr>
      <w:r>
        <w:rPr>
          <w:color w:val="000000"/>
          <w:spacing w:val="0"/>
          <w:w w:val="100"/>
          <w:position w:val="0"/>
        </w:rPr>
        <w:t>软通动力一直重视研发上的持续投入，高度关注下游技术变革，依托丰富行业经验，围绕大客户、重点行业、模式创新、 新一代数字技术及自身数字化升级开展技术与产品研发，保持和提升公司竞争力优势。但是，随着云计算、大数据、物联网、 人工智能、区块链、</w:t>
      </w:r>
      <w:r>
        <w:rPr>
          <w:color w:val="000000"/>
          <w:spacing w:val="0"/>
          <w:w w:val="100"/>
          <w:position w:val="0"/>
          <w:sz w:val="18"/>
          <w:szCs w:val="18"/>
        </w:rPr>
        <w:t>5G</w:t>
      </w:r>
      <w:r>
        <w:rPr>
          <w:color w:val="000000"/>
          <w:spacing w:val="0"/>
          <w:w w:val="100"/>
          <w:position w:val="0"/>
        </w:rPr>
        <w:t>、</w:t>
      </w:r>
      <w:r>
        <w:rPr>
          <w:color w:val="000000"/>
          <w:spacing w:val="0"/>
          <w:w w:val="100"/>
          <w:position w:val="0"/>
        </w:rPr>
        <w:t>半导体和集成电路、信息安全领域的新兴技术日益普及，软通动力所处的软件和信息技术服务业正 处于快速发展阶段，客户需求亦呈现快速迭代趋势，将对公司的技术创新带来一定的挑战。</w:t>
      </w:r>
    </w:p>
    <w:p>
      <w:pPr>
        <w:pStyle w:val="Style37"/>
        <w:keepNext/>
        <w:keepLines/>
        <w:widowControl w:val="0"/>
        <w:shd w:val="clear" w:color="auto" w:fill="auto"/>
        <w:bidi w:val="0"/>
        <w:spacing w:before="0" w:after="40"/>
        <w:ind w:left="0" w:right="0" w:firstLine="360"/>
        <w:jc w:val="both"/>
      </w:pPr>
      <w:bookmarkStart w:id="330" w:name="bookmark330"/>
      <w:bookmarkStart w:id="331" w:name="bookmark331"/>
      <w:bookmarkStart w:id="332" w:name="bookmark332"/>
      <w:r>
        <w:rPr>
          <w:color w:val="000000"/>
          <w:spacing w:val="0"/>
          <w:w w:val="100"/>
          <w:position w:val="0"/>
        </w:rPr>
        <w:t>2.4</w:t>
      </w:r>
      <w:r>
        <w:rPr>
          <w:color w:val="000000"/>
          <w:spacing w:val="0"/>
          <w:w w:val="100"/>
          <w:position w:val="0"/>
        </w:rPr>
        <w:t>客户集中风险：</w:t>
      </w:r>
      <w:bookmarkEnd w:id="330"/>
      <w:bookmarkEnd w:id="331"/>
      <w:bookmarkEnd w:id="332"/>
    </w:p>
    <w:p>
      <w:pPr>
        <w:pStyle w:val="Style22"/>
        <w:keepNext w:val="0"/>
        <w:keepLines w:val="0"/>
        <w:widowControl w:val="0"/>
        <w:shd w:val="clear" w:color="auto" w:fill="auto"/>
        <w:bidi w:val="0"/>
        <w:spacing w:before="0" w:line="307" w:lineRule="exact"/>
        <w:ind w:left="0" w:right="0"/>
        <w:jc w:val="both"/>
      </w:pPr>
      <w:r>
        <w:rPr>
          <w:color w:val="000000"/>
          <w:spacing w:val="0"/>
          <w:w w:val="100"/>
          <w:position w:val="0"/>
        </w:rPr>
        <w:t>主要客户之收入占比与业务粘性较大，是软件和信息技术服务业的主要特点之一。客户集中可能给公司经营带来一定 风险。若主要客户因国内外宏观环境或自身经营状况发生变化导致其对公司业务需求量下降，或转向其他供应商，将对公司 生产经营带来一定负面影响。</w:t>
      </w:r>
    </w:p>
    <w:p>
      <w:pPr>
        <w:pStyle w:val="Style37"/>
        <w:keepNext/>
        <w:keepLines/>
        <w:widowControl w:val="0"/>
        <w:shd w:val="clear" w:color="auto" w:fill="auto"/>
        <w:bidi w:val="0"/>
        <w:spacing w:before="0" w:after="40"/>
        <w:ind w:left="0" w:right="0" w:firstLine="360"/>
        <w:jc w:val="both"/>
      </w:pPr>
      <w:bookmarkStart w:id="333" w:name="bookmark333"/>
      <w:bookmarkStart w:id="334" w:name="bookmark334"/>
      <w:bookmarkStart w:id="335" w:name="bookmark335"/>
      <w:r>
        <w:rPr>
          <w:color w:val="000000"/>
          <w:spacing w:val="0"/>
          <w:w w:val="100"/>
          <w:position w:val="0"/>
        </w:rPr>
        <w:t>2.5</w:t>
      </w:r>
      <w:r>
        <w:rPr>
          <w:color w:val="000000"/>
          <w:spacing w:val="0"/>
          <w:w w:val="100"/>
          <w:position w:val="0"/>
        </w:rPr>
        <w:t>客户解除合同的风险：</w:t>
      </w:r>
      <w:bookmarkEnd w:id="333"/>
      <w:bookmarkEnd w:id="334"/>
      <w:bookmarkEnd w:id="335"/>
    </w:p>
    <w:p>
      <w:pPr>
        <w:pStyle w:val="Style22"/>
        <w:keepNext w:val="0"/>
        <w:keepLines w:val="0"/>
        <w:widowControl w:val="0"/>
        <w:shd w:val="clear" w:color="auto" w:fill="auto"/>
        <w:bidi w:val="0"/>
        <w:spacing w:before="0" w:line="310" w:lineRule="exact"/>
        <w:ind w:left="0" w:right="0"/>
        <w:jc w:val="both"/>
      </w:pPr>
      <w:r>
        <w:rPr>
          <w:color w:val="000000"/>
          <w:spacing w:val="0"/>
          <w:w w:val="100"/>
          <w:position w:val="0"/>
        </w:rPr>
        <w:t>报告期内，软通动力存在与主要客户签署含无条件解除合同条款的销售合同的情况。公司与相关客户均保持了长期、稳 定、良好的合作关系，相关客户也未出现未经与公司协商，无条件解除合同的情形。但若相关客户对公司业务需求量下降， 要求与公司无条件解除合同，将对公司生产经营带来一定负面影响。</w:t>
      </w:r>
    </w:p>
    <w:p>
      <w:pPr>
        <w:pStyle w:val="Style37"/>
        <w:keepNext/>
        <w:keepLines/>
        <w:widowControl w:val="0"/>
        <w:numPr>
          <w:ilvl w:val="0"/>
          <w:numId w:val="5"/>
        </w:numPr>
        <w:shd w:val="clear" w:color="auto" w:fill="auto"/>
        <w:tabs>
          <w:tab w:pos="661" w:val="left"/>
        </w:tabs>
        <w:bidi w:val="0"/>
        <w:spacing w:before="0" w:after="40"/>
        <w:ind w:left="0" w:right="0" w:firstLine="360"/>
        <w:jc w:val="both"/>
      </w:pPr>
      <w:bookmarkStart w:id="336" w:name="bookmark336"/>
      <w:bookmarkStart w:id="337" w:name="bookmark337"/>
      <w:bookmarkStart w:id="338" w:name="bookmark338"/>
      <w:bookmarkStart w:id="339" w:name="bookmark339"/>
      <w:bookmarkEnd w:id="338"/>
      <w:r>
        <w:rPr>
          <w:color w:val="000000"/>
          <w:spacing w:val="0"/>
          <w:w w:val="100"/>
          <w:position w:val="0"/>
        </w:rPr>
        <w:t>6应收账款金额较大风险：</w:t>
      </w:r>
      <w:bookmarkEnd w:id="336"/>
      <w:bookmarkEnd w:id="337"/>
      <w:bookmarkEnd w:id="339"/>
    </w:p>
    <w:p>
      <w:pPr>
        <w:pStyle w:val="Style22"/>
        <w:keepNext w:val="0"/>
        <w:keepLines w:val="0"/>
        <w:widowControl w:val="0"/>
        <w:shd w:val="clear" w:color="auto" w:fill="auto"/>
        <w:bidi w:val="0"/>
        <w:spacing w:before="0" w:line="317" w:lineRule="exact"/>
        <w:ind w:left="0" w:right="0"/>
        <w:jc w:val="both"/>
      </w:pPr>
      <w:r>
        <w:rPr>
          <w:color w:val="000000"/>
          <w:spacing w:val="0"/>
          <w:w w:val="100"/>
          <w:position w:val="0"/>
        </w:rPr>
        <w:t>软通动力应收账款客户主要为国内外资信程度较高的大型企业，历史回款情况较好。但若公司不能持续保持应收账款的 高效管理，伴随公司业务规模的快速持续增长，可能面临一定的应收账款坏账风险。</w:t>
      </w:r>
    </w:p>
    <w:p>
      <w:pPr>
        <w:pStyle w:val="Style37"/>
        <w:keepNext/>
        <w:keepLines/>
        <w:widowControl w:val="0"/>
        <w:shd w:val="clear" w:color="auto" w:fill="auto"/>
        <w:bidi w:val="0"/>
        <w:spacing w:before="0" w:after="40"/>
        <w:ind w:left="0" w:right="0" w:firstLine="360"/>
        <w:jc w:val="both"/>
      </w:pPr>
      <w:bookmarkStart w:id="340" w:name="bookmark340"/>
      <w:bookmarkStart w:id="341" w:name="bookmark341"/>
      <w:bookmarkStart w:id="342" w:name="bookmark342"/>
      <w:r>
        <w:rPr>
          <w:color w:val="000000"/>
          <w:spacing w:val="0"/>
          <w:w w:val="100"/>
          <w:position w:val="0"/>
        </w:rPr>
        <w:t>2.7</w:t>
      </w:r>
      <w:r>
        <w:rPr>
          <w:color w:val="000000"/>
          <w:spacing w:val="0"/>
          <w:w w:val="100"/>
          <w:position w:val="0"/>
        </w:rPr>
        <w:t>税收优惠和政府补助政策变化风险：</w:t>
      </w:r>
      <w:bookmarkEnd w:id="340"/>
      <w:bookmarkEnd w:id="341"/>
      <w:bookmarkEnd w:id="342"/>
    </w:p>
    <w:p>
      <w:pPr>
        <w:pStyle w:val="Style22"/>
        <w:keepNext w:val="0"/>
        <w:keepLines w:val="0"/>
        <w:widowControl w:val="0"/>
        <w:shd w:val="clear" w:color="auto" w:fill="auto"/>
        <w:bidi w:val="0"/>
        <w:spacing w:before="0" w:after="360" w:line="312" w:lineRule="exact"/>
        <w:ind w:left="0" w:right="0"/>
        <w:jc w:val="both"/>
      </w:pPr>
      <w:r>
        <w:rPr>
          <w:color w:val="000000"/>
          <w:spacing w:val="0"/>
          <w:w w:val="100"/>
          <w:position w:val="0"/>
        </w:rPr>
        <w:t>软通动力作为软件和信息技术服务企业，当前，公司及其符合条件的分子公司享受了国家出台的税收优惠和补助政策。 若政府部门或有关机构对公司的税收优惠和政府补助政策出现调整或公司无法满足特定政策的条件，公司将面临税收优惠和 政府补助无法享受或减少的风险，这可能会对公司的经营业绩和利润水平产生一定的影响。</w:t>
      </w:r>
    </w:p>
    <w:p>
      <w:pPr>
        <w:pStyle w:val="Style27"/>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十二、报告期内接待调研、沟通、采访等活动登记表</w:t>
      </w:r>
      <w:bookmarkEnd w:id="343"/>
      <w:bookmarkEnd w:id="344"/>
      <w:bookmarkEnd w:id="345"/>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line="312" w:lineRule="exact"/>
        <w:ind w:left="0" w:right="0" w:firstLine="0"/>
        <w:jc w:val="left"/>
        <w:sectPr>
          <w:footnotePr>
            <w:pos w:val="pageBottom"/>
            <w:numFmt w:val="decimal"/>
            <w:numRestart w:val="continuous"/>
          </w:footnotePr>
          <w:pgSz w:w="11900" w:h="16840"/>
          <w:pgMar w:top="1383" w:right="920" w:bottom="1498" w:left="924" w:header="0" w:footer="3" w:gutter="0"/>
          <w:cols w:space="720"/>
          <w:noEndnote/>
          <w:rtlGutter w:val="0"/>
          <w:docGrid w:linePitch="360"/>
        </w:sectPr>
      </w:pPr>
      <w:r>
        <w:rPr>
          <w:color w:val="000000"/>
          <w:spacing w:val="0"/>
          <w:w w:val="100"/>
          <w:position w:val="0"/>
        </w:rPr>
        <w:t>公司报告期内未发生接待调研、沟通、采访等活动。</w:t>
      </w:r>
    </w:p>
    <w:p>
      <w:pPr>
        <w:pStyle w:val="Style8"/>
        <w:keepNext/>
        <w:keepLines/>
        <w:widowControl w:val="0"/>
        <w:shd w:val="clear" w:color="auto" w:fill="auto"/>
        <w:bidi w:val="0"/>
        <w:spacing w:before="540" w:line="240" w:lineRule="auto"/>
        <w:ind w:left="0" w:right="0" w:firstLine="0"/>
        <w:jc w:val="center"/>
      </w:pPr>
      <w:bookmarkStart w:id="346" w:name="bookmark346"/>
      <w:bookmarkStart w:id="347" w:name="bookmark347"/>
      <w:bookmarkStart w:id="348" w:name="bookmark348"/>
      <w:r>
        <w:rPr>
          <w:color w:val="000000"/>
          <w:spacing w:val="0"/>
          <w:w w:val="100"/>
          <w:position w:val="0"/>
        </w:rPr>
        <w:t>第四节公司治理</w:t>
      </w:r>
      <w:bookmarkEnd w:id="346"/>
      <w:bookmarkEnd w:id="347"/>
      <w:bookmarkEnd w:id="348"/>
    </w:p>
    <w:p>
      <w:pPr>
        <w:pStyle w:val="Style27"/>
        <w:keepNext/>
        <w:keepLines/>
        <w:widowControl w:val="0"/>
        <w:shd w:val="clear" w:color="auto" w:fill="auto"/>
        <w:bidi w:val="0"/>
        <w:spacing w:before="0" w:after="240" w:line="240" w:lineRule="auto"/>
        <w:ind w:left="0" w:right="0" w:firstLine="0"/>
        <w:jc w:val="left"/>
      </w:pPr>
      <w:bookmarkStart w:id="349" w:name="bookmark349"/>
      <w:bookmarkStart w:id="350" w:name="bookmark350"/>
      <w:bookmarkStart w:id="351" w:name="bookmark351"/>
      <w:bookmarkStart w:id="352" w:name="bookmark352"/>
      <w:bookmarkStart w:id="353" w:name="bookmark353"/>
      <w:r>
        <w:rPr>
          <w:color w:val="000000"/>
          <w:spacing w:val="0"/>
          <w:w w:val="100"/>
          <w:position w:val="0"/>
          <w:sz w:val="24"/>
          <w:szCs w:val="24"/>
        </w:rPr>
        <w:t>一</w:t>
      </w:r>
      <w:bookmarkEnd w:id="352"/>
      <w:r>
        <w:rPr>
          <w:color w:val="000000"/>
          <w:spacing w:val="0"/>
          <w:w w:val="100"/>
          <w:position w:val="0"/>
          <w:sz w:val="24"/>
          <w:szCs w:val="24"/>
        </w:rPr>
        <w:t>、公司治理的基本状况</w:t>
      </w:r>
      <w:bookmarkEnd w:id="350"/>
      <w:bookmarkEnd w:id="351"/>
      <w:bookmarkEnd w:id="353"/>
      <w:bookmarkEnd w:id="349"/>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报告期内，公司严格按照《公司法》、《证券法》等相关法律、法规、规范性文件的要求，建立了由股东大会、董事会、 监事会等组成的权责明确、运作规范的法人治理结构，制定了《公司章程》、《股东大会议事规则》、《董事会议事规则》、 《监事会议事规则》、《独立董事工作制度》等相关制度，为公司法人治理的规范化运行提供了进一步制度保障，形成了权 力机构、决策机构、监督机构之间的相互协调和相互制衡机制。股东大会、董事会、监事会等机构和人员能够按照有关法律、 法规、《公司章程》和相关议事规则的规定，独立有效地运作并履行应尽的职责和义务。</w:t>
      </w:r>
    </w:p>
    <w:p>
      <w:pPr>
        <w:pStyle w:val="Style22"/>
        <w:keepNext w:val="0"/>
        <w:keepLines w:val="0"/>
        <w:widowControl w:val="0"/>
        <w:shd w:val="clear" w:color="auto" w:fill="auto"/>
        <w:tabs>
          <w:tab w:pos="860" w:val="left"/>
        </w:tabs>
        <w:bidi w:val="0"/>
        <w:spacing w:before="0" w:after="0" w:line="314" w:lineRule="exact"/>
        <w:ind w:left="0" w:right="0" w:firstLine="380"/>
        <w:jc w:val="both"/>
      </w:pPr>
      <w:bookmarkStart w:id="354" w:name="bookmark354"/>
      <w:r>
        <w:rPr>
          <w:color w:val="000000"/>
          <w:spacing w:val="0"/>
          <w:w w:val="100"/>
          <w:position w:val="0"/>
        </w:rPr>
        <w:t>（</w:t>
      </w:r>
      <w:bookmarkEnd w:id="354"/>
      <w:r>
        <w:rPr>
          <w:color w:val="000000"/>
          <w:spacing w:val="0"/>
          <w:w w:val="100"/>
          <w:position w:val="0"/>
        </w:rPr>
        <w:t>一）</w:t>
        <w:tab/>
        <w:t>股东大会相关工作</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报告期内，股东大会一直根据《公司法》、《公司章程》和《股东大会议事规则》等的规定规范运作，严格按照相关规 定和要求召集、召开和表决。公司平等对待所有股东，为股东参加股东大会尽可能提供便利条件，充分保证了股东对会议议 案的审阅及表达意见的时间。</w:t>
      </w:r>
    </w:p>
    <w:p>
      <w:pPr>
        <w:pStyle w:val="Style2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报告期内，公司召开了一次年度股东大会和一次临时股东大会，股东大会的召集、召开、提案和表决程序均符合相关 法律法规、规范性文件的规定，保障了股东对公司重大事项的知情、参与、决策和监督的权利，维护了公司及全体股东的合 法权益</w:t>
      </w:r>
    </w:p>
    <w:p>
      <w:pPr>
        <w:pStyle w:val="Style22"/>
        <w:keepNext w:val="0"/>
        <w:keepLines w:val="0"/>
        <w:widowControl w:val="0"/>
        <w:shd w:val="clear" w:color="auto" w:fill="auto"/>
        <w:tabs>
          <w:tab w:pos="860" w:val="left"/>
        </w:tabs>
        <w:bidi w:val="0"/>
        <w:spacing w:before="0" w:after="0" w:line="314" w:lineRule="exact"/>
        <w:ind w:left="0" w:right="0" w:firstLine="380"/>
        <w:jc w:val="both"/>
      </w:pPr>
      <w:bookmarkStart w:id="355" w:name="bookmark355"/>
      <w:r>
        <w:rPr>
          <w:color w:val="000000"/>
          <w:spacing w:val="0"/>
          <w:w w:val="100"/>
          <w:position w:val="0"/>
        </w:rPr>
        <w:t>（</w:t>
      </w:r>
      <w:bookmarkEnd w:id="355"/>
      <w:r>
        <w:rPr>
          <w:color w:val="000000"/>
          <w:spacing w:val="0"/>
          <w:w w:val="100"/>
          <w:position w:val="0"/>
        </w:rPr>
        <w:t>二）</w:t>
        <w:tab/>
        <w:t>公司与控股股东</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公司控股股东和实际控制人严格按照《上市公司治理准则》、《深圳证券交易所创业板股票上市规则》、《公司章程》 等规定和要求规范自身行为，没有超越股东大会直接或间接干预公司决策和经营活动的情形。公司拥有独立完整的业务体系 和自主经营能力，在业务、人员、资产、机构、财务等方面均独立于控股股东，公司董事会、监事会和内部机构独立运作。 公司不存在控股股东占用公司资金以及公司为控股股东提供担保的情形。</w:t>
      </w:r>
    </w:p>
    <w:p>
      <w:pPr>
        <w:pStyle w:val="Style22"/>
        <w:keepNext w:val="0"/>
        <w:keepLines w:val="0"/>
        <w:widowControl w:val="0"/>
        <w:shd w:val="clear" w:color="auto" w:fill="auto"/>
        <w:tabs>
          <w:tab w:pos="860" w:val="left"/>
        </w:tabs>
        <w:bidi w:val="0"/>
        <w:spacing w:before="0" w:after="0" w:line="314" w:lineRule="exact"/>
        <w:ind w:left="0" w:right="0" w:firstLine="380"/>
        <w:jc w:val="both"/>
      </w:pPr>
      <w:bookmarkStart w:id="356" w:name="bookmark356"/>
      <w:r>
        <w:rPr>
          <w:color w:val="000000"/>
          <w:spacing w:val="0"/>
          <w:w w:val="100"/>
          <w:position w:val="0"/>
        </w:rPr>
        <w:t>（</w:t>
      </w:r>
      <w:bookmarkEnd w:id="356"/>
      <w:r>
        <w:rPr>
          <w:color w:val="000000"/>
          <w:spacing w:val="0"/>
          <w:w w:val="100"/>
          <w:position w:val="0"/>
        </w:rPr>
        <w:t>三）</w:t>
        <w:tab/>
        <w:t>董事会相关工作</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报告期内，公司董事严格按照《公司法》、《公司章程》和《董事会议事规则》等的规定行使权利、履行义务。公司董 事会由</w:t>
      </w:r>
      <w:r>
        <w:rPr>
          <w:color w:val="000000"/>
          <w:spacing w:val="0"/>
          <w:w w:val="100"/>
          <w:position w:val="0"/>
          <w:sz w:val="18"/>
          <w:szCs w:val="18"/>
        </w:rPr>
        <w:t>9</w:t>
      </w:r>
      <w:r>
        <w:rPr>
          <w:color w:val="000000"/>
          <w:spacing w:val="0"/>
          <w:w w:val="100"/>
          <w:position w:val="0"/>
        </w:rPr>
        <w:t>名董事组成，其中独立董事</w:t>
      </w:r>
      <w:r>
        <w:rPr>
          <w:color w:val="000000"/>
          <w:spacing w:val="0"/>
          <w:w w:val="100"/>
          <w:position w:val="0"/>
          <w:sz w:val="18"/>
          <w:szCs w:val="18"/>
        </w:rPr>
        <w:t>3</w:t>
      </w:r>
      <w:r>
        <w:rPr>
          <w:color w:val="000000"/>
          <w:spacing w:val="0"/>
          <w:w w:val="100"/>
          <w:position w:val="0"/>
        </w:rPr>
        <w:t>名。董事会设董事长</w:t>
      </w:r>
      <w:r>
        <w:rPr>
          <w:color w:val="000000"/>
          <w:spacing w:val="0"/>
          <w:w w:val="100"/>
          <w:position w:val="0"/>
          <w:sz w:val="18"/>
          <w:szCs w:val="18"/>
        </w:rPr>
        <w:t>1</w:t>
      </w:r>
      <w:r>
        <w:rPr>
          <w:color w:val="000000"/>
          <w:spacing w:val="0"/>
          <w:w w:val="100"/>
          <w:position w:val="0"/>
        </w:rPr>
        <w:t>人，董事长由董事会以全体董事的过半数选举产生。公司董事积 极参加董事会，合规履职，独立董事严格按照相关法规及公司《独立董事工作制度》行使职权，关注中小投资者权益保障， 对应当关注的事项认真审议，发表了事前认可意见及独立意见。</w:t>
      </w:r>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报告期内，公司共召开八次董事会，董事会的召集、召开、提案和表决程序均符合相关法律法规、规范性文件的规定， 董事会成员严格按照《公司法》、《董事会议事规则》的规定，出席会议，并以诚信、勤勉尽责的态度审议相关议案和表决， 充分发挥了其在各自领域的专业能力，维护了公司及全体股东的合法权益。</w:t>
      </w:r>
    </w:p>
    <w:p>
      <w:pPr>
        <w:pStyle w:val="Style22"/>
        <w:keepNext w:val="0"/>
        <w:keepLines w:val="0"/>
        <w:widowControl w:val="0"/>
        <w:shd w:val="clear" w:color="auto" w:fill="auto"/>
        <w:tabs>
          <w:tab w:pos="860" w:val="left"/>
        </w:tabs>
        <w:bidi w:val="0"/>
        <w:spacing w:before="0" w:after="0" w:line="314" w:lineRule="exact"/>
        <w:ind w:left="0" w:right="0" w:firstLine="380"/>
        <w:jc w:val="both"/>
      </w:pPr>
      <w:bookmarkStart w:id="357" w:name="bookmark357"/>
      <w:r>
        <w:rPr>
          <w:color w:val="000000"/>
          <w:spacing w:val="0"/>
          <w:w w:val="100"/>
          <w:position w:val="0"/>
        </w:rPr>
        <w:t>（</w:t>
      </w:r>
      <w:bookmarkEnd w:id="357"/>
      <w:r>
        <w:rPr>
          <w:color w:val="000000"/>
          <w:spacing w:val="0"/>
          <w:w w:val="100"/>
          <w:position w:val="0"/>
        </w:rPr>
        <w:t>四）</w:t>
        <w:tab/>
        <w:t>监事会相关工作</w:t>
      </w:r>
    </w:p>
    <w:p>
      <w:pPr>
        <w:pStyle w:val="Style2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报告期内，公司监事严格按照《公司法》、《公司章程》和《监事会议事规则》等的规定行使权利、履行义务。公司监 事会由</w:t>
      </w:r>
      <w:r>
        <w:rPr>
          <w:color w:val="000000"/>
          <w:spacing w:val="0"/>
          <w:w w:val="100"/>
          <w:position w:val="0"/>
          <w:sz w:val="18"/>
          <w:szCs w:val="18"/>
        </w:rPr>
        <w:t>3</w:t>
      </w:r>
      <w:r>
        <w:rPr>
          <w:color w:val="000000"/>
          <w:spacing w:val="0"/>
          <w:w w:val="100"/>
          <w:position w:val="0"/>
        </w:rPr>
        <w:t>名监事组成，设监事会主席</w:t>
      </w:r>
      <w:r>
        <w:rPr>
          <w:color w:val="000000"/>
          <w:spacing w:val="0"/>
          <w:w w:val="100"/>
          <w:position w:val="0"/>
          <w:sz w:val="18"/>
          <w:szCs w:val="18"/>
        </w:rPr>
        <w:t>1</w:t>
      </w:r>
      <w:r>
        <w:rPr>
          <w:color w:val="000000"/>
          <w:spacing w:val="0"/>
          <w:w w:val="100"/>
          <w:position w:val="0"/>
        </w:rPr>
        <w:t>人，监事会由两名股东代表监事和一名公司职工代表监事组成。各位监事能够按照《监 事会议事规则》的要求，认真履行自己的职责，对公司重大事项、财务状况以及董事、高管人员履行职责的合法合规性进行 监督。</w:t>
      </w:r>
    </w:p>
    <w:p>
      <w:pPr>
        <w:pStyle w:val="Style2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报告期内，公司共召开两次监事会，监事会的召集、召开、提案和表决程序均符合相关法律法规、规范性文件的规定， 各位监事按照《监事会议事规则》的要求，促进了公司合规运营，维护了公司及全体股东的合法权益。</w:t>
      </w:r>
    </w:p>
    <w:p>
      <w:pPr>
        <w:pStyle w:val="Style22"/>
        <w:keepNext w:val="0"/>
        <w:keepLines w:val="0"/>
        <w:widowControl w:val="0"/>
        <w:shd w:val="clear" w:color="auto" w:fill="auto"/>
        <w:tabs>
          <w:tab w:pos="860" w:val="left"/>
        </w:tabs>
        <w:bidi w:val="0"/>
        <w:spacing w:before="0" w:after="0" w:line="314" w:lineRule="exact"/>
        <w:ind w:left="0" w:right="0" w:firstLine="380"/>
        <w:jc w:val="both"/>
      </w:pPr>
      <w:bookmarkStart w:id="358" w:name="bookmark358"/>
      <w:r>
        <w:rPr>
          <w:color w:val="000000"/>
          <w:spacing w:val="0"/>
          <w:w w:val="100"/>
          <w:position w:val="0"/>
        </w:rPr>
        <w:t>（</w:t>
      </w:r>
      <w:bookmarkEnd w:id="358"/>
      <w:r>
        <w:rPr>
          <w:color w:val="000000"/>
          <w:spacing w:val="0"/>
          <w:w w:val="100"/>
          <w:position w:val="0"/>
        </w:rPr>
        <w:t>五）</w:t>
        <w:tab/>
        <w:t>独立董事相关工作</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报告期内，公司独立董事根据《公司法》、《公司章程》、《独立董事工作制度》等相关法律法规的要求，积极履行了 独立董事的职责、职权。公司现有</w:t>
      </w:r>
      <w:r>
        <w:rPr>
          <w:color w:val="000000"/>
          <w:spacing w:val="0"/>
          <w:w w:val="100"/>
          <w:position w:val="0"/>
          <w:sz w:val="18"/>
          <w:szCs w:val="18"/>
        </w:rPr>
        <w:t>3</w:t>
      </w:r>
      <w:r>
        <w:rPr>
          <w:color w:val="000000"/>
          <w:spacing w:val="0"/>
          <w:w w:val="100"/>
          <w:position w:val="0"/>
        </w:rPr>
        <w:t>名独立董事，分别是来自财务、行业方面的专家。公司</w:t>
      </w:r>
      <w:r>
        <w:rPr>
          <w:color w:val="000000"/>
          <w:spacing w:val="0"/>
          <w:w w:val="100"/>
          <w:position w:val="0"/>
          <w:sz w:val="18"/>
          <w:szCs w:val="18"/>
        </w:rPr>
        <w:t>3</w:t>
      </w:r>
      <w:r>
        <w:rPr>
          <w:color w:val="000000"/>
          <w:spacing w:val="0"/>
          <w:w w:val="100"/>
          <w:position w:val="0"/>
        </w:rPr>
        <w:t>名独立董事均符合公司章程规定 的任职条件，具备《上市公司独立董事规则》、《公司章程》等所要求的独立性。</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自公司建立《独立董事工作制度》以来，独立董事依据有关法律法规和《公司章程》、《独立董事工作制度》勤勉尽责、 独立审慎地履行了义务和权利，参与公司各项重大经营决策，对公司关联交易发表了独立意见，为公司完善法人治理结构和 规范运作、提升公司决策水平和经营能力起到了积极的作用。</w:t>
      </w:r>
    </w:p>
    <w:p>
      <w:pPr>
        <w:pStyle w:val="Style22"/>
        <w:keepNext w:val="0"/>
        <w:keepLines w:val="0"/>
        <w:widowControl w:val="0"/>
        <w:shd w:val="clear" w:color="auto" w:fill="auto"/>
        <w:tabs>
          <w:tab w:pos="881" w:val="left"/>
        </w:tabs>
        <w:bidi w:val="0"/>
        <w:spacing w:before="0" w:after="0" w:line="312" w:lineRule="exact"/>
        <w:ind w:left="0" w:right="0" w:firstLine="380"/>
        <w:jc w:val="both"/>
      </w:pPr>
      <w:bookmarkStart w:id="359" w:name="bookmark359"/>
      <w:r>
        <w:rPr>
          <w:color w:val="000000"/>
          <w:spacing w:val="0"/>
          <w:w w:val="100"/>
          <w:position w:val="0"/>
        </w:rPr>
        <w:t>（</w:t>
      </w:r>
      <w:bookmarkEnd w:id="359"/>
      <w:r>
        <w:rPr>
          <w:color w:val="000000"/>
          <w:spacing w:val="0"/>
          <w:w w:val="100"/>
          <w:position w:val="0"/>
        </w:rPr>
        <w:t>六）</w:t>
        <w:tab/>
        <w:t>专门委员会相关工作</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公司董事会下设战略委员会、审计委员会、提名委员会、薪酬与考核委员会，分别负责公司的发展战略、审计、董事及 高级管理人员的推选、管理和考核等工作，公司建立了《董事会战略委员会工作细则》、《董事会审计委员会工作细则》、 《董事会提名委员会工作细则》、《董事会薪酬与考核委员会工作细则》等制度。</w:t>
      </w:r>
    </w:p>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公司专门委员会成员全部由董事组成，报告期内，各委员会依据《公司章程》和专门委员会工作细则的规定履行职权， 不受公司任何其他部门和个人的干预，为董事会的决策提供了科学、专业的意见和参考。</w:t>
      </w:r>
    </w:p>
    <w:p>
      <w:pPr>
        <w:pStyle w:val="Style22"/>
        <w:keepNext w:val="0"/>
        <w:keepLines w:val="0"/>
        <w:widowControl w:val="0"/>
        <w:shd w:val="clear" w:color="auto" w:fill="auto"/>
        <w:tabs>
          <w:tab w:pos="881" w:val="left"/>
        </w:tabs>
        <w:bidi w:val="0"/>
        <w:spacing w:before="0" w:after="0" w:line="312" w:lineRule="exact"/>
        <w:ind w:left="0" w:right="0" w:firstLine="380"/>
        <w:jc w:val="both"/>
      </w:pPr>
      <w:bookmarkStart w:id="360" w:name="bookmark360"/>
      <w:r>
        <w:rPr>
          <w:color w:val="000000"/>
          <w:spacing w:val="0"/>
          <w:w w:val="100"/>
          <w:position w:val="0"/>
        </w:rPr>
        <w:t>（</w:t>
      </w:r>
      <w:bookmarkEnd w:id="360"/>
      <w:r>
        <w:rPr>
          <w:color w:val="000000"/>
          <w:spacing w:val="0"/>
          <w:w w:val="100"/>
          <w:position w:val="0"/>
        </w:rPr>
        <w:t>七）</w:t>
        <w:tab/>
        <w:t>信息披露相关工作</w:t>
      </w:r>
    </w:p>
    <w:p>
      <w:pPr>
        <w:pStyle w:val="Style2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报告期内，公司稳健推行公司创业板上市工作，依据相关法律法规积极开展了上市所需的信息披露，并且制定了《信息 披露管理办法》、《重大信息内部报告制度》等相关规定。上市后，公司指定《中国证券报》、《上海证券报》、《证券日 报》、《证券时报》、《经济参考报》和巨潮资讯网</w:t>
      </w:r>
      <w:r>
        <w:rPr>
          <w:color w:val="000000"/>
          <w:spacing w:val="0"/>
          <w:w w:val="100"/>
          <w:position w:val="0"/>
          <w:sz w:val="18"/>
          <w:szCs w:val="18"/>
        </w:rPr>
        <w:t>（</w:t>
      </w:r>
      <w:r>
        <w:rPr>
          <w:color w:val="000000"/>
          <w:spacing w:val="0"/>
          <w:w w:val="100"/>
          <w:position w:val="0"/>
          <w:sz w:val="18"/>
          <w:szCs w:val="18"/>
        </w:rPr>
        <w:t>www. cninfo. com. cn）</w:t>
      </w:r>
      <w:r>
        <w:rPr>
          <w:color w:val="000000"/>
          <w:spacing w:val="0"/>
          <w:w w:val="100"/>
          <w:position w:val="0"/>
        </w:rPr>
        <w:t>为信息披露的法定媒体和网站。</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未来，公司董事会也将严格按照中国证监会和深圳证券交易所信息披露的有关规定，保障投资者平等获取信息的权利， 真实、准确、完整、及时发布会议决议等临时公告和定期报告，忠实履行信息披露义务，确保投资者及时了解公司重大事项， 切实履行作为公众公司的信息披露义务，增强信息披露的有效性。</w:t>
      </w:r>
    </w:p>
    <w:p>
      <w:pPr>
        <w:pStyle w:val="Style22"/>
        <w:keepNext w:val="0"/>
        <w:keepLines w:val="0"/>
        <w:widowControl w:val="0"/>
        <w:shd w:val="clear" w:color="auto" w:fill="auto"/>
        <w:tabs>
          <w:tab w:pos="881" w:val="left"/>
        </w:tabs>
        <w:bidi w:val="0"/>
        <w:spacing w:before="0" w:after="0" w:line="312" w:lineRule="exact"/>
        <w:ind w:left="0" w:right="0" w:firstLine="380"/>
        <w:jc w:val="both"/>
      </w:pPr>
      <w:bookmarkStart w:id="361" w:name="bookmark361"/>
      <w:r>
        <w:rPr>
          <w:color w:val="000000"/>
          <w:spacing w:val="0"/>
          <w:w w:val="100"/>
          <w:position w:val="0"/>
        </w:rPr>
        <w:t>（</w:t>
      </w:r>
      <w:bookmarkEnd w:id="361"/>
      <w:r>
        <w:rPr>
          <w:color w:val="000000"/>
          <w:spacing w:val="0"/>
          <w:w w:val="100"/>
          <w:position w:val="0"/>
        </w:rPr>
        <w:t>八）</w:t>
        <w:tab/>
        <w:t>中小投资者等相关各方权益保护相关工作</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公司高度重视投资者关系管理工作，通过投资者电话、投资者关系邮箱、投资者互动平台、现场调研等多种渠道，加强 与投资者的互动交流，及时解答投资者关心的公司业绩、公司治理、发展战略、经营状况、发展前景等问题，切实保护了投 资者尤其是中小投资者的合法权益。</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公司充分尊重相关各方的合法权益，与相关各方积极合作、沟通，努力实现各方权益的协调平衡，共同推动公司持续健 康稳健发展。报告期内，公司治理实际情况符合中国证监会发布的有关上市公司治理的规范性文件的要求。报告期内，公司 未受到中国证监会、深交所就公司内控存在问题的处分，公司聘请的会计师事务所没有对公司内部控制的有效性表示异议， 公司内部控制方面不存在需要整改的问题。今后公司将进一步优化和完善公司的内控制度。</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未来，公司将继续致力于与各方的携手合作、共存共赢，实现各方可持续发展。</w:t>
      </w:r>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bidi w:val="0"/>
        <w:spacing w:before="0" w:after="240" w:line="326" w:lineRule="exact"/>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二</w:t>
      </w:r>
      <w:bookmarkEnd w:id="364"/>
      <w:r>
        <w:rPr>
          <w:color w:val="000000"/>
          <w:spacing w:val="0"/>
          <w:w w:val="100"/>
          <w:position w:val="0"/>
          <w:sz w:val="24"/>
          <w:szCs w:val="24"/>
        </w:rPr>
        <w:t>、公司相对于控股股东、实际控制人在保证公司资产、人员、财务、机构、业务等方面的 独立情况</w:t>
      </w:r>
      <w:bookmarkEnd w:id="362"/>
      <w:bookmarkEnd w:id="363"/>
      <w:bookmarkEnd w:id="365"/>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公司自设立以来，建立健全了法人治理结构，在资产、人员、财务、机构、业务方面均独立于控股股东和实际控制人， 拥有完整的业务体系及面向市场独立经营的能力，具体情况如下：</w:t>
      </w:r>
    </w:p>
    <w:p>
      <w:pPr>
        <w:pStyle w:val="Style22"/>
        <w:keepNext w:val="0"/>
        <w:keepLines w:val="0"/>
        <w:widowControl w:val="0"/>
        <w:shd w:val="clear" w:color="auto" w:fill="auto"/>
        <w:tabs>
          <w:tab w:pos="881" w:val="left"/>
        </w:tabs>
        <w:bidi w:val="0"/>
        <w:spacing w:before="0" w:after="0" w:line="312" w:lineRule="exact"/>
        <w:ind w:left="0" w:right="0" w:firstLine="380"/>
        <w:jc w:val="both"/>
      </w:pPr>
      <w:bookmarkStart w:id="366" w:name="bookmark366"/>
      <w:r>
        <w:rPr>
          <w:color w:val="000000"/>
          <w:spacing w:val="0"/>
          <w:w w:val="100"/>
          <w:position w:val="0"/>
        </w:rPr>
        <w:t>（</w:t>
      </w:r>
      <w:bookmarkEnd w:id="366"/>
      <w:r>
        <w:rPr>
          <w:color w:val="000000"/>
          <w:spacing w:val="0"/>
          <w:w w:val="100"/>
          <w:position w:val="0"/>
        </w:rPr>
        <w:t>一）</w:t>
        <w:tab/>
        <w:t>资产独立</w:t>
      </w:r>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公司具备与经营有关的业务体系及主要相关资产，公司合法拥有主要软、硬件设备以及商标、专利、软件著作权等的所 有权或使用权，具有独立的采购和销售系统。</w:t>
      </w:r>
    </w:p>
    <w:p>
      <w:pPr>
        <w:pStyle w:val="Style22"/>
        <w:keepNext w:val="0"/>
        <w:keepLines w:val="0"/>
        <w:widowControl w:val="0"/>
        <w:shd w:val="clear" w:color="auto" w:fill="auto"/>
        <w:tabs>
          <w:tab w:pos="881" w:val="left"/>
        </w:tabs>
        <w:bidi w:val="0"/>
        <w:spacing w:before="0" w:after="0" w:line="312" w:lineRule="exact"/>
        <w:ind w:left="0" w:right="0" w:firstLine="380"/>
        <w:jc w:val="both"/>
      </w:pPr>
      <w:bookmarkStart w:id="367" w:name="bookmark367"/>
      <w:r>
        <w:rPr>
          <w:color w:val="000000"/>
          <w:spacing w:val="0"/>
          <w:w w:val="100"/>
          <w:position w:val="0"/>
        </w:rPr>
        <w:t>（</w:t>
      </w:r>
      <w:bookmarkEnd w:id="367"/>
      <w:r>
        <w:rPr>
          <w:color w:val="000000"/>
          <w:spacing w:val="0"/>
          <w:w w:val="100"/>
          <w:position w:val="0"/>
        </w:rPr>
        <w:t>二）</w:t>
        <w:tab/>
        <w:t>人员独立</w:t>
      </w:r>
    </w:p>
    <w:p>
      <w:pPr>
        <w:pStyle w:val="Style22"/>
        <w:keepNext w:val="0"/>
        <w:keepLines w:val="0"/>
        <w:widowControl w:val="0"/>
        <w:shd w:val="clear" w:color="auto" w:fill="auto"/>
        <w:bidi w:val="0"/>
        <w:spacing w:before="0" w:line="310" w:lineRule="exact"/>
        <w:ind w:left="0" w:right="0" w:firstLine="380"/>
        <w:jc w:val="both"/>
      </w:pPr>
      <w:r>
        <w:rPr>
          <w:color w:val="000000"/>
          <w:spacing w:val="0"/>
          <w:w w:val="100"/>
          <w:position w:val="0"/>
        </w:rPr>
        <w:t xml:space="preserve">公司拥有独立的人事及工资管理制度和规范的考核体系，公司的董事、监事和高级管理人员均严格按照《公司法》和《公 司章程》等相关规定产生。公司的总经理、副总经理、财务总监、董事会秘书等高级管理人员未在控股股东、实际控制人及 其控制的其他企业担任董事、监事以外的其他职务，也没有在与公司业务相同或相似或存在利益冲突的其他企业任职。公司 的财务人员未在控股股东、实际控制人及其控制的其他企业中兼职。公司独立发放工资，公司的总经理、副总经理、财务总 </w:t>
      </w:r>
      <w:r>
        <w:rPr>
          <w:color w:val="000000"/>
          <w:spacing w:val="0"/>
          <w:w w:val="100"/>
          <w:position w:val="0"/>
        </w:rPr>
        <w:t>监和董事会秘书等高级管理人员及财务人员没有在控股股东、实际控制人及其控制的其他企业处领薪。</w:t>
      </w:r>
    </w:p>
    <w:p>
      <w:pPr>
        <w:pStyle w:val="Style22"/>
        <w:keepNext w:val="0"/>
        <w:keepLines w:val="0"/>
        <w:widowControl w:val="0"/>
        <w:shd w:val="clear" w:color="auto" w:fill="auto"/>
        <w:tabs>
          <w:tab w:pos="911" w:val="left"/>
        </w:tabs>
        <w:bidi w:val="0"/>
        <w:spacing w:before="0" w:line="312" w:lineRule="exact"/>
        <w:ind w:left="0" w:right="0" w:firstLine="380"/>
        <w:jc w:val="both"/>
      </w:pPr>
      <w:bookmarkStart w:id="368" w:name="bookmark368"/>
      <w:r>
        <w:rPr>
          <w:color w:val="000000"/>
          <w:spacing w:val="0"/>
          <w:w w:val="100"/>
          <w:position w:val="0"/>
        </w:rPr>
        <w:t>（</w:t>
      </w:r>
      <w:bookmarkEnd w:id="368"/>
      <w:r>
        <w:rPr>
          <w:color w:val="000000"/>
          <w:spacing w:val="0"/>
          <w:w w:val="100"/>
          <w:position w:val="0"/>
        </w:rPr>
        <w:t>三）</w:t>
        <w:tab/>
        <w:t>财务独立</w:t>
      </w:r>
    </w:p>
    <w:p>
      <w:pPr>
        <w:pStyle w:val="Style22"/>
        <w:keepNext w:val="0"/>
        <w:keepLines w:val="0"/>
        <w:widowControl w:val="0"/>
        <w:shd w:val="clear" w:color="auto" w:fill="auto"/>
        <w:bidi w:val="0"/>
        <w:spacing w:before="0" w:line="310" w:lineRule="exact"/>
        <w:ind w:left="0" w:right="0" w:firstLine="380"/>
        <w:jc w:val="left"/>
      </w:pPr>
      <w:r>
        <w:rPr>
          <w:color w:val="000000"/>
          <w:spacing w:val="0"/>
          <w:w w:val="100"/>
          <w:position w:val="0"/>
        </w:rPr>
        <w:t>公司独立核算、自负盈亏，设有独立财务部门，配备有专职财务人员。公司建立了独立的财务核算体系、能够独立作出 财务决策、具有规范的财务会计制度和对子公司的财务管理制度。公司拥有独立的银行账户，不存在与任何单位或个人共用 银行账户的情形。公司作为独立的纳税人进行纳税申报及履行纳税义务。</w:t>
      </w:r>
    </w:p>
    <w:p>
      <w:pPr>
        <w:pStyle w:val="Style22"/>
        <w:keepNext w:val="0"/>
        <w:keepLines w:val="0"/>
        <w:widowControl w:val="0"/>
        <w:shd w:val="clear" w:color="auto" w:fill="auto"/>
        <w:tabs>
          <w:tab w:pos="911" w:val="left"/>
        </w:tabs>
        <w:bidi w:val="0"/>
        <w:spacing w:before="0" w:line="312" w:lineRule="exact"/>
        <w:ind w:left="0" w:right="0" w:firstLine="380"/>
        <w:jc w:val="both"/>
      </w:pPr>
      <w:bookmarkStart w:id="369" w:name="bookmark369"/>
      <w:r>
        <w:rPr>
          <w:color w:val="000000"/>
          <w:spacing w:val="0"/>
          <w:w w:val="100"/>
          <w:position w:val="0"/>
        </w:rPr>
        <w:t>（</w:t>
      </w:r>
      <w:bookmarkEnd w:id="369"/>
      <w:r>
        <w:rPr>
          <w:color w:val="000000"/>
          <w:spacing w:val="0"/>
          <w:w w:val="100"/>
          <w:position w:val="0"/>
        </w:rPr>
        <w:t>四）</w:t>
        <w:tab/>
        <w:t>机构独立</w:t>
      </w:r>
    </w:p>
    <w:p>
      <w:pPr>
        <w:pStyle w:val="Style22"/>
        <w:keepNext w:val="0"/>
        <w:keepLines w:val="0"/>
        <w:widowControl w:val="0"/>
        <w:shd w:val="clear" w:color="auto" w:fill="auto"/>
        <w:bidi w:val="0"/>
        <w:spacing w:before="0" w:line="312" w:lineRule="exact"/>
        <w:ind w:left="0" w:right="0" w:firstLine="380"/>
        <w:jc w:val="left"/>
      </w:pPr>
      <w:r>
        <w:rPr>
          <w:color w:val="000000"/>
          <w:spacing w:val="0"/>
          <w:w w:val="100"/>
          <w:position w:val="0"/>
        </w:rPr>
        <w:t>公司依照《公司法》和《公司章程》设置了股东大会、董事会、监事会等决策及监督机构，建立健全了内部经营管理机 构、独立行使经营管理职权。同时，公司与控股股东、实际控制人及其控制的其他企业不存在机构混同、合署办公的情形。</w:t>
      </w:r>
    </w:p>
    <w:p>
      <w:pPr>
        <w:pStyle w:val="Style22"/>
        <w:keepNext w:val="0"/>
        <w:keepLines w:val="0"/>
        <w:widowControl w:val="0"/>
        <w:shd w:val="clear" w:color="auto" w:fill="auto"/>
        <w:tabs>
          <w:tab w:pos="911" w:val="left"/>
        </w:tabs>
        <w:bidi w:val="0"/>
        <w:spacing w:before="0" w:line="312" w:lineRule="exact"/>
        <w:ind w:left="0" w:right="0" w:firstLine="380"/>
        <w:jc w:val="left"/>
      </w:pPr>
      <w:bookmarkStart w:id="370" w:name="bookmark370"/>
      <w:r>
        <w:rPr>
          <w:color w:val="000000"/>
          <w:spacing w:val="0"/>
          <w:w w:val="100"/>
          <w:position w:val="0"/>
        </w:rPr>
        <w:t>（</w:t>
      </w:r>
      <w:bookmarkEnd w:id="370"/>
      <w:r>
        <w:rPr>
          <w:color w:val="000000"/>
          <w:spacing w:val="0"/>
          <w:w w:val="100"/>
          <w:position w:val="0"/>
        </w:rPr>
        <w:t>五）</w:t>
        <w:tab/>
        <w:t>业务独立</w:t>
      </w:r>
    </w:p>
    <w:p>
      <w:pPr>
        <w:pStyle w:val="Style22"/>
        <w:keepNext w:val="0"/>
        <w:keepLines w:val="0"/>
        <w:widowControl w:val="0"/>
        <w:shd w:val="clear" w:color="auto" w:fill="auto"/>
        <w:bidi w:val="0"/>
        <w:spacing w:before="0" w:line="312" w:lineRule="exact"/>
        <w:ind w:left="0" w:right="0" w:firstLine="380"/>
        <w:jc w:val="left"/>
      </w:pPr>
      <w:r>
        <w:rPr>
          <w:color w:val="000000"/>
          <w:spacing w:val="0"/>
          <w:w w:val="100"/>
          <w:position w:val="0"/>
        </w:rPr>
        <w:t>公司的业务独立于控股股东、实际控制人控制的其他企业，与控股股东、实际控制人控制的其他企业不存在同业竞争， 以及严重影响独立性或者显失公平的关联交易。</w:t>
      </w:r>
    </w:p>
    <w:p>
      <w:pPr>
        <w:pStyle w:val="Style22"/>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公司与控股股东、实际控制人及其控制的其他企业，在资产、人员、财务、机构、业务方面相互独立，具有完整的业务 体系及面向市场独立经营的能力。</w:t>
      </w:r>
    </w:p>
    <w:p>
      <w:pPr>
        <w:pStyle w:val="Style27"/>
        <w:keepNext/>
        <w:keepLines/>
        <w:widowControl w:val="0"/>
        <w:shd w:val="clear" w:color="auto" w:fill="auto"/>
        <w:tabs>
          <w:tab w:pos="522" w:val="left"/>
        </w:tabs>
        <w:bidi w:val="0"/>
        <w:spacing w:before="0" w:after="36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sz w:val="24"/>
          <w:szCs w:val="24"/>
        </w:rPr>
        <w:t>三</w:t>
      </w:r>
      <w:bookmarkEnd w:id="373"/>
      <w:r>
        <w:rPr>
          <w:color w:val="000000"/>
          <w:spacing w:val="0"/>
          <w:w w:val="100"/>
          <w:position w:val="0"/>
          <w:sz w:val="24"/>
          <w:szCs w:val="24"/>
        </w:rPr>
        <w:t>、</w:t>
        <w:tab/>
        <w:t>同业竞争情况</w:t>
      </w:r>
      <w:bookmarkEnd w:id="371"/>
      <w:bookmarkEnd w:id="372"/>
      <w:bookmarkEnd w:id="374"/>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sz w:val="24"/>
          <w:szCs w:val="24"/>
        </w:rPr>
        <w:t>四</w:t>
      </w:r>
      <w:bookmarkEnd w:id="377"/>
      <w:r>
        <w:rPr>
          <w:color w:val="000000"/>
          <w:spacing w:val="0"/>
          <w:w w:val="100"/>
          <w:position w:val="0"/>
          <w:sz w:val="24"/>
          <w:szCs w:val="24"/>
        </w:rPr>
        <w:t>、</w:t>
        <w:tab/>
        <w:t>报告期内召开的年度股东大会和临时股东大会的有关情况</w:t>
      </w:r>
      <w:bookmarkEnd w:id="375"/>
      <w:bookmarkEnd w:id="376"/>
      <w:bookmarkEnd w:id="378"/>
    </w:p>
    <w:p>
      <w:pPr>
        <w:pStyle w:val="Style33"/>
        <w:keepNext/>
        <w:keepLines/>
        <w:widowControl w:val="0"/>
        <w:shd w:val="clear" w:color="auto" w:fill="auto"/>
        <w:bidi w:val="0"/>
        <w:spacing w:before="0" w:after="36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、本报告期股东大会情况</w:t>
      </w:r>
      <w:bookmarkEnd w:id="379"/>
      <w:bookmarkEnd w:id="380"/>
      <w:bookmarkEnd w:id="382"/>
    </w:p>
    <w:tbl>
      <w:tblPr>
        <w:tblOverlap w:val="never"/>
        <w:jc w:val="center"/>
        <w:tblLayout w:type="fixed"/>
      </w:tblPr>
      <w:tblGrid>
        <w:gridCol w:w="2275"/>
        <w:gridCol w:w="1560"/>
        <w:gridCol w:w="1416"/>
        <w:gridCol w:w="1704"/>
        <w:gridCol w:w="1027"/>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股东大会决议</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会决议</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、表决权恢复的优先股股东请求召开临时股东大会</w:t>
      </w:r>
      <w:bookmarkEnd w:id="383"/>
      <w:bookmarkEnd w:id="384"/>
      <w:bookmarkEnd w:id="386"/>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sz w:val="24"/>
          <w:szCs w:val="24"/>
        </w:rPr>
        <w:t>五</w:t>
      </w:r>
      <w:bookmarkEnd w:id="389"/>
      <w:r>
        <w:rPr>
          <w:color w:val="000000"/>
          <w:spacing w:val="0"/>
          <w:w w:val="100"/>
          <w:position w:val="0"/>
          <w:sz w:val="24"/>
          <w:szCs w:val="24"/>
        </w:rPr>
        <w:t>、</w:t>
        <w:tab/>
        <w:t>公司具有表决权差异安排</w:t>
      </w:r>
      <w:bookmarkEnd w:id="387"/>
      <w:bookmarkEnd w:id="388"/>
      <w:bookmarkEnd w:id="390"/>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391" w:name="bookmark391"/>
      <w:bookmarkStart w:id="392" w:name="bookmark392"/>
      <w:bookmarkStart w:id="393" w:name="bookmark393"/>
      <w:bookmarkStart w:id="394" w:name="bookmark394"/>
      <w:r>
        <w:rPr>
          <w:color w:val="000000"/>
          <w:spacing w:val="0"/>
          <w:w w:val="100"/>
          <w:position w:val="0"/>
          <w:sz w:val="24"/>
          <w:szCs w:val="24"/>
        </w:rPr>
        <w:t>六</w:t>
      </w:r>
      <w:bookmarkEnd w:id="393"/>
      <w:r>
        <w:rPr>
          <w:color w:val="000000"/>
          <w:spacing w:val="0"/>
          <w:w w:val="100"/>
          <w:position w:val="0"/>
          <w:sz w:val="24"/>
          <w:szCs w:val="24"/>
        </w:rPr>
        <w:t>、</w:t>
        <w:tab/>
        <w:t>红筹架构公司治理情况</w:t>
      </w:r>
      <w:bookmarkEnd w:id="391"/>
      <w:bookmarkEnd w:id="392"/>
      <w:bookmarkEnd w:id="39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395" w:name="bookmark395"/>
      <w:bookmarkStart w:id="396" w:name="bookmark396"/>
      <w:bookmarkStart w:id="397" w:name="bookmark397"/>
      <w:bookmarkStart w:id="398" w:name="bookmark398"/>
      <w:r>
        <w:rPr>
          <w:color w:val="000000"/>
          <w:spacing w:val="0"/>
          <w:w w:val="100"/>
          <w:position w:val="0"/>
          <w:sz w:val="24"/>
          <w:szCs w:val="24"/>
        </w:rPr>
        <w:t>七</w:t>
      </w:r>
      <w:bookmarkEnd w:id="397"/>
      <w:r>
        <w:rPr>
          <w:color w:val="000000"/>
          <w:spacing w:val="0"/>
          <w:w w:val="100"/>
          <w:position w:val="0"/>
          <w:sz w:val="24"/>
          <w:szCs w:val="24"/>
        </w:rPr>
        <w:t>、董事、监事和高级管理人员情况</w:t>
      </w:r>
      <w:bookmarkEnd w:id="395"/>
      <w:bookmarkEnd w:id="396"/>
      <w:bookmarkEnd w:id="398"/>
    </w:p>
    <w:p>
      <w:pPr>
        <w:pStyle w:val="Style33"/>
        <w:keepNext/>
        <w:keepLines/>
        <w:widowControl w:val="0"/>
        <w:shd w:val="clear" w:color="auto" w:fill="auto"/>
        <w:bidi w:val="0"/>
        <w:spacing w:before="0" w:after="30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1</w:t>
      </w:r>
      <w:bookmarkEnd w:id="401"/>
      <w:r>
        <w:rPr>
          <w:color w:val="000000"/>
          <w:spacing w:val="0"/>
          <w:w w:val="100"/>
          <w:position w:val="0"/>
        </w:rPr>
        <w:t>、基本情况</w:t>
      </w:r>
      <w:bookmarkEnd w:id="399"/>
      <w:bookmarkEnd w:id="400"/>
      <w:bookmarkEnd w:id="402"/>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股数</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100,602, 111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100,602, 111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车俊河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4"/>
                <w:szCs w:val="14"/>
              </w:rPr>
            </w:pPr>
            <w:r>
              <w:rPr>
                <w:color w:val="000000"/>
                <w:spacing w:val="0"/>
                <w:w w:val="100"/>
                <w:position w:val="0"/>
                <w:sz w:val="17"/>
                <w:szCs w:val="17"/>
              </w:rPr>
              <w:t xml:space="preserve">董事、副 总经理、 财务总 瞌 </w:t>
            </w:r>
            <w:r>
              <w:rPr>
                <w:rFonts w:ascii="Courier New" w:eastAsia="Courier New" w:hAnsi="Courier New" w:cs="Courier New"/>
                <w:color w:val="000000"/>
                <w:spacing w:val="0"/>
                <w:w w:val="100"/>
                <w:position w:val="0"/>
                <w:sz w:val="14"/>
                <w:szCs w:val="14"/>
                <w:u w:val="single"/>
              </w:rPr>
              <w:t>n~n.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简建辉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陈柏汀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股数</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张鹭茜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职工代</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表监事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100,602, 111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100,602, 111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报告期是否存在任期内董事、监事离任和高级管理人员解聘的情况</w:t>
      </w:r>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公司董事、监事、高级管理人员变动情况</w:t>
      </w:r>
    </w:p>
    <w:p>
      <w:pPr>
        <w:pStyle w:val="Style2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2</w:t>
      </w:r>
      <w:bookmarkEnd w:id="405"/>
      <w:r>
        <w:rPr>
          <w:color w:val="000000"/>
          <w:spacing w:val="0"/>
          <w:w w:val="100"/>
          <w:position w:val="0"/>
        </w:rPr>
        <w:t>、任职情况</w:t>
      </w:r>
      <w:bookmarkEnd w:id="403"/>
      <w:bookmarkEnd w:id="404"/>
      <w:bookmarkEnd w:id="406"/>
    </w:p>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刘天文先生，</w:t>
      </w:r>
      <w:r>
        <w:rPr>
          <w:color w:val="000000"/>
          <w:spacing w:val="0"/>
          <w:w w:val="100"/>
          <w:position w:val="0"/>
          <w:sz w:val="18"/>
          <w:szCs w:val="18"/>
        </w:rPr>
        <w:t>1963</w:t>
      </w:r>
      <w:r>
        <w:rPr>
          <w:color w:val="000000"/>
          <w:spacing w:val="0"/>
          <w:w w:val="100"/>
          <w:position w:val="0"/>
        </w:rPr>
        <w:t>年出生，中国国籍，无境外永久居留权，硕士研究生学历。</w:t>
      </w:r>
      <w:r>
        <w:rPr>
          <w:color w:val="000000"/>
          <w:spacing w:val="0"/>
          <w:w w:val="100"/>
          <w:position w:val="0"/>
          <w:sz w:val="18"/>
          <w:szCs w:val="18"/>
        </w:rPr>
        <w:t>1991</w:t>
      </w:r>
      <w:r>
        <w:rPr>
          <w:color w:val="000000"/>
          <w:spacing w:val="0"/>
          <w:w w:val="100"/>
          <w:position w:val="0"/>
        </w:rPr>
        <w:t>年至</w:t>
      </w:r>
      <w:r>
        <w:rPr>
          <w:color w:val="000000"/>
          <w:spacing w:val="0"/>
          <w:w w:val="100"/>
          <w:position w:val="0"/>
          <w:sz w:val="18"/>
          <w:szCs w:val="18"/>
        </w:rPr>
        <w:t>1993</w:t>
      </w:r>
      <w:r>
        <w:rPr>
          <w:color w:val="000000"/>
          <w:spacing w:val="0"/>
          <w:w w:val="100"/>
          <w:position w:val="0"/>
        </w:rPr>
        <w:t>年，任</w:t>
      </w:r>
      <w:r>
        <w:rPr>
          <w:color w:val="000000"/>
          <w:spacing w:val="0"/>
          <w:w w:val="100"/>
          <w:position w:val="0"/>
          <w:sz w:val="18"/>
          <w:szCs w:val="18"/>
        </w:rPr>
        <w:t>Digital Equipment Corporation IT</w:t>
      </w:r>
      <w:r>
        <w:rPr>
          <w:color w:val="000000"/>
          <w:spacing w:val="0"/>
          <w:w w:val="100"/>
          <w:position w:val="0"/>
        </w:rPr>
        <w:t>咨询经理；</w:t>
      </w:r>
      <w:r>
        <w:rPr>
          <w:color w:val="000000"/>
          <w:spacing w:val="0"/>
          <w:w w:val="100"/>
          <w:position w:val="0"/>
          <w:sz w:val="18"/>
          <w:szCs w:val="18"/>
        </w:rPr>
        <w:t>1993</w:t>
      </w:r>
      <w:r>
        <w:rPr>
          <w:color w:val="000000"/>
          <w:spacing w:val="0"/>
          <w:w w:val="100"/>
          <w:position w:val="0"/>
        </w:rPr>
        <w:t>年至</w:t>
      </w:r>
      <w:r>
        <w:rPr>
          <w:color w:val="000000"/>
          <w:spacing w:val="0"/>
          <w:w w:val="100"/>
          <w:position w:val="0"/>
          <w:sz w:val="18"/>
          <w:szCs w:val="18"/>
        </w:rPr>
        <w:t>1995</w:t>
      </w:r>
      <w:r>
        <w:rPr>
          <w:color w:val="000000"/>
          <w:spacing w:val="0"/>
          <w:w w:val="100"/>
          <w:position w:val="0"/>
        </w:rPr>
        <w:t>年，任美国</w:t>
      </w:r>
      <w:r>
        <w:rPr>
          <w:color w:val="000000"/>
          <w:spacing w:val="0"/>
          <w:w w:val="100"/>
          <w:position w:val="0"/>
          <w:sz w:val="18"/>
          <w:szCs w:val="18"/>
        </w:rPr>
        <w:t>Bechtel Corporation</w:t>
      </w:r>
      <w:r>
        <w:rPr>
          <w:color w:val="000000"/>
          <w:spacing w:val="0"/>
          <w:w w:val="100"/>
          <w:position w:val="0"/>
        </w:rPr>
        <w:t>高级项目经理；</w:t>
      </w:r>
      <w:r>
        <w:rPr>
          <w:color w:val="000000"/>
          <w:spacing w:val="0"/>
          <w:w w:val="100"/>
          <w:position w:val="0"/>
          <w:sz w:val="18"/>
          <w:szCs w:val="18"/>
        </w:rPr>
        <w:t>1996</w:t>
      </w:r>
      <w:r>
        <w:rPr>
          <w:color w:val="000000"/>
          <w:spacing w:val="0"/>
          <w:w w:val="100"/>
          <w:position w:val="0"/>
        </w:rPr>
        <w:t>年至</w:t>
      </w:r>
      <w:r>
        <w:rPr>
          <w:color w:val="000000"/>
          <w:spacing w:val="0"/>
          <w:w w:val="100"/>
          <w:position w:val="0"/>
          <w:sz w:val="18"/>
          <w:szCs w:val="18"/>
        </w:rPr>
        <w:t>1999</w:t>
      </w:r>
      <w:r>
        <w:rPr>
          <w:color w:val="000000"/>
          <w:spacing w:val="0"/>
          <w:w w:val="100"/>
          <w:position w:val="0"/>
        </w:rPr>
        <w:t>年，任西门子商业 服务集团系统集成部中国区总经理</w:t>
      </w:r>
      <w:r>
        <w:rPr>
          <w:color w:val="000000"/>
          <w:spacing w:val="0"/>
          <w:w w:val="100"/>
          <w:position w:val="0"/>
          <w:sz w:val="18"/>
          <w:szCs w:val="18"/>
        </w:rPr>
        <w:t>；1999</w:t>
      </w:r>
      <w:r>
        <w:rPr>
          <w:color w:val="000000"/>
          <w:spacing w:val="0"/>
          <w:w w:val="100"/>
          <w:position w:val="0"/>
        </w:rPr>
        <w:t>年至</w:t>
      </w:r>
      <w:r>
        <w:rPr>
          <w:color w:val="000000"/>
          <w:spacing w:val="0"/>
          <w:w w:val="100"/>
          <w:position w:val="0"/>
          <w:sz w:val="18"/>
          <w:szCs w:val="18"/>
        </w:rPr>
        <w:t>2001</w:t>
      </w:r>
      <w:r>
        <w:rPr>
          <w:color w:val="000000"/>
          <w:spacing w:val="0"/>
          <w:w w:val="100"/>
          <w:position w:val="0"/>
        </w:rPr>
        <w:t>年，作为北京亚商在线信息技术有限公司联合创始人，任执行副总裁，</w:t>
      </w:r>
      <w:r>
        <w:rPr>
          <w:color w:val="000000"/>
          <w:spacing w:val="0"/>
          <w:w w:val="100"/>
          <w:position w:val="0"/>
          <w:sz w:val="18"/>
          <w:szCs w:val="18"/>
        </w:rPr>
        <w:t xml:space="preserve">2001 </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年，任北京软通动力科技有限公司董事长、总经理、首席执行官，</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年，历任软通动力信息技术（集团） 有限公司执行董事、董事长及首席执行官；</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月至今，任软通动力信息技术（集团）股份有限公司董事长、总经理， 负责公司整体管理和战略发展。</w:t>
      </w:r>
    </w:p>
    <w:p>
      <w:pPr>
        <w:pStyle w:val="Style2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车俊河先生，</w:t>
      </w:r>
      <w:r>
        <w:rPr>
          <w:color w:val="000000"/>
          <w:spacing w:val="0"/>
          <w:w w:val="100"/>
          <w:position w:val="0"/>
          <w:sz w:val="18"/>
          <w:szCs w:val="18"/>
        </w:rPr>
        <w:t>1970</w:t>
      </w:r>
      <w:r>
        <w:rPr>
          <w:color w:val="000000"/>
          <w:spacing w:val="0"/>
          <w:w w:val="100"/>
          <w:position w:val="0"/>
        </w:rPr>
        <w:t>年出生，中国国籍，无境外永久居留权，硕士研究生学历。</w:t>
      </w:r>
      <w:r>
        <w:rPr>
          <w:color w:val="000000"/>
          <w:spacing w:val="0"/>
          <w:w w:val="100"/>
          <w:position w:val="0"/>
          <w:sz w:val="18"/>
          <w:szCs w:val="18"/>
        </w:rPr>
        <w:t>1993</w:t>
      </w:r>
      <w:r>
        <w:rPr>
          <w:color w:val="000000"/>
          <w:spacing w:val="0"/>
          <w:w w:val="100"/>
          <w:position w:val="0"/>
        </w:rPr>
        <w:t>年至</w:t>
      </w:r>
      <w:r>
        <w:rPr>
          <w:color w:val="000000"/>
          <w:spacing w:val="0"/>
          <w:w w:val="100"/>
          <w:position w:val="0"/>
          <w:sz w:val="18"/>
          <w:szCs w:val="18"/>
        </w:rPr>
        <w:t>1995</w:t>
      </w:r>
      <w:r>
        <w:rPr>
          <w:color w:val="000000"/>
          <w:spacing w:val="0"/>
          <w:w w:val="100"/>
          <w:position w:val="0"/>
        </w:rPr>
        <w:t>年，任北京科海高科技集团 有限公司员工；</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1996</w:t>
      </w:r>
      <w:r>
        <w:rPr>
          <w:color w:val="000000"/>
          <w:spacing w:val="0"/>
          <w:w w:val="100"/>
          <w:position w:val="0"/>
        </w:rPr>
        <w:t>年，任中包期货经纪有限公司员工；</w:t>
      </w:r>
      <w:r>
        <w:rPr>
          <w:color w:val="000000"/>
          <w:spacing w:val="0"/>
          <w:w w:val="100"/>
          <w:position w:val="0"/>
          <w:sz w:val="18"/>
          <w:szCs w:val="18"/>
        </w:rPr>
        <w:t>1996</w:t>
      </w:r>
      <w:r>
        <w:rPr>
          <w:color w:val="000000"/>
          <w:spacing w:val="0"/>
          <w:w w:val="100"/>
          <w:position w:val="0"/>
        </w:rPr>
        <w:t>年至</w:t>
      </w:r>
      <w:r>
        <w:rPr>
          <w:color w:val="000000"/>
          <w:spacing w:val="0"/>
          <w:w w:val="100"/>
          <w:position w:val="0"/>
          <w:sz w:val="18"/>
          <w:szCs w:val="18"/>
        </w:rPr>
        <w:t>1998</w:t>
      </w:r>
      <w:r>
        <w:rPr>
          <w:color w:val="000000"/>
          <w:spacing w:val="0"/>
          <w:w w:val="100"/>
          <w:position w:val="0"/>
        </w:rPr>
        <w:t>年，任德勤会计师事务所员工；</w:t>
      </w:r>
      <w:r>
        <w:rPr>
          <w:color w:val="000000"/>
          <w:spacing w:val="0"/>
          <w:w w:val="100"/>
          <w:position w:val="0"/>
          <w:sz w:val="18"/>
          <w:szCs w:val="18"/>
        </w:rPr>
        <w:t>1999</w:t>
      </w:r>
      <w:r>
        <w:rPr>
          <w:color w:val="000000"/>
          <w:spacing w:val="0"/>
          <w:w w:val="100"/>
          <w:position w:val="0"/>
        </w:rPr>
        <w:t>年，任 长天科技有限公司员工；</w:t>
      </w: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2001</w:t>
      </w:r>
      <w:r>
        <w:rPr>
          <w:color w:val="000000"/>
          <w:spacing w:val="0"/>
          <w:w w:val="100"/>
          <w:position w:val="0"/>
        </w:rPr>
        <w:t>年，任北京亚商在线信息技术有限公司员工；</w:t>
      </w:r>
      <w:r>
        <w:rPr>
          <w:color w:val="000000"/>
          <w:spacing w:val="0"/>
          <w:w w:val="100"/>
          <w:position w:val="0"/>
          <w:sz w:val="18"/>
          <w:szCs w:val="18"/>
        </w:rPr>
        <w:t>2001</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年，任北京软通动力科技 有限公司副总裁；</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年，历任软通动力信息技术（集团）有限公司中国区业务总裁、数字业务事业群总裁、董事、 首席运营官；</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月至今，任软通动力信息技术（集团）股份有限公司董事、副总经理，负责公司业务运营。</w:t>
      </w:r>
    </w:p>
    <w:p>
      <w:pPr>
        <w:pStyle w:val="Style2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张成先生，</w:t>
      </w:r>
      <w:r>
        <w:rPr>
          <w:color w:val="000000"/>
          <w:spacing w:val="0"/>
          <w:w w:val="100"/>
          <w:position w:val="0"/>
          <w:sz w:val="18"/>
          <w:szCs w:val="18"/>
        </w:rPr>
        <w:t>1972</w:t>
      </w:r>
      <w:r>
        <w:rPr>
          <w:color w:val="000000"/>
          <w:spacing w:val="0"/>
          <w:w w:val="100"/>
          <w:position w:val="0"/>
        </w:rPr>
        <w:t>年出生，中国国籍，持有加拿大永久居留权，硕士研究生学历。</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2006</w:t>
      </w:r>
      <w:r>
        <w:rPr>
          <w:color w:val="000000"/>
          <w:spacing w:val="0"/>
          <w:w w:val="100"/>
          <w:position w:val="0"/>
        </w:rPr>
        <w:t>年，任朗讯科技（中国） 有限公司高级财务经理；</w:t>
      </w:r>
      <w:r>
        <w:rPr>
          <w:color w:val="000000"/>
          <w:spacing w:val="0"/>
          <w:w w:val="100"/>
          <w:position w:val="0"/>
          <w:sz w:val="18"/>
          <w:szCs w:val="18"/>
        </w:rPr>
        <w:t>2006</w:t>
      </w:r>
      <w:r>
        <w:rPr>
          <w:color w:val="000000"/>
          <w:spacing w:val="0"/>
          <w:w w:val="100"/>
          <w:position w:val="0"/>
        </w:rPr>
        <w:t>年至</w:t>
      </w:r>
      <w:r>
        <w:rPr>
          <w:color w:val="000000"/>
          <w:spacing w:val="0"/>
          <w:w w:val="100"/>
          <w:position w:val="0"/>
          <w:sz w:val="18"/>
          <w:szCs w:val="18"/>
        </w:rPr>
        <w:t>2007</w:t>
      </w:r>
      <w:r>
        <w:rPr>
          <w:color w:val="000000"/>
          <w:spacing w:val="0"/>
          <w:w w:val="100"/>
          <w:position w:val="0"/>
        </w:rPr>
        <w:t>年，任诺兰特移动通信配件（北京）有限公司财务与信息总监；</w:t>
      </w: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年，历 任软通动力信息技术（集团）有限公司财务总监、董事、集团首席财务官；</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月至今，任软通动力信息技术（集团） 股份有限公司董事、副总经理、财务总监，负责公司财经管理。</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黄颖先生，</w:t>
      </w:r>
      <w:r>
        <w:rPr>
          <w:color w:val="000000"/>
          <w:spacing w:val="0"/>
          <w:w w:val="100"/>
          <w:position w:val="0"/>
          <w:sz w:val="18"/>
          <w:szCs w:val="18"/>
        </w:rPr>
        <w:t>1967</w:t>
      </w:r>
      <w:r>
        <w:rPr>
          <w:color w:val="000000"/>
          <w:spacing w:val="0"/>
          <w:w w:val="100"/>
          <w:position w:val="0"/>
        </w:rPr>
        <w:t>年出生，美国国籍，博士研究生学历。</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1996</w:t>
      </w:r>
      <w:r>
        <w:rPr>
          <w:color w:val="000000"/>
          <w:spacing w:val="0"/>
          <w:w w:val="100"/>
          <w:position w:val="0"/>
        </w:rPr>
        <w:t>年，于美国空军技术学院从事博士后研究；</w:t>
      </w:r>
      <w:r>
        <w:rPr>
          <w:color w:val="000000"/>
          <w:spacing w:val="0"/>
          <w:w w:val="100"/>
          <w:position w:val="0"/>
          <w:sz w:val="18"/>
          <w:szCs w:val="18"/>
        </w:rPr>
        <w:t xml:space="preserve">1996 </w:t>
      </w:r>
      <w:r>
        <w:rPr>
          <w:color w:val="000000"/>
          <w:spacing w:val="0"/>
          <w:w w:val="100"/>
          <w:position w:val="0"/>
        </w:rPr>
        <w:t>年至</w:t>
      </w:r>
      <w:r>
        <w:rPr>
          <w:color w:val="000000"/>
          <w:spacing w:val="0"/>
          <w:w w:val="100"/>
          <w:position w:val="0"/>
          <w:sz w:val="18"/>
          <w:szCs w:val="18"/>
        </w:rPr>
        <w:t>1997</w:t>
      </w:r>
      <w:r>
        <w:rPr>
          <w:color w:val="000000"/>
          <w:spacing w:val="0"/>
          <w:w w:val="100"/>
          <w:position w:val="0"/>
        </w:rPr>
        <w:t>年，任</w:t>
      </w:r>
      <w:r>
        <w:rPr>
          <w:color w:val="000000"/>
          <w:spacing w:val="0"/>
          <w:w w:val="100"/>
          <w:position w:val="0"/>
          <w:sz w:val="18"/>
          <w:szCs w:val="18"/>
        </w:rPr>
        <w:t>Lucent Technologies Co.</w:t>
      </w:r>
      <w:r>
        <w:rPr>
          <w:color w:val="000000"/>
          <w:spacing w:val="0"/>
          <w:w w:val="100"/>
          <w:position w:val="0"/>
          <w:sz w:val="18"/>
          <w:szCs w:val="18"/>
        </w:rPr>
        <w:t xml:space="preserve">, </w:t>
      </w:r>
      <w:r>
        <w:rPr>
          <w:color w:val="000000"/>
          <w:spacing w:val="0"/>
          <w:w w:val="100"/>
          <w:position w:val="0"/>
          <w:sz w:val="18"/>
          <w:szCs w:val="18"/>
        </w:rPr>
        <w:t>Ltd,</w:t>
      </w:r>
      <w:r>
        <w:rPr>
          <w:color w:val="000000"/>
          <w:spacing w:val="0"/>
          <w:w w:val="100"/>
          <w:position w:val="0"/>
        </w:rPr>
        <w:t>咨询顾问；</w:t>
      </w:r>
      <w:r>
        <w:rPr>
          <w:color w:val="000000"/>
          <w:spacing w:val="0"/>
          <w:w w:val="100"/>
          <w:position w:val="0"/>
          <w:sz w:val="18"/>
          <w:szCs w:val="18"/>
        </w:rPr>
        <w:t>1997</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年，任美国</w:t>
      </w:r>
      <w:r>
        <w:rPr>
          <w:color w:val="000000"/>
          <w:spacing w:val="0"/>
          <w:w w:val="100"/>
          <w:position w:val="0"/>
          <w:sz w:val="18"/>
          <w:szCs w:val="18"/>
        </w:rPr>
        <w:t>AT&amp;T</w:t>
      </w:r>
      <w:r>
        <w:rPr>
          <w:color w:val="000000"/>
          <w:spacing w:val="0"/>
          <w:w w:val="100"/>
          <w:position w:val="0"/>
        </w:rPr>
        <w:t>实验室资深技术顾问；</w:t>
      </w: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 xml:space="preserve">2001 </w:t>
      </w:r>
      <w:r>
        <w:rPr>
          <w:color w:val="000000"/>
          <w:spacing w:val="0"/>
          <w:w w:val="100"/>
          <w:position w:val="0"/>
        </w:rPr>
        <w:t>年，任</w:t>
      </w:r>
      <w:r>
        <w:rPr>
          <w:color w:val="000000"/>
          <w:spacing w:val="0"/>
          <w:w w:val="100"/>
          <w:position w:val="0"/>
          <w:sz w:val="18"/>
          <w:szCs w:val="18"/>
        </w:rPr>
        <w:t>UT Starcom Inc</w:t>
      </w:r>
      <w:r>
        <w:rPr>
          <w:color w:val="000000"/>
          <w:spacing w:val="0"/>
          <w:w w:val="100"/>
          <w:position w:val="0"/>
        </w:rPr>
        <w:t>资深项目经理；</w:t>
      </w:r>
      <w:r>
        <w:rPr>
          <w:color w:val="000000"/>
          <w:spacing w:val="0"/>
          <w:w w:val="100"/>
          <w:position w:val="0"/>
          <w:sz w:val="18"/>
          <w:szCs w:val="18"/>
        </w:rPr>
        <w:t>2001</w:t>
      </w:r>
      <w:r>
        <w:rPr>
          <w:color w:val="000000"/>
          <w:spacing w:val="0"/>
          <w:w w:val="100"/>
          <w:position w:val="0"/>
        </w:rPr>
        <w:t>年至</w:t>
      </w:r>
      <w:r>
        <w:rPr>
          <w:color w:val="000000"/>
          <w:spacing w:val="0"/>
          <w:w w:val="100"/>
          <w:position w:val="0"/>
          <w:sz w:val="18"/>
          <w:szCs w:val="18"/>
        </w:rPr>
        <w:t>2002</w:t>
      </w:r>
      <w:r>
        <w:rPr>
          <w:color w:val="000000"/>
          <w:spacing w:val="0"/>
          <w:w w:val="100"/>
          <w:position w:val="0"/>
        </w:rPr>
        <w:t>年，任北京首创网络有限公司首席技术官；</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2005</w:t>
      </w:r>
      <w:r>
        <w:rPr>
          <w:color w:val="000000"/>
          <w:spacing w:val="0"/>
          <w:w w:val="100"/>
          <w:position w:val="0"/>
        </w:rPr>
        <w:t xml:space="preserve">年，任联合创 </w:t>
      </w:r>
      <w:r>
        <w:rPr>
          <w:color w:val="000000"/>
          <w:spacing w:val="0"/>
          <w:w w:val="100"/>
          <w:position w:val="0"/>
        </w:rPr>
        <w:t>新泛网络技术有限公司首席技术官、副总经理；</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年，历任软通动力信息技术（集团）有限公司电信与高科技事 业群总裁、重大客户事业群总裁、首席人力资源官；</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月至今任软通动力信息技术（集团）股份有限公司董事、副总 经理，负责重大客户事业群管理工作以及公司人力资源与组织干部管理。</w:t>
      </w:r>
    </w:p>
    <w:p>
      <w:pPr>
        <w:pStyle w:val="Style22"/>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刘诚先生，</w:t>
      </w:r>
      <w:r>
        <w:rPr>
          <w:color w:val="000000"/>
          <w:spacing w:val="0"/>
          <w:w w:val="100"/>
          <w:position w:val="0"/>
          <w:sz w:val="18"/>
          <w:szCs w:val="18"/>
        </w:rPr>
        <w:t>1967</w:t>
      </w:r>
      <w:r>
        <w:rPr>
          <w:color w:val="000000"/>
          <w:spacing w:val="0"/>
          <w:w w:val="100"/>
          <w:position w:val="0"/>
        </w:rPr>
        <w:t>年出生，中国国籍，持有中国香港居民身份证，硕士研究生学历。</w:t>
      </w:r>
      <w:r>
        <w:rPr>
          <w:color w:val="000000"/>
          <w:spacing w:val="0"/>
          <w:w w:val="100"/>
          <w:position w:val="0"/>
          <w:sz w:val="18"/>
          <w:szCs w:val="18"/>
        </w:rPr>
        <w:t>1996</w:t>
      </w:r>
      <w:r>
        <w:rPr>
          <w:color w:val="000000"/>
          <w:spacing w:val="0"/>
          <w:w w:val="100"/>
          <w:position w:val="0"/>
        </w:rPr>
        <w:t>年至</w:t>
      </w:r>
      <w:r>
        <w:rPr>
          <w:color w:val="000000"/>
          <w:spacing w:val="0"/>
          <w:w w:val="100"/>
          <w:position w:val="0"/>
          <w:sz w:val="18"/>
          <w:szCs w:val="18"/>
        </w:rPr>
        <w:t>1999</w:t>
      </w:r>
      <w:r>
        <w:rPr>
          <w:color w:val="000000"/>
          <w:spacing w:val="0"/>
          <w:w w:val="100"/>
          <w:position w:val="0"/>
        </w:rPr>
        <w:t>年，任光大证券资产管 理部总经理助理；</w:t>
      </w:r>
      <w:r>
        <w:rPr>
          <w:color w:val="000000"/>
          <w:spacing w:val="0"/>
          <w:w w:val="100"/>
          <w:position w:val="0"/>
          <w:sz w:val="18"/>
          <w:szCs w:val="18"/>
        </w:rPr>
        <w:t>1999</w:t>
      </w:r>
      <w:r>
        <w:rPr>
          <w:color w:val="000000"/>
          <w:spacing w:val="0"/>
          <w:w w:val="100"/>
          <w:position w:val="0"/>
        </w:rPr>
        <w:t>年至</w:t>
      </w:r>
      <w:r>
        <w:rPr>
          <w:color w:val="000000"/>
          <w:spacing w:val="0"/>
          <w:w w:val="100"/>
          <w:position w:val="0"/>
          <w:sz w:val="18"/>
          <w:szCs w:val="18"/>
        </w:rPr>
        <w:t>2001</w:t>
      </w:r>
      <w:r>
        <w:rPr>
          <w:color w:val="000000"/>
          <w:spacing w:val="0"/>
          <w:w w:val="100"/>
          <w:position w:val="0"/>
        </w:rPr>
        <w:t>年，任招商证券资金管理部投资经理；</w:t>
      </w:r>
      <w:r>
        <w:rPr>
          <w:color w:val="000000"/>
          <w:spacing w:val="0"/>
          <w:w w:val="100"/>
          <w:position w:val="0"/>
          <w:sz w:val="18"/>
          <w:szCs w:val="18"/>
        </w:rPr>
        <w:t>2001</w:t>
      </w:r>
      <w:r>
        <w:rPr>
          <w:color w:val="000000"/>
          <w:spacing w:val="0"/>
          <w:w w:val="100"/>
          <w:position w:val="0"/>
        </w:rPr>
        <w:t>年至</w:t>
      </w:r>
      <w:r>
        <w:rPr>
          <w:color w:val="000000"/>
          <w:spacing w:val="0"/>
          <w:w w:val="100"/>
          <w:position w:val="0"/>
          <w:sz w:val="18"/>
          <w:szCs w:val="18"/>
        </w:rPr>
        <w:t>2004</w:t>
      </w:r>
      <w:r>
        <w:rPr>
          <w:color w:val="000000"/>
          <w:spacing w:val="0"/>
          <w:w w:val="100"/>
          <w:position w:val="0"/>
        </w:rPr>
        <w:t>年，任光大控股创业投资（深圳）有限 公司董事副总经理；</w:t>
      </w:r>
      <w:r>
        <w:rPr>
          <w:color w:val="000000"/>
          <w:spacing w:val="0"/>
          <w:w w:val="100"/>
          <w:position w:val="0"/>
          <w:sz w:val="18"/>
          <w:szCs w:val="18"/>
        </w:rPr>
        <w:t>2004</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年，任中国光大控股投资管理有限公司董事总经理；</w:t>
      </w:r>
      <w:r>
        <w:rPr>
          <w:color w:val="000000"/>
          <w:spacing w:val="0"/>
          <w:w w:val="100"/>
          <w:position w:val="0"/>
          <w:sz w:val="18"/>
          <w:szCs w:val="18"/>
        </w:rPr>
        <w:t>2014</w:t>
      </w:r>
      <w:r>
        <w:rPr>
          <w:color w:val="000000"/>
          <w:spacing w:val="0"/>
          <w:w w:val="100"/>
          <w:position w:val="0"/>
        </w:rPr>
        <w:t>年至今，任</w:t>
      </w:r>
      <w:r>
        <w:rPr>
          <w:color w:val="000000"/>
          <w:spacing w:val="0"/>
          <w:w w:val="100"/>
          <w:position w:val="0"/>
          <w:sz w:val="18"/>
          <w:szCs w:val="18"/>
        </w:rPr>
        <w:t>Forebright Capital Management Limited</w:t>
      </w:r>
      <w:r>
        <w:rPr>
          <w:color w:val="000000"/>
          <w:spacing w:val="0"/>
          <w:w w:val="100"/>
          <w:position w:val="0"/>
        </w:rPr>
        <w:t>董事；</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年，任软通动力信息技术（集团）有限公司董事；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 技术（集团）股份有限公司董事，主要参与董事会决策工作。</w:t>
      </w:r>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赵勇先生，</w:t>
      </w:r>
      <w:r>
        <w:rPr>
          <w:color w:val="000000"/>
          <w:spacing w:val="0"/>
          <w:w w:val="100"/>
          <w:position w:val="0"/>
          <w:sz w:val="18"/>
          <w:szCs w:val="18"/>
        </w:rPr>
        <w:t>1971</w:t>
      </w:r>
      <w:r>
        <w:rPr>
          <w:color w:val="000000"/>
          <w:spacing w:val="0"/>
          <w:w w:val="100"/>
          <w:position w:val="0"/>
        </w:rPr>
        <w:t>年出生，中国国籍，无境外永久居留权，硕士研究生学历。</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年，任深圳市光控投资咨询有 限公司投资总监；</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2019</w:t>
      </w:r>
      <w:r>
        <w:rPr>
          <w:color w:val="000000"/>
          <w:spacing w:val="0"/>
          <w:w w:val="100"/>
          <w:position w:val="0"/>
        </w:rPr>
        <w:t>年，任深圳市光远咨询管理有限公司投资部执行董事；</w:t>
      </w:r>
      <w:r>
        <w:rPr>
          <w:color w:val="000000"/>
          <w:spacing w:val="0"/>
          <w:w w:val="100"/>
          <w:position w:val="0"/>
          <w:sz w:val="18"/>
          <w:szCs w:val="18"/>
        </w:rPr>
        <w:t>2019</w:t>
      </w:r>
      <w:r>
        <w:rPr>
          <w:color w:val="000000"/>
          <w:spacing w:val="0"/>
          <w:w w:val="100"/>
          <w:position w:val="0"/>
        </w:rPr>
        <w:t>年至今，任</w:t>
      </w:r>
      <w:r>
        <w:rPr>
          <w:color w:val="000000"/>
          <w:spacing w:val="0"/>
          <w:w w:val="100"/>
          <w:position w:val="0"/>
          <w:sz w:val="18"/>
          <w:szCs w:val="18"/>
        </w:rPr>
        <w:t>Forebright Capital Management Limited</w:t>
      </w:r>
      <w:r>
        <w:rPr>
          <w:color w:val="000000"/>
          <w:spacing w:val="0"/>
          <w:w w:val="100"/>
          <w:position w:val="0"/>
        </w:rPr>
        <w:t>投资部执行董事；</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年，任软通动力信息技术（集团）有限公司董事；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 软通动力信息技术（集团）股份有限公司董事，主要参与董事会决策工作。</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李宏先生，</w:t>
      </w:r>
      <w:r>
        <w:rPr>
          <w:color w:val="000000"/>
          <w:spacing w:val="0"/>
          <w:w w:val="100"/>
          <w:position w:val="0"/>
          <w:sz w:val="18"/>
          <w:szCs w:val="18"/>
        </w:rPr>
        <w:t>1961</w:t>
      </w:r>
      <w:r>
        <w:rPr>
          <w:color w:val="000000"/>
          <w:spacing w:val="0"/>
          <w:w w:val="100"/>
          <w:position w:val="0"/>
        </w:rPr>
        <w:t>年出生，中国国籍，无境外永久居留权，大学本科学历。</w:t>
      </w:r>
      <w:r>
        <w:rPr>
          <w:color w:val="000000"/>
          <w:spacing w:val="0"/>
          <w:w w:val="100"/>
          <w:position w:val="0"/>
          <w:sz w:val="18"/>
          <w:szCs w:val="18"/>
        </w:rPr>
        <w:t>1983</w:t>
      </w:r>
      <w:r>
        <w:rPr>
          <w:color w:val="000000"/>
          <w:spacing w:val="0"/>
          <w:w w:val="100"/>
          <w:position w:val="0"/>
        </w:rPr>
        <w:t>年至</w:t>
      </w:r>
      <w:r>
        <w:rPr>
          <w:color w:val="000000"/>
          <w:spacing w:val="0"/>
          <w:w w:val="100"/>
          <w:position w:val="0"/>
          <w:sz w:val="18"/>
          <w:szCs w:val="18"/>
        </w:rPr>
        <w:t>1990</w:t>
      </w:r>
      <w:r>
        <w:rPr>
          <w:color w:val="000000"/>
          <w:spacing w:val="0"/>
          <w:w w:val="100"/>
          <w:position w:val="0"/>
        </w:rPr>
        <w:t>年，任中国文化部外联局美洲大 洋洲处、西亚北非处副主任科员；</w:t>
      </w:r>
      <w:r>
        <w:rPr>
          <w:color w:val="000000"/>
          <w:spacing w:val="0"/>
          <w:w w:val="100"/>
          <w:position w:val="0"/>
          <w:sz w:val="18"/>
          <w:szCs w:val="18"/>
        </w:rPr>
        <w:t>1991</w:t>
      </w:r>
      <w:r>
        <w:rPr>
          <w:color w:val="000000"/>
          <w:spacing w:val="0"/>
          <w:w w:val="100"/>
          <w:position w:val="0"/>
        </w:rPr>
        <w:t>年至</w:t>
      </w:r>
      <w:r>
        <w:rPr>
          <w:color w:val="000000"/>
          <w:spacing w:val="0"/>
          <w:w w:val="100"/>
          <w:position w:val="0"/>
          <w:sz w:val="18"/>
          <w:szCs w:val="18"/>
        </w:rPr>
        <w:t>1992</w:t>
      </w:r>
      <w:r>
        <w:rPr>
          <w:color w:val="000000"/>
          <w:spacing w:val="0"/>
          <w:w w:val="100"/>
          <w:position w:val="0"/>
        </w:rPr>
        <w:t>年，任北京市外国企业服务总公司人事部、公关部经理助理、副经理；</w:t>
      </w:r>
      <w:r>
        <w:rPr>
          <w:color w:val="000000"/>
          <w:spacing w:val="0"/>
          <w:w w:val="100"/>
          <w:position w:val="0"/>
          <w:sz w:val="18"/>
          <w:szCs w:val="18"/>
        </w:rPr>
        <w:t xml:space="preserve">1993 </w:t>
      </w:r>
      <w:r>
        <w:rPr>
          <w:color w:val="000000"/>
          <w:spacing w:val="0"/>
          <w:w w:val="100"/>
          <w:position w:val="0"/>
        </w:rPr>
        <w:t>年，任奥美亚太集团香港公司顾问；</w:t>
      </w:r>
      <w:r>
        <w:rPr>
          <w:color w:val="000000"/>
          <w:spacing w:val="0"/>
          <w:w w:val="100"/>
          <w:position w:val="0"/>
          <w:sz w:val="18"/>
          <w:szCs w:val="18"/>
        </w:rPr>
        <w:t>1994</w:t>
      </w:r>
      <w:r>
        <w:rPr>
          <w:color w:val="000000"/>
          <w:spacing w:val="0"/>
          <w:w w:val="100"/>
          <w:position w:val="0"/>
        </w:rPr>
        <w:t>年至</w:t>
      </w:r>
      <w:r>
        <w:rPr>
          <w:color w:val="000000"/>
          <w:spacing w:val="0"/>
          <w:w w:val="100"/>
          <w:position w:val="0"/>
          <w:sz w:val="18"/>
          <w:szCs w:val="18"/>
        </w:rPr>
        <w:t>2002</w:t>
      </w:r>
      <w:r>
        <w:rPr>
          <w:color w:val="000000"/>
          <w:spacing w:val="0"/>
          <w:w w:val="100"/>
          <w:position w:val="0"/>
        </w:rPr>
        <w:t>年，任上海奥美广告有限公司北京分公司董事总经理；</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2017</w:t>
      </w:r>
      <w:r>
        <w:rPr>
          <w:color w:val="000000"/>
          <w:spacing w:val="0"/>
          <w:w w:val="100"/>
          <w:position w:val="0"/>
        </w:rPr>
        <w:t>年， 任北京福莱希乐国际传播咨询有限公司董事总经理、总裁；</w:t>
      </w:r>
      <w:r>
        <w:rPr>
          <w:color w:val="000000"/>
          <w:spacing w:val="0"/>
          <w:w w:val="100"/>
          <w:position w:val="0"/>
          <w:sz w:val="18"/>
          <w:szCs w:val="18"/>
        </w:rPr>
        <w:t>2017</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年，任北京亚彬舞影文化传播有限公司顾问；</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月至今任软通动力信息技术（集团）股份有限公司独立董事，主要参与董事会决策工作。</w:t>
      </w:r>
    </w:p>
    <w:p>
      <w:pPr>
        <w:pStyle w:val="Style2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张旭明先生，</w:t>
      </w:r>
      <w:r>
        <w:rPr>
          <w:color w:val="000000"/>
          <w:spacing w:val="0"/>
          <w:w w:val="100"/>
          <w:position w:val="0"/>
          <w:sz w:val="18"/>
          <w:szCs w:val="18"/>
        </w:rPr>
        <w:t>1966</w:t>
      </w:r>
      <w:r>
        <w:rPr>
          <w:color w:val="000000"/>
          <w:spacing w:val="0"/>
          <w:w w:val="100"/>
          <w:position w:val="0"/>
        </w:rPr>
        <w:t>年出生，中国国籍，无境外永久居留权，博士研究生学历，国务院特殊津贴专家，高级会计师，教授 级高级工程师。</w:t>
      </w:r>
      <w:r>
        <w:rPr>
          <w:color w:val="000000"/>
          <w:spacing w:val="0"/>
          <w:w w:val="100"/>
          <w:position w:val="0"/>
          <w:sz w:val="18"/>
          <w:szCs w:val="18"/>
        </w:rPr>
        <w:t>1990</w:t>
      </w:r>
      <w:r>
        <w:rPr>
          <w:color w:val="000000"/>
          <w:spacing w:val="0"/>
          <w:w w:val="100"/>
          <w:position w:val="0"/>
        </w:rPr>
        <w:t>年至</w:t>
      </w:r>
      <w:r>
        <w:rPr>
          <w:color w:val="000000"/>
          <w:spacing w:val="0"/>
          <w:w w:val="100"/>
          <w:position w:val="0"/>
          <w:sz w:val="18"/>
          <w:szCs w:val="18"/>
        </w:rPr>
        <w:t>1993</w:t>
      </w:r>
      <w:r>
        <w:rPr>
          <w:color w:val="000000"/>
          <w:spacing w:val="0"/>
          <w:w w:val="100"/>
          <w:position w:val="0"/>
        </w:rPr>
        <w:t xml:space="preserve">年，历任中国机械电子工业部计算机与微电子发展研究中心干部、经济体制改革与运行司干部； </w:t>
      </w:r>
      <w:r>
        <w:rPr>
          <w:color w:val="000000"/>
          <w:spacing w:val="0"/>
          <w:w w:val="100"/>
          <w:position w:val="0"/>
          <w:sz w:val="18"/>
          <w:szCs w:val="18"/>
        </w:rPr>
        <w:t>1993</w:t>
      </w:r>
      <w:r>
        <w:rPr>
          <w:color w:val="000000"/>
          <w:spacing w:val="0"/>
          <w:w w:val="100"/>
          <w:position w:val="0"/>
        </w:rPr>
        <w:t>年至</w:t>
      </w:r>
      <w:r>
        <w:rPr>
          <w:color w:val="000000"/>
          <w:spacing w:val="0"/>
          <w:w w:val="100"/>
          <w:position w:val="0"/>
          <w:sz w:val="18"/>
          <w:szCs w:val="18"/>
        </w:rPr>
        <w:t>1994</w:t>
      </w:r>
      <w:r>
        <w:rPr>
          <w:color w:val="000000"/>
          <w:spacing w:val="0"/>
          <w:w w:val="100"/>
          <w:position w:val="0"/>
        </w:rPr>
        <w:t>年，任香港兴华半导体工业有限公司财务部经理；</w:t>
      </w:r>
      <w:r>
        <w:rPr>
          <w:color w:val="000000"/>
          <w:spacing w:val="0"/>
          <w:w w:val="100"/>
          <w:position w:val="0"/>
          <w:sz w:val="18"/>
          <w:szCs w:val="18"/>
        </w:rPr>
        <w:t>1994</w:t>
      </w:r>
      <w:r>
        <w:rPr>
          <w:color w:val="000000"/>
          <w:spacing w:val="0"/>
          <w:w w:val="100"/>
          <w:position w:val="0"/>
        </w:rPr>
        <w:t>年至</w:t>
      </w:r>
      <w:r>
        <w:rPr>
          <w:color w:val="000000"/>
          <w:spacing w:val="0"/>
          <w:w w:val="100"/>
          <w:position w:val="0"/>
          <w:sz w:val="18"/>
          <w:szCs w:val="18"/>
        </w:rPr>
        <w:t>1995</w:t>
      </w:r>
      <w:r>
        <w:rPr>
          <w:color w:val="000000"/>
          <w:spacing w:val="0"/>
          <w:w w:val="100"/>
          <w:position w:val="0"/>
        </w:rPr>
        <w:t>年，任中晨电子实业发展公司总经理助理、投 资财务部经理；</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2001</w:t>
      </w:r>
      <w:r>
        <w:rPr>
          <w:color w:val="000000"/>
          <w:spacing w:val="0"/>
          <w:w w:val="100"/>
          <w:position w:val="0"/>
        </w:rPr>
        <w:t>年，历任中华通信系统有限责任公司副总会计师、总会计师、总经理；</w:t>
      </w:r>
      <w:r>
        <w:rPr>
          <w:color w:val="000000"/>
          <w:spacing w:val="0"/>
          <w:w w:val="100"/>
          <w:position w:val="0"/>
          <w:sz w:val="18"/>
          <w:szCs w:val="18"/>
        </w:rPr>
        <w:t>2001</w:t>
      </w:r>
      <w:r>
        <w:rPr>
          <w:color w:val="000000"/>
          <w:spacing w:val="0"/>
          <w:w w:val="100"/>
          <w:position w:val="0"/>
        </w:rPr>
        <w:t>年至</w:t>
      </w:r>
      <w:r>
        <w:rPr>
          <w:color w:val="000000"/>
          <w:spacing w:val="0"/>
          <w:w w:val="100"/>
          <w:position w:val="0"/>
          <w:sz w:val="18"/>
          <w:szCs w:val="18"/>
        </w:rPr>
        <w:t>2002</w:t>
      </w:r>
      <w:r>
        <w:rPr>
          <w:color w:val="000000"/>
          <w:spacing w:val="0"/>
          <w:w w:val="100"/>
          <w:position w:val="0"/>
        </w:rPr>
        <w:t>年，任信 息产业部财务司副司长；</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2006</w:t>
      </w:r>
      <w:r>
        <w:rPr>
          <w:color w:val="000000"/>
          <w:spacing w:val="0"/>
          <w:w w:val="100"/>
          <w:position w:val="0"/>
        </w:rPr>
        <w:t>年，任中国电子信息产业发展研究院院长；</w:t>
      </w:r>
      <w:r>
        <w:rPr>
          <w:color w:val="000000"/>
          <w:spacing w:val="0"/>
          <w:w w:val="100"/>
          <w:position w:val="0"/>
          <w:sz w:val="18"/>
          <w:szCs w:val="18"/>
        </w:rPr>
        <w:t>2006</w:t>
      </w:r>
      <w:r>
        <w:rPr>
          <w:color w:val="000000"/>
          <w:spacing w:val="0"/>
          <w:w w:val="100"/>
          <w:position w:val="0"/>
        </w:rPr>
        <w:t>年至</w:t>
      </w:r>
      <w:r>
        <w:rPr>
          <w:color w:val="000000"/>
          <w:spacing w:val="0"/>
          <w:w w:val="100"/>
          <w:position w:val="0"/>
          <w:sz w:val="18"/>
          <w:szCs w:val="18"/>
        </w:rPr>
        <w:t>2008</w:t>
      </w:r>
      <w:r>
        <w:rPr>
          <w:color w:val="000000"/>
          <w:spacing w:val="0"/>
          <w:w w:val="100"/>
          <w:position w:val="0"/>
        </w:rPr>
        <w:t>年任山东省青岛市人民政府 市长助理；</w:t>
      </w: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2009</w:t>
      </w:r>
      <w:r>
        <w:rPr>
          <w:color w:val="000000"/>
          <w:spacing w:val="0"/>
          <w:w w:val="100"/>
          <w:position w:val="0"/>
        </w:rPr>
        <w:t>年，任观印象艺术发展有限公司首席执行官；</w:t>
      </w:r>
      <w:r>
        <w:rPr>
          <w:color w:val="000000"/>
          <w:spacing w:val="0"/>
          <w:w w:val="100"/>
          <w:position w:val="0"/>
          <w:sz w:val="18"/>
          <w:szCs w:val="18"/>
        </w:rPr>
        <w:t>2009</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年，任河北精英动漫文化传播股份有限 公司董事、总经理；</w:t>
      </w:r>
      <w:r>
        <w:rPr>
          <w:color w:val="000000"/>
          <w:spacing w:val="0"/>
          <w:w w:val="100"/>
          <w:position w:val="0"/>
          <w:sz w:val="18"/>
          <w:szCs w:val="18"/>
        </w:rPr>
        <w:t>2011</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年，任北京爱农驿站科技服务有限公司董事长、首席执行官；</w:t>
      </w:r>
      <w:r>
        <w:rPr>
          <w:color w:val="000000"/>
          <w:spacing w:val="0"/>
          <w:w w:val="100"/>
          <w:position w:val="0"/>
          <w:sz w:val="18"/>
          <w:szCs w:val="18"/>
        </w:rPr>
        <w:t>2016</w:t>
      </w:r>
      <w:r>
        <w:rPr>
          <w:color w:val="000000"/>
          <w:spacing w:val="0"/>
          <w:w w:val="100"/>
          <w:position w:val="0"/>
        </w:rPr>
        <w:t>年至今，任北京鸿山通 投资有限公司董事长；</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月至今，任软通动力信息技术（集团）股份有限公司独立董事，主要参与董事会决策工作。</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简建辉先生，</w:t>
      </w:r>
      <w:r>
        <w:rPr>
          <w:color w:val="000000"/>
          <w:spacing w:val="0"/>
          <w:w w:val="100"/>
          <w:position w:val="0"/>
          <w:sz w:val="18"/>
          <w:szCs w:val="18"/>
        </w:rPr>
        <w:t>1978</w:t>
      </w:r>
      <w:r>
        <w:rPr>
          <w:color w:val="000000"/>
          <w:spacing w:val="0"/>
          <w:w w:val="100"/>
          <w:position w:val="0"/>
        </w:rPr>
        <w:t>年出生，中国国籍，无境外永久居留权，会计学博士研究生学历，中国注册会计师非执业会员。</w:t>
      </w:r>
      <w:r>
        <w:rPr>
          <w:color w:val="000000"/>
          <w:spacing w:val="0"/>
          <w:w w:val="100"/>
          <w:position w:val="0"/>
          <w:sz w:val="18"/>
          <w:szCs w:val="18"/>
        </w:rPr>
        <w:t xml:space="preserve">2002 </w:t>
      </w:r>
      <w:r>
        <w:rPr>
          <w:color w:val="000000"/>
          <w:spacing w:val="0"/>
          <w:w w:val="100"/>
          <w:position w:val="0"/>
        </w:rPr>
        <w:t>年至今，历任华北电力大学经济与管理学院助教、讲师、副教授；</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月至今，任软通动力信息技术（集团）股份有限 公司独立董事，主要参与董事会决策工作。</w:t>
      </w:r>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唐琳女士，</w:t>
      </w:r>
      <w:r>
        <w:rPr>
          <w:color w:val="000000"/>
          <w:spacing w:val="0"/>
          <w:w w:val="100"/>
          <w:position w:val="0"/>
          <w:sz w:val="18"/>
          <w:szCs w:val="18"/>
        </w:rPr>
        <w:t>1982</w:t>
      </w:r>
      <w:r>
        <w:rPr>
          <w:color w:val="000000"/>
          <w:spacing w:val="0"/>
          <w:w w:val="100"/>
          <w:position w:val="0"/>
        </w:rPr>
        <w:t>年出生，中国国籍，无境外永久居留权，硕士研究生学历。</w:t>
      </w:r>
      <w:r>
        <w:rPr>
          <w:color w:val="000000"/>
          <w:spacing w:val="0"/>
          <w:w w:val="100"/>
          <w:position w:val="0"/>
          <w:sz w:val="18"/>
          <w:szCs w:val="18"/>
        </w:rPr>
        <w:t>2006</w:t>
      </w:r>
      <w:r>
        <w:rPr>
          <w:color w:val="000000"/>
          <w:spacing w:val="0"/>
          <w:w w:val="100"/>
          <w:position w:val="0"/>
        </w:rPr>
        <w:t>年至</w:t>
      </w:r>
      <w:r>
        <w:rPr>
          <w:color w:val="000000"/>
          <w:spacing w:val="0"/>
          <w:w w:val="100"/>
          <w:position w:val="0"/>
          <w:sz w:val="18"/>
          <w:szCs w:val="18"/>
        </w:rPr>
        <w:t>2007</w:t>
      </w:r>
      <w:r>
        <w:rPr>
          <w:color w:val="000000"/>
          <w:spacing w:val="0"/>
          <w:w w:val="100"/>
          <w:position w:val="0"/>
        </w:rPr>
        <w:t>年，任上海专信企业管理顾问 有限公司北京分公司顾问；</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2008</w:t>
      </w:r>
      <w:r>
        <w:rPr>
          <w:color w:val="000000"/>
          <w:spacing w:val="0"/>
          <w:w w:val="100"/>
          <w:position w:val="0"/>
        </w:rPr>
        <w:t>年，任亚信科技（中国）有限公司法律部法律顾问；</w:t>
      </w: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年，历任软通动 力信息技术（集团）有限公司法律顾问、法务部负责人、监事、法务部总经理；</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 团）股份有限公司监事、法务部总经理，负责集团法务部的管理工作。</w:t>
      </w:r>
    </w:p>
    <w:p>
      <w:pPr>
        <w:pStyle w:val="Style2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陈柏汀先生，</w:t>
      </w:r>
      <w:r>
        <w:rPr>
          <w:color w:val="000000"/>
          <w:spacing w:val="0"/>
          <w:w w:val="100"/>
          <w:position w:val="0"/>
          <w:sz w:val="18"/>
          <w:szCs w:val="18"/>
        </w:rPr>
        <w:t>1965</w:t>
      </w:r>
      <w:r>
        <w:rPr>
          <w:color w:val="000000"/>
          <w:spacing w:val="0"/>
          <w:w w:val="100"/>
          <w:position w:val="0"/>
        </w:rPr>
        <w:t>年出生，中国国籍，无境外永久居留权，硕士研究生学历。</w:t>
      </w:r>
      <w:r>
        <w:rPr>
          <w:color w:val="000000"/>
          <w:spacing w:val="0"/>
          <w:w w:val="100"/>
          <w:position w:val="0"/>
          <w:sz w:val="18"/>
          <w:szCs w:val="18"/>
        </w:rPr>
        <w:t>1984</w:t>
      </w:r>
      <w:r>
        <w:rPr>
          <w:color w:val="000000"/>
          <w:spacing w:val="0"/>
          <w:w w:val="100"/>
          <w:position w:val="0"/>
        </w:rPr>
        <w:t>年至</w:t>
      </w:r>
      <w:r>
        <w:rPr>
          <w:color w:val="000000"/>
          <w:spacing w:val="0"/>
          <w:w w:val="100"/>
          <w:position w:val="0"/>
          <w:sz w:val="18"/>
          <w:szCs w:val="18"/>
        </w:rPr>
        <w:t>1991</w:t>
      </w:r>
      <w:r>
        <w:rPr>
          <w:color w:val="000000"/>
          <w:spacing w:val="0"/>
          <w:w w:val="100"/>
          <w:position w:val="0"/>
        </w:rPr>
        <w:t xml:space="preserve">年，任广东省嘉应学院助教; </w:t>
      </w:r>
      <w:r>
        <w:rPr>
          <w:color w:val="000000"/>
          <w:spacing w:val="0"/>
          <w:w w:val="100"/>
          <w:position w:val="0"/>
          <w:sz w:val="18"/>
          <w:szCs w:val="18"/>
        </w:rPr>
        <w:t>1991</w:t>
      </w:r>
      <w:r>
        <w:rPr>
          <w:color w:val="000000"/>
          <w:spacing w:val="0"/>
          <w:w w:val="100"/>
          <w:position w:val="0"/>
        </w:rPr>
        <w:t>年至</w:t>
      </w:r>
      <w:r>
        <w:rPr>
          <w:color w:val="000000"/>
          <w:spacing w:val="0"/>
          <w:w w:val="100"/>
          <w:position w:val="0"/>
          <w:sz w:val="18"/>
          <w:szCs w:val="18"/>
        </w:rPr>
        <w:t>2003</w:t>
      </w:r>
      <w:r>
        <w:rPr>
          <w:color w:val="000000"/>
          <w:spacing w:val="0"/>
          <w:w w:val="100"/>
          <w:position w:val="0"/>
        </w:rPr>
        <w:t>年，历任广东省梅州市旅游局科员、业务科长、办公室主任；</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年，攻读</w:t>
      </w:r>
      <w:r>
        <w:rPr>
          <w:color w:val="000000"/>
          <w:spacing w:val="0"/>
          <w:w w:val="100"/>
          <w:position w:val="0"/>
          <w:sz w:val="18"/>
          <w:szCs w:val="18"/>
        </w:rPr>
        <w:t xml:space="preserve">Oxford Brookes University </w:t>
      </w:r>
      <w:r>
        <w:rPr>
          <w:color w:val="000000"/>
          <w:spacing w:val="0"/>
          <w:w w:val="100"/>
          <w:position w:val="0"/>
        </w:rPr>
        <w:t>硕士学位；</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年，历任软通动力信息技术（集团）有限公司对外合作部总监、外包事业部销售总监、</w:t>
      </w:r>
      <w:r>
        <w:rPr>
          <w:color w:val="000000"/>
          <w:spacing w:val="0"/>
          <w:w w:val="100"/>
          <w:position w:val="0"/>
          <w:sz w:val="18"/>
          <w:szCs w:val="18"/>
        </w:rPr>
        <w:t>MNC</w:t>
      </w:r>
      <w:r>
        <w:rPr>
          <w:color w:val="000000"/>
          <w:spacing w:val="0"/>
          <w:w w:val="100"/>
          <w:position w:val="0"/>
        </w:rPr>
        <w:t>事业部 总监、大客户服务事业部总经理、高科技服务事业本部总经理、集团业务运营综合管理部总经理、集团日常费用管理中心总 经理、首席运营官办公室主任；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月至今任软通动力信息技术（集团）股份有限公司监事、首席运营官办公室主任、 集团日常费用管理中心总经理、集团采购与费用管理部总经理，负责协助首席运营官协调各部门日常工作的运转。</w:t>
      </w:r>
    </w:p>
    <w:p>
      <w:pPr>
        <w:pStyle w:val="Style22"/>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张鹭茜女士，</w:t>
      </w:r>
      <w:r>
        <w:rPr>
          <w:color w:val="000000"/>
          <w:spacing w:val="0"/>
          <w:w w:val="100"/>
          <w:position w:val="0"/>
          <w:sz w:val="18"/>
          <w:szCs w:val="18"/>
        </w:rPr>
        <w:t>1980</w:t>
      </w:r>
      <w:r>
        <w:rPr>
          <w:color w:val="000000"/>
          <w:spacing w:val="0"/>
          <w:w w:val="100"/>
          <w:position w:val="0"/>
        </w:rPr>
        <w:t>年出生，中国国籍，无境外永久居留权，大学本科学历。</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年，任北京万集科技有限责任 公司市场部市场专员；</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2006</w:t>
      </w:r>
      <w:r>
        <w:rPr>
          <w:color w:val="000000"/>
          <w:spacing w:val="0"/>
          <w:w w:val="100"/>
          <w:position w:val="0"/>
        </w:rPr>
        <w:t>年，任北京美航自控系统工程有限责任公司销售部销售经理助理；</w:t>
      </w:r>
      <w:r>
        <w:rPr>
          <w:color w:val="000000"/>
          <w:spacing w:val="0"/>
          <w:w w:val="100"/>
          <w:position w:val="0"/>
          <w:sz w:val="18"/>
          <w:szCs w:val="18"/>
        </w:rPr>
        <w:t>2006</w:t>
      </w:r>
      <w:r>
        <w:rPr>
          <w:color w:val="000000"/>
          <w:spacing w:val="0"/>
          <w:w w:val="100"/>
          <w:position w:val="0"/>
        </w:rPr>
        <w:t>年至</w:t>
      </w:r>
      <w:r>
        <w:rPr>
          <w:color w:val="000000"/>
          <w:spacing w:val="0"/>
          <w:w w:val="100"/>
          <w:position w:val="0"/>
          <w:sz w:val="18"/>
          <w:szCs w:val="18"/>
        </w:rPr>
        <w:t>2008</w:t>
      </w:r>
      <w:r>
        <w:rPr>
          <w:color w:val="000000"/>
          <w:spacing w:val="0"/>
          <w:w w:val="100"/>
          <w:position w:val="0"/>
        </w:rPr>
        <w:t>年，任 钛玛科（北京）工业科技有限公司内控部内控专员；</w:t>
      </w: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年，历任软通动力信息技术（集团）有限公司人力资源部 人力资源经理、人力资源部助理副总裁；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月至今，任软通动力信息技术（集团）股份有限公司监事、薪酬福利管理 部部长，负责薪酬福利管理部的管理工作。</w:t>
      </w:r>
      <w:r>
        <w:br w:type="page"/>
      </w:r>
    </w:p>
    <w:p>
      <w:pPr>
        <w:pStyle w:val="Style22"/>
        <w:keepNext w:val="0"/>
        <w:keepLines w:val="0"/>
        <w:widowControl w:val="0"/>
        <w:shd w:val="clear" w:color="auto" w:fill="auto"/>
        <w:bidi w:val="0"/>
        <w:spacing w:before="0" w:after="0" w:line="321" w:lineRule="exact"/>
        <w:ind w:left="0" w:right="0"/>
        <w:jc w:val="both"/>
      </w:pPr>
      <w:r>
        <w:rPr>
          <w:color w:val="000000"/>
          <w:spacing w:val="0"/>
          <w:w w:val="100"/>
          <w:position w:val="0"/>
        </w:rPr>
        <w:t>杜淼先生，</w:t>
      </w:r>
      <w:r>
        <w:rPr>
          <w:color w:val="000000"/>
          <w:spacing w:val="0"/>
          <w:w w:val="100"/>
          <w:position w:val="0"/>
          <w:sz w:val="18"/>
          <w:szCs w:val="18"/>
        </w:rPr>
        <w:t>1970</w:t>
      </w:r>
      <w:r>
        <w:rPr>
          <w:color w:val="000000"/>
          <w:spacing w:val="0"/>
          <w:w w:val="100"/>
          <w:position w:val="0"/>
        </w:rPr>
        <w:t>年出生，中国国籍，无境外永久居留权，大学本科学历。</w:t>
      </w:r>
      <w:r>
        <w:rPr>
          <w:color w:val="000000"/>
          <w:spacing w:val="0"/>
          <w:w w:val="100"/>
          <w:position w:val="0"/>
          <w:sz w:val="18"/>
          <w:szCs w:val="18"/>
        </w:rPr>
        <w:t>1990</w:t>
      </w:r>
      <w:r>
        <w:rPr>
          <w:color w:val="000000"/>
          <w:spacing w:val="0"/>
          <w:w w:val="100"/>
          <w:position w:val="0"/>
        </w:rPr>
        <w:t>年至</w:t>
      </w:r>
      <w:r>
        <w:rPr>
          <w:color w:val="000000"/>
          <w:spacing w:val="0"/>
          <w:w w:val="100"/>
          <w:position w:val="0"/>
          <w:sz w:val="18"/>
          <w:szCs w:val="18"/>
        </w:rPr>
        <w:t>1992</w:t>
      </w:r>
      <w:r>
        <w:rPr>
          <w:color w:val="000000"/>
          <w:spacing w:val="0"/>
          <w:w w:val="100"/>
          <w:position w:val="0"/>
        </w:rPr>
        <w:t>年，任福建实达电脑股份有限公 司工程师；</w:t>
      </w:r>
      <w:r>
        <w:rPr>
          <w:color w:val="000000"/>
          <w:spacing w:val="0"/>
          <w:w w:val="100"/>
          <w:position w:val="0"/>
          <w:sz w:val="18"/>
          <w:szCs w:val="18"/>
        </w:rPr>
        <w:t>1992</w:t>
      </w:r>
      <w:r>
        <w:rPr>
          <w:color w:val="000000"/>
          <w:spacing w:val="0"/>
          <w:w w:val="100"/>
          <w:position w:val="0"/>
        </w:rPr>
        <w:t>年至</w:t>
      </w:r>
      <w:r>
        <w:rPr>
          <w:color w:val="000000"/>
          <w:spacing w:val="0"/>
          <w:w w:val="100"/>
          <w:position w:val="0"/>
          <w:sz w:val="18"/>
          <w:szCs w:val="18"/>
        </w:rPr>
        <w:t>1994</w:t>
      </w:r>
      <w:r>
        <w:rPr>
          <w:color w:val="000000"/>
          <w:spacing w:val="0"/>
          <w:w w:val="100"/>
          <w:position w:val="0"/>
        </w:rPr>
        <w:t>年，任西科姆（中国）有限公司计算机事业部销售部长；</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2007</w:t>
      </w:r>
      <w:r>
        <w:rPr>
          <w:color w:val="000000"/>
          <w:spacing w:val="0"/>
          <w:w w:val="100"/>
          <w:position w:val="0"/>
        </w:rPr>
        <w:t>年，任北京泰利特科技发展 有限公司副董事长、总经理；</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年，任软通动力信息技术（集团）有限公司银行业务事业部副总裁、集团执行副 总裁、银行业务事业群总裁；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月至今，任软通动力信息技术（集团）股份有限公司副总经理、银行业务事业群总裁， 负责银行业务事业群管理工作。</w:t>
      </w:r>
    </w:p>
    <w:p>
      <w:pPr>
        <w:pStyle w:val="Style22"/>
        <w:keepNext w:val="0"/>
        <w:keepLines w:val="0"/>
        <w:widowControl w:val="0"/>
        <w:shd w:val="clear" w:color="auto" w:fill="auto"/>
        <w:bidi w:val="0"/>
        <w:spacing w:before="0" w:after="100" w:line="321" w:lineRule="exact"/>
        <w:ind w:left="0" w:right="0"/>
        <w:jc w:val="both"/>
      </w:pPr>
      <w:r>
        <w:rPr>
          <w:color w:val="000000"/>
          <w:spacing w:val="0"/>
          <w:w w:val="100"/>
          <w:position w:val="0"/>
        </w:rPr>
        <w:t>王悦先生，</w:t>
      </w:r>
      <w:r>
        <w:rPr>
          <w:color w:val="000000"/>
          <w:spacing w:val="0"/>
          <w:w w:val="100"/>
          <w:position w:val="0"/>
          <w:sz w:val="18"/>
          <w:szCs w:val="18"/>
        </w:rPr>
        <w:t>1983</w:t>
      </w:r>
      <w:r>
        <w:rPr>
          <w:color w:val="000000"/>
          <w:spacing w:val="0"/>
          <w:w w:val="100"/>
          <w:position w:val="0"/>
        </w:rPr>
        <w:t>年出生，中国国籍，无境外永久居留权，大学本科学历。</w:t>
      </w:r>
      <w:r>
        <w:rPr>
          <w:color w:val="000000"/>
          <w:spacing w:val="0"/>
          <w:w w:val="100"/>
          <w:position w:val="0"/>
          <w:sz w:val="18"/>
          <w:szCs w:val="18"/>
        </w:rPr>
        <w:t>2006</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年，历任庞大汽贸集团股份有限 公司员工、证券事务代表；</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年，任软通动力信息技术（集团）有限公司法律顾问、董事会办公室主任；</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月至今，任软通动力信息技术（集团）股份有限公司董事会秘书、董事会办公室主任，负责董事会办公室的管理工作。 在股东单位任职情况</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368"/>
        <w:gridCol w:w="1699"/>
        <w:gridCol w:w="710"/>
        <w:gridCol w:w="135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FNOF Easynet (HK)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Rise Group International (HK)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Foreign Partners (Hong Kong)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刘天文先生与软石智动为一致行动人。</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在其他单位任职情况</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2976"/>
        <w:gridCol w:w="1416"/>
        <w:gridCol w:w="1699"/>
        <w:gridCol w:w="994"/>
        <w:gridCol w:w="1253"/>
      </w:tblGrid>
      <w:tr>
        <w:trPr>
          <w:trHeight w:val="9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在其他单位</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是否领取报</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酬津贴</w:t>
            </w: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执行事务合伙</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软通智慧科技有限公司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无锡软石创新七号投资企业（有限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执行事务合伙 人委派代表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徐州智创通软商务信息咨询合伙企 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执行事务合伙 人委派代表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Tekventure Management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Tekventure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车俊河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Tekventure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Foreign Partners (Hong Kong)</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Forebright Capital Management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Forebright Administration Services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426"/>
        <w:gridCol w:w="2976"/>
        <w:gridCol w:w="1416"/>
        <w:gridCol w:w="1699"/>
        <w:gridCol w:w="994"/>
        <w:gridCol w:w="1253"/>
      </w:tblGrid>
      <w:tr>
        <w:trPr>
          <w:trHeight w:val="9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在其他单位</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是否领取报</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酬津贴</w:t>
            </w:r>
          </w:p>
        </w:tc>
      </w:tr>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Accurate Global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FNOF Easynet (HK)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Easynet Investments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 Cherish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CSOF Technology Investments</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Rise Group International (HK)</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Rich Tower International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JUMBOMAX VENTURES</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FNOF Jumbomax Ventures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Smart Anchor Holdings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Forebright Smart Connection</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Forebright Global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Forebright Capital Partners Inc.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Take Success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Eddingpharm Group (Cayman)</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Beams Power Investment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CSOF SoftTech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远成物流股份有限公司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深圳鲲鹏光远股权投资管理有限公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2019</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Forebright Administration Services</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2019</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Tekventure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Forebright Capital Management</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软通动力（山东）网络技术有限公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徐州软石创新六号商务信息咨询合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执行事务合伙</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陈柏汀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梅州市客之旅旅行社有限公司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北京泰利特科技发展有限责任公司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简建辉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华北电力大学经济与管理学院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3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天津光电通信技术有限公司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426"/>
        <w:gridCol w:w="2976"/>
        <w:gridCol w:w="1416"/>
        <w:gridCol w:w="1699"/>
        <w:gridCol w:w="994"/>
        <w:gridCol w:w="1253"/>
      </w:tblGrid>
      <w:tr>
        <w:trPr>
          <w:trHeight w:val="9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在其他单位</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是否领取报</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酬津贴</w:t>
            </w:r>
          </w:p>
        </w:tc>
      </w:tr>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北京鸿山泰投资有限公司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北京鸿山达信息技术服务有限公司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北京鸿山通投资有限公司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深圳津御科技有限公司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4</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北京东阳企业商会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海南鸿山众芯投资有限公司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执行董事、总经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北京龙和隆盛生物技术股份有限公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杭州立昂微电子股份有限公司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rFonts w:ascii="SimHei" w:eastAsia="SimHei" w:hAnsi="SimHei" w:cs="SimHei"/>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8</w:t>
            </w:r>
            <w:r>
              <w:rPr>
                <w:rFonts w:ascii="SimHei" w:eastAsia="SimHei" w:hAnsi="SimHei" w:cs="SimHei"/>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w:t>
            </w:r>
            <w:r>
              <w:rPr>
                <w:rFonts w:ascii="SimHei" w:eastAsia="SimHei" w:hAnsi="SimHei" w:cs="SimHei"/>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刘天文先生与软石智动为一致行动人。</w:t>
            </w:r>
          </w:p>
        </w:tc>
      </w:tr>
    </w:tbl>
    <w:p>
      <w:pPr>
        <w:widowControl w:val="0"/>
        <w:spacing w:after="319" w:line="1" w:lineRule="exact"/>
      </w:pPr>
    </w:p>
    <w:p>
      <w:pPr>
        <w:pStyle w:val="Style22"/>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3</w:t>
      </w:r>
      <w:bookmarkEnd w:id="409"/>
      <w:r>
        <w:rPr>
          <w:color w:val="000000"/>
          <w:spacing w:val="0"/>
          <w:w w:val="100"/>
          <w:position w:val="0"/>
        </w:rPr>
        <w:t>、董事、监事、高级管理人员报酬情况</w:t>
      </w:r>
      <w:bookmarkEnd w:id="407"/>
      <w:bookmarkEnd w:id="408"/>
      <w:bookmarkEnd w:id="410"/>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tabs>
          <w:tab w:pos="987" w:val="left"/>
        </w:tabs>
        <w:bidi w:val="0"/>
        <w:spacing w:before="0" w:after="0" w:line="317" w:lineRule="exact"/>
        <w:ind w:left="0" w:right="0" w:firstLine="380"/>
        <w:jc w:val="both"/>
      </w:pPr>
      <w:bookmarkStart w:id="411" w:name="bookmark411"/>
      <w:r>
        <w:rPr>
          <w:color w:val="000000"/>
          <w:spacing w:val="0"/>
          <w:w w:val="100"/>
          <w:position w:val="0"/>
        </w:rPr>
        <w:t>（</w:t>
      </w:r>
      <w:bookmarkEnd w:id="411"/>
      <w:r>
        <w:rPr>
          <w:color w:val="000000"/>
          <w:spacing w:val="0"/>
          <w:w w:val="100"/>
          <w:position w:val="0"/>
        </w:rPr>
        <w:t>一）</w:t>
        <w:tab/>
        <w:t>决策程序：公司董事、监事薪酬经股东大会审议确定，高级管理人员薪酬经董事会审议确定，公司董事会薪酬与 考核委员会在董事会的授权下，负责研究和审查董事、高级管理人员的薪酬政策与方案等事宜。</w:t>
      </w:r>
    </w:p>
    <w:p>
      <w:pPr>
        <w:pStyle w:val="Style22"/>
        <w:keepNext w:val="0"/>
        <w:keepLines w:val="0"/>
        <w:widowControl w:val="0"/>
        <w:shd w:val="clear" w:color="auto" w:fill="auto"/>
        <w:tabs>
          <w:tab w:pos="987" w:val="left"/>
        </w:tabs>
        <w:bidi w:val="0"/>
        <w:spacing w:before="0" w:after="0" w:line="313" w:lineRule="exact"/>
        <w:ind w:left="0" w:right="0" w:firstLine="380"/>
        <w:jc w:val="both"/>
      </w:pPr>
      <w:bookmarkStart w:id="412" w:name="bookmark412"/>
      <w:r>
        <w:rPr>
          <w:color w:val="000000"/>
          <w:spacing w:val="0"/>
          <w:w w:val="100"/>
          <w:position w:val="0"/>
        </w:rPr>
        <w:t>（</w:t>
      </w:r>
      <w:bookmarkEnd w:id="412"/>
      <w:r>
        <w:rPr>
          <w:color w:val="000000"/>
          <w:spacing w:val="0"/>
          <w:w w:val="100"/>
          <w:position w:val="0"/>
        </w:rPr>
        <w:t>二）</w:t>
        <w:tab/>
        <w:t>确定依据：独立董事薪酬按中国证监会等监管机构的要求，实行津贴制度。非独立董事方面，在公司经营管理岗 位任职的董事，按照在公司任职的职务与岗位责任确定薪酬标准；不在公司担任职务的非独立董事，公司可以经过相关合规 审议程序后决定其相关薪酬。监事方面，在公司经营管理岗位任职的监事，按照在公司任职的职务与岗位责任确定薪酬标准； 不在公司担任职务的监事，不在公司领取薪酬、不享受津贴或福利待遇。公司高级管理人员薪酬由基本薪酬及考核奖金组成， 依据具体岗位绩效、公司业绩、所在地工资水平和年终考核等因素综合确定。</w:t>
      </w:r>
    </w:p>
    <w:p>
      <w:pPr>
        <w:pStyle w:val="Style22"/>
        <w:keepNext w:val="0"/>
        <w:keepLines w:val="0"/>
        <w:widowControl w:val="0"/>
        <w:shd w:val="clear" w:color="auto" w:fill="auto"/>
        <w:tabs>
          <w:tab w:pos="911" w:val="left"/>
        </w:tabs>
        <w:bidi w:val="0"/>
        <w:spacing w:before="0" w:after="0" w:line="313" w:lineRule="exact"/>
        <w:ind w:left="0" w:right="0" w:firstLine="380"/>
        <w:jc w:val="both"/>
      </w:pPr>
      <w:bookmarkStart w:id="413" w:name="bookmark413"/>
      <w:r>
        <w:rPr>
          <w:color w:val="000000"/>
          <w:spacing w:val="0"/>
          <w:w w:val="100"/>
          <w:position w:val="0"/>
        </w:rPr>
        <w:t>（</w:t>
      </w:r>
      <w:bookmarkEnd w:id="413"/>
      <w:r>
        <w:rPr>
          <w:color w:val="000000"/>
          <w:spacing w:val="0"/>
          <w:w w:val="100"/>
          <w:position w:val="0"/>
        </w:rPr>
        <w:t>三）</w:t>
        <w:tab/>
        <w:t>实际支付情况：公司董事、监事及高级管理人员薪酬实际支付情况详见如下：</w:t>
      </w:r>
    </w:p>
    <w:p>
      <w:pPr>
        <w:pStyle w:val="Style22"/>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车俊河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 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张旭明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简建辉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陈柏汀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张鹭茜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1,006.29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414" w:name="bookmark414"/>
      <w:bookmarkStart w:id="415" w:name="bookmark415"/>
      <w:bookmarkStart w:id="416" w:name="bookmark416"/>
      <w:bookmarkStart w:id="417" w:name="bookmark417"/>
      <w:r>
        <w:rPr>
          <w:color w:val="000000"/>
          <w:spacing w:val="0"/>
          <w:w w:val="100"/>
          <w:position w:val="0"/>
          <w:sz w:val="24"/>
          <w:szCs w:val="24"/>
        </w:rPr>
        <w:t>八</w:t>
      </w:r>
      <w:bookmarkEnd w:id="416"/>
      <w:r>
        <w:rPr>
          <w:color w:val="000000"/>
          <w:spacing w:val="0"/>
          <w:w w:val="100"/>
          <w:position w:val="0"/>
          <w:sz w:val="24"/>
          <w:szCs w:val="24"/>
        </w:rPr>
        <w:t>、报告期内董事履行职责的情况</w:t>
      </w:r>
      <w:bookmarkEnd w:id="414"/>
      <w:bookmarkEnd w:id="415"/>
      <w:bookmarkEnd w:id="417"/>
    </w:p>
    <w:p>
      <w:pPr>
        <w:pStyle w:val="Style33"/>
        <w:keepNext/>
        <w:keepLines/>
        <w:widowControl w:val="0"/>
        <w:shd w:val="clear" w:color="auto" w:fill="auto"/>
        <w:bidi w:val="0"/>
        <w:spacing w:before="0" w:after="30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、本报告期董事会情况</w:t>
      </w:r>
      <w:bookmarkEnd w:id="418"/>
      <w:bookmarkEnd w:id="419"/>
      <w:bookmarkEnd w:id="421"/>
    </w:p>
    <w:tbl>
      <w:tblPr>
        <w:tblOverlap w:val="never"/>
        <w:jc w:val="center"/>
        <w:tblLayout w:type="fixed"/>
      </w:tblPr>
      <w:tblGrid>
        <w:gridCol w:w="859"/>
        <w:gridCol w:w="850"/>
        <w:gridCol w:w="850"/>
        <w:gridCol w:w="702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第一届董</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事会第四</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审议通过《关于制定公司信息披露暂缓与豁免业务管理制度的议案》、《关于申请首次公开</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发行股票并在创业板上市申请文件和审核问询回复所涉部分内容信息豁免披露的议案》、</w:t>
            </w:r>
          </w:p>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《关于批准公司报出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月财务会计报告（财务报表及 其附注）的议案》。</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第一届董</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事会第五</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审议通过《关于公司向广发银行股份有限公司申请授信额度的议案》、《关于公司向南洋商 业银行（中国）有限公司北京分行银行申请授信额度的议案》、《关于公司子公司向交通银 行股份有限公司湖北自贸试验区武汉片区分行申请授信额度的议案》、《关于公司子公司向 中国银行股份有限公司深圳福田支行申请授信额度的议案》、《关于公司子公司向交通银行 股份有限公司深圳分行申请授信额度的议案》、《关于公司子公司向中国银行股份有限公司 南京江宁支行申请授信额度的议案》。</w:t>
            </w:r>
          </w:p>
        </w:tc>
      </w:tr>
      <w:tr>
        <w:trPr>
          <w:trHeight w:val="34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第一届董</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事会第六</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审议通过《关于批准公司报出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年度财务会计报告（财务报表及其附注） 的议案》、《关于确认公司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年关联交易情况的议案》、《关于确认公司董事</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年薪酬及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年度薪酬方案的议案》、《关于确认公司高级管理人员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年薪酬及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年度薪酬方案的议案》、《关于公司向华美银行申请授信额度的议案》、《关于子公司向南京 银行申请授信额度并由公司提供担保的议案》、《关于公司向中国民生银行股份有限公司北 京分行申请授信额度并由关联方提供担保的议案》、《关于子公司向中国工商银行申请授信 额度并由公司及关联方提供担保的议案》、《关于公司向北京银行申请授信额度并由关联方 提供担保的议案》、《关于公司向江苏银行申请授信额度并由关联方提供担保的议案》、《关 于公司向招商银行申请授信额度并由关联方提供担保的议案》、《关于公司向中国农业银行 申请授信额度并由关联方提供担保的议案》、《关于子公司向华夏银行申请授信额度并由公 司提供担保的议案》、《关于子公司向交通银行申请授信额度并由公司及关联方提供担保的</w:t>
            </w:r>
          </w:p>
        </w:tc>
      </w:tr>
    </w:tbl>
    <w:p>
      <w:pPr>
        <w:spacing w:lineRule="exact" w:line="1"/>
        <w:rPr>
          <w:sz w:val="2"/>
          <w:szCs w:val="2"/>
        </w:rPr>
      </w:pPr>
      <w:r>
        <w:br w:type="page"/>
      </w:r>
    </w:p>
    <w:tbl>
      <w:tblPr>
        <w:tblOverlap w:val="never"/>
        <w:jc w:val="center"/>
        <w:tblLayout w:type="fixed"/>
      </w:tblPr>
      <w:tblGrid>
        <w:gridCol w:w="859"/>
        <w:gridCol w:w="850"/>
        <w:gridCol w:w="850"/>
        <w:gridCol w:w="702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议案》、《关于公司对外出租闲置房产和投资性房地产事项的议案》、《关于公司内部控制有 效性自我评价报告的议案》、《关于提议召开公司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年度第一次临时股东大会的议案》。</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第一届董</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事会第七</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年度总经理工作报告的议案》、《关于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年度董事会工作报告的议 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年度财务预算报告的议案》、《关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年度利润分配方案的议案》、《关于公司续聘会计师事务所的议案》、《关于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度预计日常关联交易的议案》、《关于同意购买董监高责任险、招股书责任险的议案》、《关 于修改</w:t>
            </w:r>
            <w:r>
              <w:rPr>
                <w:color w:val="000000"/>
                <w:spacing w:val="0"/>
                <w:w w:val="100"/>
                <w:position w:val="0"/>
                <w:sz w:val="18"/>
                <w:szCs w:val="18"/>
              </w:rPr>
              <w:t>〈</w:t>
            </w:r>
            <w:r>
              <w:rPr>
                <w:color w:val="000000"/>
                <w:spacing w:val="0"/>
                <w:w w:val="100"/>
                <w:position w:val="0"/>
              </w:rPr>
              <w:t>公司章程</w:t>
            </w:r>
            <w:r>
              <w:rPr>
                <w:color w:val="000000"/>
                <w:spacing w:val="0"/>
                <w:w w:val="100"/>
                <w:position w:val="0"/>
                <w:sz w:val="18"/>
                <w:szCs w:val="18"/>
              </w:rPr>
              <w:t>〉</w:t>
            </w:r>
            <w:r>
              <w:rPr>
                <w:color w:val="000000"/>
                <w:spacing w:val="0"/>
                <w:w w:val="100"/>
                <w:position w:val="0"/>
              </w:rPr>
              <w:t>的议案》、《关于修改</w:t>
            </w:r>
            <w:r>
              <w:rPr>
                <w:color w:val="000000"/>
                <w:spacing w:val="0"/>
                <w:w w:val="100"/>
                <w:position w:val="0"/>
                <w:sz w:val="18"/>
                <w:szCs w:val="18"/>
              </w:rPr>
              <w:t>〈</w:t>
            </w:r>
            <w:r>
              <w:rPr>
                <w:color w:val="000000"/>
                <w:spacing w:val="0"/>
                <w:w w:val="100"/>
                <w:position w:val="0"/>
              </w:rPr>
              <w:t>公司章程（草案）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的议案》、《关于修改公司相 关内部制度的议案》、《关于修改</w:t>
            </w:r>
            <w:r>
              <w:rPr>
                <w:color w:val="000000"/>
                <w:spacing w:val="0"/>
                <w:w w:val="100"/>
                <w:position w:val="0"/>
                <w:sz w:val="18"/>
                <w:szCs w:val="18"/>
              </w:rPr>
              <w:t>〈</w:t>
            </w:r>
            <w:r>
              <w:rPr>
                <w:color w:val="000000"/>
                <w:spacing w:val="0"/>
                <w:w w:val="100"/>
                <w:position w:val="0"/>
              </w:rPr>
              <w:t>董事会秘书工作细则</w:t>
            </w:r>
            <w:r>
              <w:rPr>
                <w:color w:val="000000"/>
                <w:spacing w:val="0"/>
                <w:w w:val="100"/>
                <w:position w:val="0"/>
                <w:sz w:val="18"/>
                <w:szCs w:val="18"/>
              </w:rPr>
              <w:t>〉</w:t>
            </w:r>
            <w:r>
              <w:rPr>
                <w:color w:val="000000"/>
                <w:spacing w:val="0"/>
                <w:w w:val="100"/>
                <w:position w:val="0"/>
              </w:rPr>
              <w:t>的议案》、《关于制定</w:t>
            </w:r>
            <w:r>
              <w:rPr>
                <w:color w:val="000000"/>
                <w:spacing w:val="0"/>
                <w:w w:val="100"/>
                <w:position w:val="0"/>
                <w:sz w:val="18"/>
                <w:szCs w:val="18"/>
              </w:rPr>
              <w:t>〈</w:t>
            </w:r>
            <w:r>
              <w:rPr>
                <w:color w:val="000000"/>
                <w:spacing w:val="0"/>
                <w:w w:val="100"/>
                <w:position w:val="0"/>
              </w:rPr>
              <w:t>资产减值准 备计提及核销管理制度</w:t>
            </w:r>
            <w:r>
              <w:rPr>
                <w:color w:val="000000"/>
                <w:spacing w:val="0"/>
                <w:w w:val="100"/>
                <w:position w:val="0"/>
                <w:sz w:val="18"/>
                <w:szCs w:val="18"/>
              </w:rPr>
              <w:t>〉</w:t>
            </w:r>
            <w:r>
              <w:rPr>
                <w:color w:val="000000"/>
                <w:spacing w:val="0"/>
                <w:w w:val="100"/>
                <w:position w:val="0"/>
              </w:rPr>
              <w:t>的议案》、《关于提议召开公司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年度股东大会的议案》。</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第一届董</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事会第八</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审议通过《关于批准公司报出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年半年度财务会计报告（财务报表及其附注）的议案》、 《关于修改</w:t>
            </w:r>
            <w:r>
              <w:rPr>
                <w:color w:val="000000"/>
                <w:spacing w:val="0"/>
                <w:w w:val="100"/>
                <w:position w:val="0"/>
                <w:sz w:val="18"/>
                <w:szCs w:val="18"/>
              </w:rPr>
              <w:t>〈</w:t>
            </w:r>
            <w:r>
              <w:rPr>
                <w:color w:val="000000"/>
                <w:spacing w:val="0"/>
                <w:w w:val="100"/>
                <w:position w:val="0"/>
              </w:rPr>
              <w:t>软通动力信息技术（集团）股份有限公司子公司管理制度</w:t>
            </w:r>
            <w:r>
              <w:rPr>
                <w:color w:val="000000"/>
                <w:spacing w:val="0"/>
                <w:w w:val="100"/>
                <w:position w:val="0"/>
                <w:sz w:val="18"/>
                <w:szCs w:val="18"/>
              </w:rPr>
              <w:t>〉</w:t>
            </w:r>
            <w:r>
              <w:rPr>
                <w:color w:val="000000"/>
                <w:spacing w:val="0"/>
                <w:w w:val="100"/>
                <w:position w:val="0"/>
              </w:rPr>
              <w:t>的议案》。</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第一届董</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事会第九</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审议通过《关于批准公司报出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月财务会计报告（财 务报表及其附注）的议案》、《关于公司内部控制有效性自我评价报告的议案》。</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第一届董</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事会第十</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审议通过《关于批准公司报出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月财务会计报告（财务报表及其附注）的议案》。</w:t>
            </w:r>
          </w:p>
        </w:tc>
      </w:tr>
      <w:tr>
        <w:trPr>
          <w:trHeight w:val="540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第一届董</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事会第十</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一次会议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审议通过《关于公司向中国建设银行股份有限公司北京中关村分行申请授信额度的议案》、 《关于公司向广发银行股份有限公司申请授信额度并由关联方提供担保的议案》、《关于公 司向南洋商业银行（中国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有限公司北京分行申请授信额度并由关联方提供担保的议案》、 《关于公司子公司向交通银行股份有限公司湖北自贸试验区武汉片区分行申请授信额度 并由公司及关联方提供担保的议案》、《关于公司子公司向中国银行股份有限公司深圳福田 支行申请授信额度并由公司及关联方提供担保的议案》、《关于公司子公司向中国银行股份 有限公司南京江宁支行申请授信额度并由公司提供担保的议案》、《关于公司向江苏银行股 份有限公司北京分行申请授信额度并由关联方提供担保的议案》、《关于公司向北京银行股 份有限公司中关村分行申请授信额度的议案》、《关于公司向招商银行股份有限公司北京分 行申请授信额度并由关联方提供担保的议案》、《关于公司向中国农业银行股份有限公司申 请授信额度并由关联方提供担保的议案》、《关于公司子公司向华夏银行股份有限公司武汉 光谷金融港科技支行申请授信额度并由公司提供担保的议案》、《关于公司子公司向中国工 商银行股份有限公司深圳华为支行申请授信额度并由公司及关联方提供担保的议案》、《关 于公司子公司向南京银行股份有限公司洪武支行申请授信额度并由公司提供担保的议 案》、《关于公司子公司向交通银行股份有限公司陕西省分行申请授信额度并由公司及关联 方提供担保的议案》、《关于全资子公司对外投资设立全资子公司并竞拍土地的议案》、《关 于公司开展应收账款保理业务的议案》。</w:t>
            </w:r>
          </w:p>
        </w:tc>
      </w:tr>
    </w:tbl>
    <w:p>
      <w:pPr>
        <w:widowControl w:val="0"/>
        <w:spacing w:after="319" w:line="1" w:lineRule="exact"/>
      </w:pPr>
    </w:p>
    <w:p>
      <w:pPr>
        <w:pStyle w:val="Style33"/>
        <w:keepNext/>
        <w:keepLines/>
        <w:widowControl w:val="0"/>
        <w:shd w:val="clear" w:color="auto" w:fill="auto"/>
        <w:bidi w:val="0"/>
        <w:spacing w:before="0" w:after="30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2</w:t>
      </w:r>
      <w:bookmarkEnd w:id="424"/>
      <w:r>
        <w:rPr>
          <w:color w:val="000000"/>
          <w:spacing w:val="0"/>
          <w:w w:val="100"/>
          <w:position w:val="0"/>
        </w:rPr>
        <w:t>、董事出席董事会及股东大会的情况</w:t>
      </w:r>
      <w:bookmarkEnd w:id="422"/>
      <w:bookmarkEnd w:id="423"/>
      <w:bookmarkEnd w:id="425"/>
    </w:p>
    <w:p>
      <w:pPr>
        <w:pStyle w:val="Style22"/>
        <w:keepNext w:val="0"/>
        <w:keepLines w:val="0"/>
        <w:widowControl w:val="0"/>
        <w:pBdr>
          <w:top w:val="single" w:sz="4" w:space="6" w:color="D3D3D3"/>
          <w:left w:val="single" w:sz="4" w:space="0" w:color="D3D3D3"/>
          <w:bottom w:val="single" w:sz="4" w:space="3" w:color="D3D3D3"/>
          <w:right w:val="single" w:sz="4" w:space="0" w:color="D3D3D3"/>
        </w:pBdr>
        <w:shd w:val="clear" w:color="auto" w:fill="D3D3D3"/>
        <w:bidi w:val="0"/>
        <w:spacing w:before="0" w:after="328" w:line="240" w:lineRule="auto"/>
        <w:ind w:left="0" w:right="0" w:firstLine="0"/>
        <w:jc w:val="center"/>
      </w:pPr>
      <w:r>
        <w:rPr>
          <w:color w:val="000000"/>
          <w:spacing w:val="0"/>
          <w:w w:val="100"/>
          <w:position w:val="0"/>
        </w:rPr>
        <w:t>董事出席董事会及股东大会的情况</w:t>
      </w:r>
    </w:p>
    <w:tbl>
      <w:tblPr>
        <w:tblOverlap w:val="never"/>
        <w:jc w:val="center"/>
        <w:tblLayout w:type="fixed"/>
      </w:tblPr>
      <w:tblGrid>
        <w:gridCol w:w="1435"/>
        <w:gridCol w:w="1166"/>
        <w:gridCol w:w="1162"/>
        <w:gridCol w:w="1162"/>
        <w:gridCol w:w="1166"/>
        <w:gridCol w:w="1162"/>
        <w:gridCol w:w="1162"/>
        <w:gridCol w:w="1176"/>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是否连续两次</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未亲自参加董</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车俊河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张旭明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简建辉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2"/>
        <w:keepNext w:val="0"/>
        <w:keepLines w:val="0"/>
        <w:widowControl w:val="0"/>
        <w:shd w:val="clear" w:color="auto" w:fill="auto"/>
        <w:bidi w:val="0"/>
        <w:spacing w:before="0" w:line="310" w:lineRule="exact"/>
        <w:ind w:left="0" w:right="0" w:firstLine="0"/>
        <w:jc w:val="both"/>
      </w:pPr>
      <w:r>
        <w:rPr>
          <w:color w:val="000000"/>
          <w:spacing w:val="0"/>
          <w:w w:val="100"/>
          <w:position w:val="0"/>
        </w:rPr>
        <w:t>连续两次未亲自出席董事会的说明</w:t>
      </w:r>
    </w:p>
    <w:p>
      <w:pPr>
        <w:pStyle w:val="Style22"/>
        <w:keepNext w:val="0"/>
        <w:keepLines w:val="0"/>
        <w:widowControl w:val="0"/>
        <w:shd w:val="clear" w:color="auto" w:fill="auto"/>
        <w:bidi w:val="0"/>
        <w:spacing w:before="0" w:after="380" w:line="310" w:lineRule="exact"/>
        <w:ind w:left="0" w:right="0" w:firstLine="0"/>
        <w:jc w:val="both"/>
      </w:pPr>
      <w:r>
        <w:rPr>
          <w:color w:val="000000"/>
          <w:spacing w:val="0"/>
          <w:w w:val="100"/>
          <w:position w:val="0"/>
        </w:rPr>
        <w:t>不适用</w:t>
      </w:r>
    </w:p>
    <w:p>
      <w:pPr>
        <w:pStyle w:val="Style33"/>
        <w:keepNext/>
        <w:keepLines/>
        <w:widowControl w:val="0"/>
        <w:shd w:val="clear" w:color="auto" w:fill="auto"/>
        <w:tabs>
          <w:tab w:pos="378" w:val="left"/>
        </w:tabs>
        <w:bidi w:val="0"/>
        <w:spacing w:before="0" w:after="280" w:line="240" w:lineRule="auto"/>
        <w:ind w:left="0" w:right="0" w:firstLine="0"/>
        <w:jc w:val="both"/>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3</w:t>
      </w:r>
      <w:bookmarkEnd w:id="428"/>
      <w:r>
        <w:rPr>
          <w:color w:val="000000"/>
          <w:spacing w:val="0"/>
          <w:w w:val="100"/>
          <w:position w:val="0"/>
        </w:rPr>
        <w:t>、</w:t>
        <w:tab/>
        <w:t>董事对公司有关事项提出异议的情况</w:t>
      </w:r>
      <w:bookmarkEnd w:id="426"/>
      <w:bookmarkEnd w:id="427"/>
      <w:bookmarkEnd w:id="429"/>
    </w:p>
    <w:p>
      <w:pPr>
        <w:pStyle w:val="Style22"/>
        <w:keepNext w:val="0"/>
        <w:keepLines w:val="0"/>
        <w:widowControl w:val="0"/>
        <w:shd w:val="clear" w:color="auto" w:fill="auto"/>
        <w:bidi w:val="0"/>
        <w:spacing w:before="0" w:line="310" w:lineRule="exact"/>
        <w:ind w:left="0" w:right="0" w:firstLine="0"/>
        <w:jc w:val="both"/>
      </w:pPr>
      <w:r>
        <w:rPr>
          <w:color w:val="000000"/>
          <w:spacing w:val="0"/>
          <w:w w:val="100"/>
          <w:position w:val="0"/>
        </w:rPr>
        <w:t>董事对公司有关事项是否提出异议</w:t>
      </w:r>
    </w:p>
    <w:p>
      <w:pPr>
        <w:pStyle w:val="Style22"/>
        <w:keepNext w:val="0"/>
        <w:keepLines w:val="0"/>
        <w:widowControl w:val="0"/>
        <w:shd w:val="clear" w:color="auto" w:fill="auto"/>
        <w:bidi w:val="0"/>
        <w:spacing w:before="0" w:line="310" w:lineRule="exact"/>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报告期内董事对公司有关事项未提出异议。</w:t>
      </w:r>
    </w:p>
    <w:p>
      <w:pPr>
        <w:pStyle w:val="Style33"/>
        <w:keepNext/>
        <w:keepLines/>
        <w:widowControl w:val="0"/>
        <w:shd w:val="clear" w:color="auto" w:fill="auto"/>
        <w:tabs>
          <w:tab w:pos="378" w:val="left"/>
        </w:tabs>
        <w:bidi w:val="0"/>
        <w:spacing w:before="0" w:after="280" w:line="240" w:lineRule="auto"/>
        <w:ind w:left="0" w:right="0" w:firstLine="0"/>
        <w:jc w:val="both"/>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4</w:t>
      </w:r>
      <w:bookmarkEnd w:id="432"/>
      <w:r>
        <w:rPr>
          <w:color w:val="000000"/>
          <w:spacing w:val="0"/>
          <w:w w:val="100"/>
          <w:position w:val="0"/>
        </w:rPr>
        <w:t>、</w:t>
        <w:tab/>
        <w:t>董事履行职责的其他说明</w:t>
      </w:r>
      <w:bookmarkEnd w:id="430"/>
      <w:bookmarkEnd w:id="431"/>
      <w:bookmarkEnd w:id="433"/>
    </w:p>
    <w:p>
      <w:pPr>
        <w:pStyle w:val="Style22"/>
        <w:keepNext w:val="0"/>
        <w:keepLines w:val="0"/>
        <w:widowControl w:val="0"/>
        <w:shd w:val="clear" w:color="auto" w:fill="auto"/>
        <w:bidi w:val="0"/>
        <w:spacing w:before="0" w:after="140" w:line="310" w:lineRule="exact"/>
        <w:ind w:left="0" w:right="0" w:firstLine="0"/>
        <w:jc w:val="both"/>
      </w:pPr>
      <w:r>
        <w:rPr>
          <w:color w:val="000000"/>
          <w:spacing w:val="0"/>
          <w:w w:val="100"/>
          <w:position w:val="0"/>
        </w:rPr>
        <w:t>董事对公司有关建议是否被采纳</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40" w:line="310" w:lineRule="exact"/>
        <w:ind w:left="0" w:right="0" w:firstLine="0"/>
        <w:jc w:val="both"/>
      </w:pPr>
      <w:r>
        <w:rPr>
          <w:color w:val="000000"/>
          <w:spacing w:val="0"/>
          <w:w w:val="100"/>
          <w:position w:val="0"/>
        </w:rPr>
        <w:t>董事对公司有关建议被采纳或未被采纳的说明</w:t>
      </w:r>
    </w:p>
    <w:p>
      <w:pPr>
        <w:pStyle w:val="Style22"/>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报告期内，公司全体董事勤勉尽责，严格按照中国证监会和深圳证券交易所的相关规定以及《公司章程》、《董事会议 事规则》等制度开展工作，高度关注公司规范运作和经营情况，根据公司的实际情况，对公司的重大治理和经营决策提出了 相关的意见，经过充分沟通讨论，形成一致意见，确保了决策的科学、及时、高效，维护了公司和全体股东的合法权益。</w:t>
      </w:r>
    </w:p>
    <w:p>
      <w:pPr>
        <w:pStyle w:val="Style27"/>
        <w:keepNext/>
        <w:keepLines/>
        <w:widowControl w:val="0"/>
        <w:shd w:val="clear" w:color="auto" w:fill="auto"/>
        <w:bidi w:val="0"/>
        <w:spacing w:before="0" w:after="200" w:line="240" w:lineRule="auto"/>
        <w:ind w:left="0" w:right="0" w:firstLine="0"/>
        <w:jc w:val="both"/>
        <w:sectPr>
          <w:footnotePr>
            <w:pos w:val="pageBottom"/>
            <w:numFmt w:val="decimal"/>
            <w:numRestart w:val="continuous"/>
          </w:footnotePr>
          <w:pgSz w:w="11900" w:h="16840"/>
          <w:pgMar w:top="1364" w:right="1043" w:bottom="1503" w:left="1080" w:header="0" w:footer="3" w:gutter="0"/>
          <w:cols w:space="720"/>
          <w:noEndnote/>
          <w:rtlGutter w:val="0"/>
          <w:docGrid w:linePitch="360"/>
        </w:sectPr>
      </w:pPr>
      <w:bookmarkStart w:id="434" w:name="bookmark434"/>
      <w:bookmarkStart w:id="435" w:name="bookmark435"/>
      <w:bookmarkStart w:id="436" w:name="bookmark436"/>
      <w:bookmarkStart w:id="437" w:name="bookmark437"/>
      <w:r>
        <w:rPr>
          <w:color w:val="000000"/>
          <w:spacing w:val="0"/>
          <w:w w:val="100"/>
          <w:position w:val="0"/>
          <w:sz w:val="24"/>
          <w:szCs w:val="24"/>
        </w:rPr>
        <w:t>九</w:t>
      </w:r>
      <w:bookmarkEnd w:id="436"/>
      <w:r>
        <w:rPr>
          <w:color w:val="000000"/>
          <w:spacing w:val="0"/>
          <w:w w:val="100"/>
          <w:position w:val="0"/>
          <w:sz w:val="24"/>
          <w:szCs w:val="24"/>
        </w:rPr>
        <w:t>、董事会下设专门委员会在报告期内的情况</w:t>
      </w:r>
      <w:bookmarkEnd w:id="434"/>
      <w:bookmarkEnd w:id="435"/>
      <w:bookmarkEnd w:id="437"/>
    </w:p>
    <w:tbl>
      <w:tblPr>
        <w:tblOverlap w:val="never"/>
        <w:jc w:val="center"/>
        <w:tblLayout w:type="fixed"/>
      </w:tblPr>
      <w:tblGrid>
        <w:gridCol w:w="744"/>
        <w:gridCol w:w="566"/>
        <w:gridCol w:w="710"/>
        <w:gridCol w:w="854"/>
        <w:gridCol w:w="4248"/>
        <w:gridCol w:w="5390"/>
        <w:gridCol w:w="706"/>
        <w:gridCol w:w="816"/>
      </w:tblGrid>
      <w:tr>
        <w:trPr>
          <w:trHeight w:val="106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行职责</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异议事项</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具体情况</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（如有）</w:t>
            </w:r>
          </w:p>
        </w:tc>
      </w:tr>
      <w:tr>
        <w:trPr>
          <w:trHeight w:val="133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张旭</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明、张</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成、简</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建辉</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审议《关于批准公司报出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月 财务会计报告（财务报表及其附注）的议案》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审计委员会及各委员均严格按照《公司法》、中国证监会、深交所规 则以及《公司章程》、《董事会议事规则》、《董事会审计委员会工作细 则》等内部治理制度开展工作，勤勉尽责，根据公司的实际情况，提 出了相关的意见，经过充分沟通讨论，一致通过所有议案。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审议《关于批准公司报出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 会计报告（财务报表及其附注）的议案》、《关于确认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年关联交易情况的议案》、《关于公 司内部控制有效性自我评价报告的议案》。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审计委员会及各委员均严格按照《公司法》、中国证监会、深交所规 则以及《公司章程》、《董事会议事规则》、《董事会审计委员会工作细 则》等内部治理制度开展工作，勤勉尽责，根据公司的实际情况，提 出了相关的意见，经过充分沟通讨论，一致通过所有议案。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年度财务决算报告的议案》、《关于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年度财务预算报告的议案》、《关于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 分配方案的议案》、《关于公司续聘会计师事务所的议 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年度预计日常关联交易的议案》、《关 于制定</w:t>
            </w:r>
            <w:r>
              <w:rPr>
                <w:color w:val="000000"/>
                <w:spacing w:val="0"/>
                <w:w w:val="100"/>
                <w:position w:val="0"/>
                <w:sz w:val="18"/>
                <w:szCs w:val="18"/>
              </w:rPr>
              <w:t>〈</w:t>
            </w:r>
            <w:r>
              <w:rPr>
                <w:color w:val="000000"/>
                <w:spacing w:val="0"/>
                <w:w w:val="100"/>
                <w:position w:val="0"/>
              </w:rPr>
              <w:t>资产减值准备计提及核销管理制度</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审计委员会及各委员均严格按照《公司法》、中国证监会、深交所规 则以及《公司章程》、《董事会议事规则》、《董事会审计委员会工作细 则》等内部治理制度开展工作，勤勉尽责，根据公司的实际情况，提 出了相关的意见，经过充分沟通讨论，一致通过所有议案。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审议《关于批准公司报出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年半年度财务会计报告</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（财务报表及其附注）的议案》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审计委员会及各委员均严格按照《公司法》、中国证监会、深交所规 则以及《公司章程》、《董事会议事规则》、《董事会审计委员会工作细 则》等内部治理制度开展工作，勤勉尽责，根据公司的实际情况，提 出了相关的意见，经过充分沟通讨论，一致通过所有议案。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审议《关于批准公司报出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年度及</w:t>
            </w:r>
            <w:r>
              <w:rPr>
                <w:rFonts w:ascii="Times New Roman" w:eastAsia="Times New Roman" w:hAnsi="Times New Roman" w:cs="Times New Roman"/>
                <w:color w:val="000000"/>
                <w:spacing w:val="0"/>
                <w:w w:val="100"/>
                <w:position w:val="0"/>
                <w:sz w:val="18"/>
                <w:szCs w:val="18"/>
              </w:rPr>
              <w:t>2021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月财务会计报告（财务报表及附注）的议案》、</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《关于公司内部控制有效性自我评价的报告》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审计委员会及各委员均严格按照《公司法》、中国证监会、深交所规 则以及《公司章程》、《董事会议事规则》、《董事会审计委员会工作细 则》等内部治理制度开展工作，勤勉尽责，根据公司的实际情况，提 出了相关的意见，经过充分沟通讨论，一致通过所有议案。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4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审议《软通动力信息技术（集团）股份有限公司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月的财务会计报告（财务报表及附注）》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审计委员会及各委员均严格按照《公司法》、中国证监会、深交所规 则以及《公司章程》、《董事会议事规则》、《董事会审计委员会工作细 则》等内部治理制度开展工作，勤勉尽责，根据公司的实际情况，提 出了相关的意见，经过充分沟通讨论，一致通过所有议案。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44"/>
        <w:gridCol w:w="566"/>
        <w:gridCol w:w="710"/>
        <w:gridCol w:w="854"/>
        <w:gridCol w:w="4248"/>
        <w:gridCol w:w="5390"/>
        <w:gridCol w:w="706"/>
        <w:gridCol w:w="816"/>
      </w:tblGrid>
      <w:tr>
        <w:trPr>
          <w:trHeight w:val="106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成员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其他履</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行职责</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具体情况</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薪酬与 考核委 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李宏、 刘天 文、张 旭明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审议《关于确认公司董事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年薪酬及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 酬方案的议案》、《关于确认公司高级管理人员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薪酬及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年度薪酬方案的议案》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薪酬与考核委员会及各委员严格按照《公司法》、中国证监会、深交 所规则以及《公司章程》、《董事会议事规则》、《董事会薪酬与考核委 员会工作细则》等内部治理制度开展工作，对公司董事和高级管理人 员薪酬方案进行审核，认为其可以调动相关人员积极性，提升公司经 营管理效益，经过充分沟通讨论，一致通过所有议案。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6840" w:h="11900" w:orient="landscape"/>
          <w:pgMar w:top="1124" w:right="1402" w:bottom="1369" w:left="1402" w:header="0" w:footer="3" w:gutter="0"/>
          <w:cols w:space="720"/>
          <w:noEndnote/>
          <w:rtlGutter w:val="0"/>
          <w:docGrid w:linePitch="360"/>
        </w:sectPr>
      </w:pPr>
    </w:p>
    <w:p>
      <w:pPr>
        <w:pStyle w:val="Style27"/>
        <w:keepNext/>
        <w:keepLines/>
        <w:widowControl w:val="0"/>
        <w:shd w:val="clear" w:color="auto" w:fill="auto"/>
        <w:bidi w:val="0"/>
        <w:spacing w:before="0" w:after="36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十、监事会工作情况</w:t>
      </w:r>
      <w:bookmarkEnd w:id="438"/>
      <w:bookmarkEnd w:id="439"/>
      <w:bookmarkEnd w:id="44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bidi w:val="0"/>
        <w:spacing w:before="0" w:after="360" w:line="240" w:lineRule="auto"/>
        <w:ind w:left="0" w:right="0" w:firstLine="0"/>
        <w:jc w:val="left"/>
      </w:pPr>
      <w:bookmarkStart w:id="441" w:name="bookmark441"/>
      <w:bookmarkStart w:id="442" w:name="bookmark442"/>
      <w:bookmarkStart w:id="443" w:name="bookmark443"/>
      <w:r>
        <w:rPr>
          <w:color w:val="000000"/>
          <w:spacing w:val="0"/>
          <w:w w:val="100"/>
          <w:position w:val="0"/>
          <w:sz w:val="24"/>
          <w:szCs w:val="24"/>
        </w:rPr>
        <w:t>十^一、公司员工情况</w:t>
      </w:r>
      <w:bookmarkEnd w:id="441"/>
      <w:bookmarkEnd w:id="442"/>
      <w:bookmarkEnd w:id="443"/>
    </w:p>
    <w:p>
      <w:pPr>
        <w:pStyle w:val="Style33"/>
        <w:keepNext/>
        <w:keepLines/>
        <w:widowControl w:val="0"/>
        <w:shd w:val="clear" w:color="auto" w:fill="auto"/>
        <w:bidi w:val="0"/>
        <w:spacing w:before="0" w:after="30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、员工数量、专业构成及教育程度</w:t>
      </w:r>
      <w:bookmarkEnd w:id="444"/>
      <w:bookmarkEnd w:id="445"/>
      <w:bookmarkEnd w:id="4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10,652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79,712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90,364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92,649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84,765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行政管理人员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4,290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90,364</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1,999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60,477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26,951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260" w:right="0" w:firstLine="0"/>
              <w:jc w:val="both"/>
              <w:rPr>
                <w:sz w:val="18"/>
                <w:szCs w:val="18"/>
              </w:rPr>
            </w:pPr>
            <w:r>
              <w:rPr>
                <w:rFonts w:ascii="Times New Roman" w:eastAsia="Times New Roman" w:hAnsi="Times New Roman" w:cs="Times New Roman"/>
                <w:color w:val="000000"/>
                <w:spacing w:val="0"/>
                <w:w w:val="100"/>
                <w:position w:val="0"/>
                <w:sz w:val="18"/>
                <w:szCs w:val="18"/>
              </w:rPr>
              <w:t>90,364</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、薪酬政策</w:t>
      </w:r>
      <w:bookmarkEnd w:id="448"/>
      <w:bookmarkEnd w:id="449"/>
      <w:bookmarkEnd w:id="451"/>
    </w:p>
    <w:p>
      <w:pPr>
        <w:pStyle w:val="Style22"/>
        <w:keepNext w:val="0"/>
        <w:keepLines w:val="0"/>
        <w:widowControl w:val="0"/>
        <w:shd w:val="clear" w:color="auto" w:fill="auto"/>
        <w:bidi w:val="0"/>
        <w:spacing w:before="0" w:after="300" w:line="312" w:lineRule="exact"/>
        <w:ind w:left="0" w:right="0" w:firstLine="380"/>
        <w:jc w:val="left"/>
      </w:pPr>
      <w:r>
        <w:rPr>
          <w:color w:val="000000"/>
          <w:spacing w:val="0"/>
          <w:w w:val="100"/>
          <w:position w:val="0"/>
        </w:rPr>
        <w:t>软通动力的薪酬政策旨在保持薪酬水平在行业内具有一定的竞争力。同时向价值贡献者、绩优者、关键角色倾斜。公司 在薪酬设计方面紧密结合企业的战略和文化，兼顾外部环境与内部公平，同时必须考虑到客户和行业的特点。每年根据市场 变化和公司经营情况适时适度调整，充分发挥薪酬体系的激励作用，助力公司的发展，遵循按劳分配、效率优先及可持续发 展的原则。公司执行</w:t>
      </w:r>
      <w:r>
        <w:rPr>
          <w:rFonts w:ascii="Times New Roman" w:eastAsia="Times New Roman" w:hAnsi="Times New Roman" w:cs="Times New Roman"/>
          <w:color w:val="000000"/>
          <w:spacing w:val="0"/>
          <w:w w:val="100"/>
          <w:position w:val="0"/>
          <w:sz w:val="18"/>
          <w:szCs w:val="18"/>
        </w:rPr>
        <w:t>3P1M</w:t>
      </w:r>
      <w:r>
        <w:rPr>
          <w:color w:val="000000"/>
          <w:spacing w:val="0"/>
          <w:w w:val="100"/>
          <w:position w:val="0"/>
        </w:rPr>
        <w:t>付薪理念，即以岗位价值</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Position</w:t>
      </w:r>
      <w:r>
        <w:rPr>
          <w:color w:val="000000"/>
          <w:spacing w:val="0"/>
          <w:w w:val="100"/>
          <w:position w:val="0"/>
        </w:rPr>
        <w:t>）</w:t>
      </w:r>
      <w:r>
        <w:rPr>
          <w:color w:val="000000"/>
          <w:spacing w:val="0"/>
          <w:w w:val="100"/>
          <w:position w:val="0"/>
        </w:rPr>
        <w:t>、个人能力</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Person</w:t>
      </w:r>
      <w:r>
        <w:rPr>
          <w:color w:val="000000"/>
          <w:spacing w:val="0"/>
          <w:w w:val="100"/>
          <w:position w:val="0"/>
        </w:rPr>
        <w:t>）</w:t>
      </w:r>
      <w:r>
        <w:rPr>
          <w:color w:val="000000"/>
          <w:spacing w:val="0"/>
          <w:w w:val="100"/>
          <w:position w:val="0"/>
        </w:rPr>
        <w:t>、工作业绩</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Performance</w:t>
      </w:r>
      <w:r>
        <w:rPr>
          <w:color w:val="000000"/>
          <w:spacing w:val="0"/>
          <w:w w:val="100"/>
          <w:position w:val="0"/>
        </w:rPr>
        <w:t>）</w:t>
      </w:r>
      <w:r>
        <w:rPr>
          <w:color w:val="000000"/>
          <w:spacing w:val="0"/>
          <w:w w:val="100"/>
          <w:position w:val="0"/>
        </w:rPr>
        <w:t>和市场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Market</w:t>
      </w:r>
      <w:r>
        <w:rPr>
          <w:color w:val="000000"/>
          <w:spacing w:val="0"/>
          <w:w w:val="100"/>
          <w:position w:val="0"/>
        </w:rPr>
        <w:t xml:space="preserve">） </w:t>
      </w:r>
      <w:r>
        <w:rPr>
          <w:color w:val="000000"/>
          <w:spacing w:val="0"/>
          <w:w w:val="100"/>
          <w:position w:val="0"/>
        </w:rPr>
        <w:t>付薪的理念。个人能力和岗位决定固定薪酬，绩效和业绩完成情况决定浮动薪酬，如果参与重大战略项目可额外获得激励。</w:t>
      </w:r>
    </w:p>
    <w:p>
      <w:pPr>
        <w:pStyle w:val="Style22"/>
        <w:keepNext w:val="0"/>
        <w:keepLines w:val="0"/>
        <w:widowControl w:val="0"/>
        <w:shd w:val="clear" w:color="auto" w:fill="auto"/>
        <w:bidi w:val="0"/>
        <w:spacing w:before="0" w:after="0" w:line="324" w:lineRule="exact"/>
        <w:ind w:left="0" w:right="0" w:firstLine="38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 求</w:t>
      </w:r>
    </w:p>
    <w:p>
      <w:pPr>
        <w:pStyle w:val="Style22"/>
        <w:keepNext w:val="0"/>
        <w:keepLines w:val="0"/>
        <w:widowControl w:val="0"/>
        <w:shd w:val="clear" w:color="auto" w:fill="auto"/>
        <w:bidi w:val="0"/>
        <w:spacing w:before="0" w:after="380" w:line="324" w:lineRule="exact"/>
        <w:ind w:left="0" w:right="0" w:firstLine="380"/>
        <w:jc w:val="both"/>
      </w:pPr>
      <w:r>
        <w:rPr>
          <w:color w:val="000000"/>
          <w:spacing w:val="0"/>
          <w:w w:val="100"/>
          <w:position w:val="0"/>
        </w:rPr>
        <w:t>报告期内，公司职工薪酬总额（计入营业总成本部分）为</w:t>
      </w:r>
      <w:r>
        <w:rPr>
          <w:rFonts w:ascii="Times New Roman" w:eastAsia="Times New Roman" w:hAnsi="Times New Roman" w:cs="Times New Roman"/>
          <w:color w:val="000000"/>
          <w:spacing w:val="0"/>
          <w:w w:val="100"/>
          <w:position w:val="0"/>
          <w:sz w:val="18"/>
          <w:szCs w:val="18"/>
        </w:rPr>
        <w:t>14,011,484,040.75</w:t>
      </w:r>
      <w:r>
        <w:rPr>
          <w:color w:val="000000"/>
          <w:spacing w:val="0"/>
          <w:w w:val="100"/>
          <w:position w:val="0"/>
        </w:rPr>
        <w:t>元，占公司营业总成本的比重为</w:t>
      </w:r>
      <w:r>
        <w:rPr>
          <w:rFonts w:ascii="Times New Roman" w:eastAsia="Times New Roman" w:hAnsi="Times New Roman" w:cs="Times New Roman"/>
          <w:color w:val="000000"/>
          <w:spacing w:val="0"/>
          <w:w w:val="100"/>
          <w:position w:val="0"/>
          <w:sz w:val="18"/>
          <w:szCs w:val="18"/>
        </w:rPr>
        <w:t>88.92%</w:t>
      </w:r>
      <w:r>
        <w:rPr>
          <w:color w:val="000000"/>
          <w:spacing w:val="0"/>
          <w:w w:val="100"/>
          <w:position w:val="0"/>
        </w:rPr>
        <w:t>。公 司所处行业为软件与信息技术服务业，相关薪酬占比及变化趋势符合行业属性。</w:t>
      </w:r>
    </w:p>
    <w:p>
      <w:pPr>
        <w:pStyle w:val="Style33"/>
        <w:keepNext/>
        <w:keepLines/>
        <w:widowControl w:val="0"/>
        <w:shd w:val="clear" w:color="auto" w:fill="auto"/>
        <w:tabs>
          <w:tab w:pos="378" w:val="left"/>
        </w:tabs>
        <w:bidi w:val="0"/>
        <w:spacing w:before="0" w:after="260" w:line="240" w:lineRule="auto"/>
        <w:ind w:left="0" w:right="0" w:firstLine="0"/>
        <w:jc w:val="both"/>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3</w:t>
      </w:r>
      <w:bookmarkEnd w:id="454"/>
      <w:r>
        <w:rPr>
          <w:color w:val="000000"/>
          <w:spacing w:val="0"/>
          <w:w w:val="100"/>
          <w:position w:val="0"/>
        </w:rPr>
        <w:t>、</w:t>
        <w:tab/>
        <w:t>培训计划</w:t>
      </w:r>
      <w:bookmarkEnd w:id="452"/>
      <w:bookmarkEnd w:id="453"/>
      <w:bookmarkEnd w:id="455"/>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软通注重人才培养，在培训设置上，不仅围绕公司发展方向和业务实际需要，同时兼顾员工个人成长，建立培训课程 体系，分层分级循环赋能，促进人才内生与发展。针对不同层级、不同专业设置对应的培养项目：</w:t>
      </w:r>
    </w:p>
    <w:p>
      <w:pPr>
        <w:pStyle w:val="Style22"/>
        <w:keepNext w:val="0"/>
        <w:keepLines w:val="0"/>
        <w:widowControl w:val="0"/>
        <w:numPr>
          <w:ilvl w:val="0"/>
          <w:numId w:val="7"/>
        </w:numPr>
        <w:shd w:val="clear" w:color="auto" w:fill="auto"/>
        <w:tabs>
          <w:tab w:pos="760" w:val="left"/>
        </w:tabs>
        <w:bidi w:val="0"/>
        <w:spacing w:before="0" w:after="0" w:line="317" w:lineRule="exact"/>
        <w:ind w:left="0" w:right="0" w:firstLine="440"/>
        <w:jc w:val="both"/>
      </w:pPr>
      <w:bookmarkStart w:id="456" w:name="bookmark456"/>
      <w:bookmarkEnd w:id="456"/>
      <w:r>
        <w:rPr>
          <w:color w:val="000000"/>
          <w:spacing w:val="0"/>
          <w:w w:val="100"/>
          <w:position w:val="0"/>
        </w:rPr>
        <w:t>针对新员工，开展极具特色的新员工特训营，增强新员工对企业的认同感和归属感，帮助新员工快速融入软通。</w:t>
      </w:r>
    </w:p>
    <w:p>
      <w:pPr>
        <w:pStyle w:val="Style22"/>
        <w:keepNext w:val="0"/>
        <w:keepLines w:val="0"/>
        <w:widowControl w:val="0"/>
        <w:numPr>
          <w:ilvl w:val="0"/>
          <w:numId w:val="7"/>
        </w:numPr>
        <w:shd w:val="clear" w:color="auto" w:fill="auto"/>
        <w:tabs>
          <w:tab w:pos="779" w:val="left"/>
        </w:tabs>
        <w:bidi w:val="0"/>
        <w:spacing w:before="0" w:after="0" w:line="317" w:lineRule="exact"/>
        <w:ind w:left="0" w:right="0" w:firstLine="440"/>
        <w:jc w:val="both"/>
      </w:pPr>
      <w:bookmarkStart w:id="457" w:name="bookmark457"/>
      <w:bookmarkEnd w:id="457"/>
      <w:r>
        <w:rPr>
          <w:color w:val="000000"/>
          <w:spacing w:val="0"/>
          <w:w w:val="100"/>
          <w:position w:val="0"/>
        </w:rPr>
        <w:t>针对技术人员，开展专项能力提升培训项目，基于任职资格标准设计学习地图，快速提升员工的专业能力。</w:t>
      </w:r>
    </w:p>
    <w:p>
      <w:pPr>
        <w:pStyle w:val="Style22"/>
        <w:keepNext w:val="0"/>
        <w:keepLines w:val="0"/>
        <w:widowControl w:val="0"/>
        <w:numPr>
          <w:ilvl w:val="0"/>
          <w:numId w:val="7"/>
        </w:numPr>
        <w:shd w:val="clear" w:color="auto" w:fill="auto"/>
        <w:bidi w:val="0"/>
        <w:spacing w:before="0" w:after="0" w:line="317" w:lineRule="exact"/>
        <w:ind w:left="0" w:right="0" w:firstLine="440"/>
        <w:jc w:val="both"/>
      </w:pPr>
      <w:bookmarkStart w:id="458" w:name="bookmark458"/>
      <w:bookmarkEnd w:id="458"/>
      <w:r>
        <w:rPr>
          <w:color w:val="000000"/>
          <w:spacing w:val="0"/>
          <w:w w:val="100"/>
          <w:position w:val="0"/>
        </w:rPr>
        <w:t xml:space="preserve"> </w:t>
      </w:r>
      <w:r>
        <w:rPr>
          <w:color w:val="000000"/>
          <w:spacing w:val="0"/>
          <w:w w:val="100"/>
          <w:position w:val="0"/>
        </w:rPr>
        <w:t>针对管理干部，开展专项训练营，培养认同软通价值观、拓展领导者的战略思维、视野及格局，促进管理人才高效 发展。</w:t>
      </w:r>
    </w:p>
    <w:p>
      <w:pPr>
        <w:pStyle w:val="Style22"/>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软通整体的人才培养体系，以集团教学云平台做支撑，以互联网思维和数字化形式，快速帮助员工能力提升，实现教学 资源效益最大化、培养项目可视化、员工能力可转化。</w:t>
      </w:r>
    </w:p>
    <w:p>
      <w:pPr>
        <w:pStyle w:val="Style33"/>
        <w:keepNext/>
        <w:keepLines/>
        <w:widowControl w:val="0"/>
        <w:shd w:val="clear" w:color="auto" w:fill="auto"/>
        <w:tabs>
          <w:tab w:pos="378" w:val="left"/>
        </w:tabs>
        <w:bidi w:val="0"/>
        <w:spacing w:before="0" w:after="380" w:line="240" w:lineRule="auto"/>
        <w:ind w:left="0" w:right="0" w:firstLine="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4</w:t>
      </w:r>
      <w:bookmarkEnd w:id="461"/>
      <w:r>
        <w:rPr>
          <w:color w:val="000000"/>
          <w:spacing w:val="0"/>
          <w:w w:val="100"/>
          <w:position w:val="0"/>
        </w:rPr>
        <w:t>、</w:t>
        <w:tab/>
        <w:t>劳务外包情况</w:t>
      </w:r>
      <w:bookmarkEnd w:id="459"/>
      <w:bookmarkEnd w:id="460"/>
      <w:bookmarkEnd w:id="462"/>
    </w:p>
    <w:p>
      <w:pPr>
        <w:pStyle w:val="Style2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both"/>
      </w:pPr>
      <w:bookmarkStart w:id="463" w:name="bookmark463"/>
      <w:bookmarkStart w:id="464" w:name="bookmark464"/>
      <w:bookmarkStart w:id="465" w:name="bookmark465"/>
      <w:r>
        <w:rPr>
          <w:color w:val="000000"/>
          <w:spacing w:val="0"/>
          <w:w w:val="100"/>
          <w:position w:val="0"/>
          <w:sz w:val="24"/>
          <w:szCs w:val="24"/>
        </w:rPr>
        <w:t>十二、公司利润分配及资本公积金转增股本情况</w:t>
      </w:r>
      <w:bookmarkEnd w:id="463"/>
      <w:bookmarkEnd w:id="464"/>
      <w:bookmarkEnd w:id="465"/>
    </w:p>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报告期内利润分配政策，特别是现金分红政策的制定、执行或调整情况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报告期内，公司严格按照《公司法》、《证券法》、《关于进一步落实上市公司现金分红有关事项的通知》、《上市公 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号——上市公司现金分红》等相关要求，建立健全完善利润分配相关制度，分红标准和分红比例明确清晰， 相关的决策程序和机制完备。</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现金分红政策进行调整或变更的，条件及程序是否合规、透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本年度利润分配及资本公积金转增股本情况</w:t>
      </w:r>
      <w:r>
        <w:br w:type="page"/>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423,529,412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2,038,298,773.30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日，第一届董事会第十四次会议审议通过了《关于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年度利润分配及资本公积金转增股本预案的议案》，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年度不派发现金股利、不分红股，以资本公积金向全体股东每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股，上述议案尚待公司股东大会审议 通过。公司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年度利润分配及资本公积金转增股本预案符合公司章程及审议程序的规定，充分保护了中小投资者的合 法权益，独立董事发表了同意的独立意见。</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报告期内盈利且母公司可供股东分配利润为正但未提出现金 红利分配预案的原因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公司从实际经营情况出发，综合考虑未来战略发展规划，为 满足公司日常经营，保持财务稳健性和自主性，增强抵御风 险能力，实现公司持续、稳定、健康发展，更好地维护全体 股东的长远利益，公司拟定不进行现金分红。</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公司留存未分配利润将主要用于满足公司日常经营及项目建 设需要、为公司中长期发展战略的顺利实施提供可靠保障以 及流动资金需求等。公司将严格按照《公司法》、《证券法》、 《公司章程》和监管部门的要求，从有利于公司发展和投资 者回报的角度出发，综合考虑与利润分配相关的各种因素， 致力于为股东创造长期的投资价值。</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466" w:name="bookmark466"/>
      <w:bookmarkStart w:id="467" w:name="bookmark467"/>
      <w:bookmarkStart w:id="468" w:name="bookmark468"/>
      <w:r>
        <w:rPr>
          <w:color w:val="000000"/>
          <w:spacing w:val="0"/>
          <w:w w:val="100"/>
          <w:position w:val="0"/>
          <w:sz w:val="24"/>
          <w:szCs w:val="24"/>
        </w:rPr>
        <w:t>十三、公司股权激励计划、员工持股计划或其他员工激励措施的实施情况</w:t>
      </w:r>
      <w:bookmarkEnd w:id="466"/>
      <w:bookmarkEnd w:id="467"/>
      <w:bookmarkEnd w:id="468"/>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r>
        <w:rPr>
          <w:color w:val="000000"/>
          <w:spacing w:val="0"/>
          <w:w w:val="100"/>
          <w:position w:val="0"/>
          <w:sz w:val="24"/>
          <w:szCs w:val="24"/>
        </w:rPr>
        <w:t>十四、报告期内的内部控制制度建设及实施情况</w:t>
      </w:r>
      <w:bookmarkEnd w:id="469"/>
      <w:bookmarkEnd w:id="470"/>
      <w:bookmarkEnd w:id="471"/>
    </w:p>
    <w:p>
      <w:pPr>
        <w:pStyle w:val="Style33"/>
        <w:keepNext/>
        <w:keepLines/>
        <w:widowControl w:val="0"/>
        <w:shd w:val="clear" w:color="auto" w:fill="auto"/>
        <w:bidi w:val="0"/>
        <w:spacing w:before="0" w:after="26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、内部控制建设及实施情况</w:t>
      </w:r>
      <w:bookmarkEnd w:id="472"/>
      <w:bookmarkEnd w:id="473"/>
      <w:bookmarkEnd w:id="475"/>
    </w:p>
    <w:p>
      <w:pPr>
        <w:pStyle w:val="Style22"/>
        <w:keepNext w:val="0"/>
        <w:keepLines w:val="0"/>
        <w:widowControl w:val="0"/>
        <w:shd w:val="clear" w:color="auto" w:fill="auto"/>
        <w:bidi w:val="0"/>
        <w:spacing w:before="0" w:after="280" w:line="310" w:lineRule="exact"/>
        <w:ind w:left="0" w:right="0"/>
        <w:jc w:val="both"/>
      </w:pPr>
      <w:r>
        <w:rPr>
          <w:color w:val="000000"/>
          <w:spacing w:val="0"/>
          <w:w w:val="100"/>
          <w:position w:val="0"/>
        </w:rPr>
        <w:t>公司严格依照各项法律法规以及公司内部控制制度等要求建立了完善的内部控制体系，公司在董事会下设审计委员会， 内部审计机构由审计委员会领导，共同组成公司的风险内控管理组织体系，对公司内部控制的建立和实施等情况进行检查、 监督、评价，并对公司经营活动进行系统的内部审计监督，保证了公司内控体系的完整合规、有效可行，为企业经营管理的 合法合规及资产安全提供了保障，有效促进公司战略的稳步实施。</w:t>
      </w:r>
      <w:r>
        <w:br w:type="page"/>
      </w:r>
    </w:p>
    <w:p>
      <w:pPr>
        <w:pStyle w:val="Style22"/>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公司通过内部控制体系的运行、分析与评价，有效防范了经营管理中的风险，促进了内部控制目标的实现。随着公司的 发展和市场环境的变化，内部控制体系也需根据内外部环境变化及时完善和更新。公司将持续优化内部控制体系并严格遵照 执行，保证公司内部控制体系持续有效运行。</w:t>
      </w:r>
    </w:p>
    <w:p>
      <w:pPr>
        <w:pStyle w:val="Style33"/>
        <w:keepNext/>
        <w:keepLines/>
        <w:widowControl w:val="0"/>
        <w:shd w:val="clear" w:color="auto" w:fill="auto"/>
        <w:bidi w:val="0"/>
        <w:spacing w:before="0" w:after="260" w:line="240" w:lineRule="auto"/>
        <w:ind w:left="0" w:right="0" w:firstLine="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2</w:t>
      </w:r>
      <w:bookmarkEnd w:id="478"/>
      <w:r>
        <w:rPr>
          <w:color w:val="000000"/>
          <w:spacing w:val="0"/>
          <w:w w:val="100"/>
          <w:position w:val="0"/>
        </w:rPr>
        <w:t>、报告期内发现的内部控制重大缺陷的具体情况</w:t>
      </w:r>
      <w:bookmarkEnd w:id="476"/>
      <w:bookmarkEnd w:id="477"/>
      <w:bookmarkEnd w:id="479"/>
    </w:p>
    <w:p>
      <w:pPr>
        <w:pStyle w:val="Style22"/>
        <w:keepNext w:val="0"/>
        <w:keepLines w:val="0"/>
        <w:widowControl w:val="0"/>
        <w:shd w:val="clear" w:color="auto" w:fill="auto"/>
        <w:bidi w:val="0"/>
        <w:spacing w:before="0" w:after="400" w:line="31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40" w:line="240" w:lineRule="auto"/>
        <w:ind w:left="0" w:right="0" w:firstLine="0"/>
        <w:jc w:val="left"/>
      </w:pPr>
      <w:bookmarkStart w:id="480" w:name="bookmark480"/>
      <w:bookmarkStart w:id="481" w:name="bookmark481"/>
      <w:bookmarkStart w:id="482" w:name="bookmark482"/>
      <w:r>
        <w:rPr>
          <w:color w:val="000000"/>
          <w:spacing w:val="0"/>
          <w:w w:val="100"/>
          <w:position w:val="0"/>
          <w:sz w:val="24"/>
          <w:szCs w:val="24"/>
        </w:rPr>
        <w:t>十五、公司报告期内对子公司的管理控制情况</w:t>
      </w:r>
      <w:bookmarkEnd w:id="480"/>
      <w:bookmarkEnd w:id="481"/>
      <w:bookmarkEnd w:id="482"/>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67" w:right="0" w:firstLine="0"/>
        <w:jc w:val="left"/>
      </w:pPr>
      <w:r>
        <w:rPr>
          <w:color w:val="000000"/>
          <w:spacing w:val="0"/>
          <w:w w:val="100"/>
          <w:position w:val="0"/>
        </w:rPr>
        <w:t>注：报告期内公司子公司管理控制情况良好，不存在因购买而新增子公司的情形。</w:t>
      </w:r>
    </w:p>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483" w:name="bookmark483"/>
      <w:bookmarkStart w:id="484" w:name="bookmark484"/>
      <w:bookmarkStart w:id="485" w:name="bookmark485"/>
      <w:r>
        <w:rPr>
          <w:color w:val="000000"/>
          <w:spacing w:val="0"/>
          <w:w w:val="100"/>
          <w:position w:val="0"/>
          <w:sz w:val="24"/>
          <w:szCs w:val="24"/>
        </w:rPr>
        <w:t>十六、内部控制自我评价报告或内部控制审计报告</w:t>
      </w:r>
      <w:bookmarkEnd w:id="483"/>
      <w:bookmarkEnd w:id="484"/>
      <w:bookmarkEnd w:id="485"/>
    </w:p>
    <w:p>
      <w:pPr>
        <w:pStyle w:val="Style33"/>
        <w:keepNext/>
        <w:keepLines/>
        <w:widowControl w:val="0"/>
        <w:shd w:val="clear" w:color="auto" w:fill="auto"/>
        <w:bidi w:val="0"/>
        <w:spacing w:before="0" w:after="34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color w:val="000000"/>
          <w:spacing w:val="0"/>
          <w:w w:val="100"/>
          <w:position w:val="0"/>
        </w:rPr>
        <w:t>、内控自我评价报告</w:t>
      </w:r>
      <w:bookmarkEnd w:id="486"/>
      <w:bookmarkEnd w:id="487"/>
      <w:bookmarkEnd w:id="489"/>
    </w:p>
    <w:tbl>
      <w:tblPr>
        <w:tblOverlap w:val="never"/>
        <w:jc w:val="center"/>
        <w:tblLayout w:type="fixed"/>
      </w:tblPr>
      <w:tblGrid>
        <w:gridCol w:w="1142"/>
        <w:gridCol w:w="4253"/>
        <w:gridCol w:w="4190"/>
      </w:tblGrid>
      <w:tr>
        <w:trPr>
          <w:trHeight w:val="40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39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纳入评价范围单位营业收入占公司合并财务报表营业总收入的比例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4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5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重大缺陷：①公司董事、监事和高级管理人员的舞 弊行为；②注册会计师发现当期财务报告存在重大错 报，而内部控制在运行过程中未能发现该错报；③审 计委员会以及内部审计部门对财务报告内部控制监督 无效；④公司更正已公布的财务报告⑤已经发现并报 告给管理层的重大缺陷在合理的时间内未加以改正。</w:t>
            </w:r>
          </w:p>
          <w:p>
            <w:pPr>
              <w:pStyle w:val="Style24"/>
              <w:keepNext w:val="0"/>
              <w:keepLines w:val="0"/>
              <w:widowControl w:val="0"/>
              <w:shd w:val="clear" w:color="auto" w:fill="auto"/>
              <w:tabs>
                <w:tab w:pos="269"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重要缺陷：①未建立反舞弊程序和控制措施；②对 于非常规或特殊交易的账务处理没有建立相应的控制 机制或没有实施且没有相应的补偿性控制③对于期末 财务报告过程的控制存在一项或多项缺陷且不能合理 保证编制的财务报表达到真实、准确的目标。④重要 缺陷经汇报和沟通后，未在合理的期间进行纠正；</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一般缺陷：除重大缺陷和重要缺陷外的其他缺陷。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重大缺陷：①违犯国家法律、法规；②重要业务 缺乏制度控制或制度系统性失效；③内部控制评价中 发现的重大缺陷未得到整改；④公司决策程序不科学 导致重大决策失败；⑤媒体负面新闻频现；⑥重大偏 离预算；⑦其他对公司产生重大负面影响的情形。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重要缺陷：①公司重大事项的决策程序不够完善；② 公司重要业务制度或系统存在缺陷；③内部控制评价 中发现的重要缺陷未得到整改；④违犯行业规范，受 到政府部门或监管机构处罚；⑤媒体负面新闻对公司 产生中度负面影响；⑥其他对公司负面影响重要的情 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一般缺陷：除上述重大缺陷、重要缺陷之外 的其他控制缺陷。</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2549" w:val="left"/>
              </w:tabs>
              <w:bidi w:val="0"/>
              <w:spacing w:before="0" w:after="0" w:line="314" w:lineRule="exact"/>
              <w:ind w:left="0" w:right="0" w:firstLine="0"/>
              <w:jc w:val="both"/>
            </w:pPr>
            <w:r>
              <w:rPr>
                <w:color w:val="000000"/>
                <w:spacing w:val="0"/>
                <w:w w:val="100"/>
                <w:position w:val="0"/>
              </w:rPr>
              <w:t>重大缺陷，利润总额错报金额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，收入总额错报金 额</w:t>
            </w:r>
            <w:r>
              <w:rPr>
                <w:rFonts w:ascii="Times New Roman" w:eastAsia="Times New Roman" w:hAnsi="Times New Roman" w:cs="Times New Roman"/>
                <w:color w:val="000000"/>
                <w:spacing w:val="0"/>
                <w:w w:val="100"/>
                <w:position w:val="0"/>
                <w:sz w:val="18"/>
                <w:szCs w:val="18"/>
              </w:rPr>
              <w:t>Z1%</w:t>
            </w:r>
            <w:r>
              <w:rPr>
                <w:color w:val="000000"/>
                <w:spacing w:val="0"/>
                <w:w w:val="100"/>
                <w:position w:val="0"/>
              </w:rPr>
              <w:t>；重要缺陷，利润总额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收入金额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一般缺陷，利润总额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公司确定的非财务报告内部控制缺陷评价的定量标 准与公司确定的财务报告内部控制缺陷评价的定量 标准一致。</w:t>
            </w:r>
          </w:p>
        </w:tc>
      </w:tr>
    </w:tbl>
    <w:p>
      <w:pPr>
        <w:spacing w:lineRule="exact" w:line="1"/>
        <w:rPr>
          <w:sz w:val="2"/>
          <w:szCs w:val="2"/>
        </w:rPr>
      </w:pPr>
      <w:r>
        <w:br w:type="page"/>
      </w:r>
    </w:p>
    <w:tbl>
      <w:tblPr>
        <w:tblOverlap w:val="never"/>
        <w:jc w:val="center"/>
        <w:tblLayout w:type="fixed"/>
      </w:tblPr>
      <w:tblGrid>
        <w:gridCol w:w="5395"/>
        <w:gridCol w:w="4190"/>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，收入总额错报金额＜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、内部控制审计报告或鉴证报告</w:t>
      </w:r>
      <w:bookmarkEnd w:id="490"/>
      <w:bookmarkEnd w:id="491"/>
      <w:bookmarkEnd w:id="493"/>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我们认为，软通动力公司按照《企业内部控制基本规范》及相关规定于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 报表相关的有效的内部控制。</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会计师事务所是否出具非标准意见的内部控制鉴证报告</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r>
        <w:rPr>
          <w:color w:val="000000"/>
          <w:spacing w:val="0"/>
          <w:w w:val="100"/>
          <w:position w:val="0"/>
          <w:sz w:val="24"/>
          <w:szCs w:val="24"/>
        </w:rPr>
        <w:t>十七、上市公司治理专项行动自查问题整改情况</w:t>
      </w:r>
      <w:bookmarkEnd w:id="494"/>
      <w:bookmarkEnd w:id="495"/>
      <w:bookmarkEnd w:id="496"/>
    </w:p>
    <w:p>
      <w:pPr>
        <w:pStyle w:val="Style22"/>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83" w:right="1065" w:bottom="1484" w:left="1062"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580" w:after="540" w:line="240" w:lineRule="auto"/>
        <w:ind w:left="0" w:right="0" w:firstLine="0"/>
        <w:jc w:val="center"/>
      </w:pPr>
      <w:bookmarkStart w:id="497" w:name="bookmark497"/>
      <w:bookmarkStart w:id="498" w:name="bookmark498"/>
      <w:bookmarkStart w:id="499" w:name="bookmark499"/>
      <w:r>
        <w:rPr>
          <w:color w:val="000000"/>
          <w:spacing w:val="0"/>
          <w:w w:val="100"/>
          <w:position w:val="0"/>
        </w:rPr>
        <w:t>第五节环境和社会责任</w:t>
      </w:r>
      <w:bookmarkEnd w:id="497"/>
      <w:bookmarkEnd w:id="498"/>
      <w:bookmarkEnd w:id="499"/>
    </w:p>
    <w:p>
      <w:pPr>
        <w:pStyle w:val="Style27"/>
        <w:keepNext/>
        <w:keepLines/>
        <w:widowControl w:val="0"/>
        <w:shd w:val="clear" w:color="auto" w:fill="auto"/>
        <w:bidi w:val="0"/>
        <w:spacing w:before="0" w:after="380" w:line="240" w:lineRule="auto"/>
        <w:ind w:left="0" w:right="0" w:firstLine="260"/>
        <w:jc w:val="left"/>
      </w:pPr>
      <w:bookmarkStart w:id="500" w:name="bookmark500"/>
      <w:bookmarkStart w:id="501" w:name="bookmark501"/>
      <w:bookmarkStart w:id="502" w:name="bookmark502"/>
      <w:bookmarkStart w:id="503" w:name="bookmark503"/>
      <w:r>
        <w:rPr>
          <w:color w:val="000000"/>
          <w:spacing w:val="0"/>
          <w:w w:val="100"/>
          <w:position w:val="0"/>
          <w:sz w:val="24"/>
          <w:szCs w:val="24"/>
        </w:rPr>
        <w:t>、重大环保问题</w:t>
      </w:r>
      <w:bookmarkEnd w:id="501"/>
      <w:bookmarkEnd w:id="502"/>
      <w:bookmarkEnd w:id="503"/>
      <w:bookmarkEnd w:id="500"/>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widowControl w:val="0"/>
        <w:spacing w:after="119" w:line="1" w:lineRule="exact"/>
      </w:pPr>
    </w:p>
    <w:p>
      <w:pPr>
        <w:pStyle w:val="Style22"/>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公司不属于环保部门公布的重点排污单位。公司在日常经营中严格遵照《中华人民共和国环境保护法》、《中华人民共 和国水污染防治法》、《中华人民共和国大气污染防治法》、《中华人民共和国环境噪声污染防治法》、《中华人民共和国 固体废物污染防治法》等环保方面的法律法规，报告期内未出现因违反上述法规而受到处罚的情况。</w:t>
      </w:r>
    </w:p>
    <w:p>
      <w:pPr>
        <w:pStyle w:val="Style22"/>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在报告期内为减少其碳排放所采取的措施及效果</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公司积极响应国家节能减排号召，全国各城市办公场地通过多渠道宣贯节能环保知识，制定节能减排方案，逐步建设成 为节能型企业。公司成立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节能减排工作组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，明确组织分工，从日常照明、消防、空调、绿化用水管理等到空调、采暖、强 弱电系统等专业设备系统节能管理方面采取节能减排管控措施。公司各城市场地每月组织办公环境及闲置资产专项巡检工 作，坚定提升公司</w:t>
      </w:r>
      <w:r>
        <w:rPr>
          <w:rFonts w:ascii="Times New Roman" w:eastAsia="Times New Roman" w:hAnsi="Times New Roman" w:cs="Times New Roman"/>
          <w:color w:val="000000"/>
          <w:spacing w:val="0"/>
          <w:w w:val="100"/>
          <w:position w:val="0"/>
          <w:sz w:val="18"/>
          <w:szCs w:val="18"/>
        </w:rPr>
        <w:t>EHS</w:t>
      </w:r>
      <w:r>
        <w:rPr>
          <w:color w:val="000000"/>
          <w:spacing w:val="0"/>
          <w:w w:val="100"/>
          <w:position w:val="0"/>
        </w:rPr>
        <w:t>综合管理、看护能力。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年公司北京总部大楼被认定为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北京市节水单位匚 未披露其他环境信息的原因 不适用</w:t>
      </w:r>
    </w:p>
    <w:p>
      <w:pPr>
        <w:pStyle w:val="Style27"/>
        <w:keepNext/>
        <w:keepLines/>
        <w:widowControl w:val="0"/>
        <w:shd w:val="clear" w:color="auto" w:fill="auto"/>
        <w:bidi w:val="0"/>
        <w:spacing w:before="0" w:after="24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二</w:t>
      </w:r>
      <w:bookmarkEnd w:id="506"/>
      <w:r>
        <w:rPr>
          <w:color w:val="000000"/>
          <w:spacing w:val="0"/>
          <w:w w:val="100"/>
          <w:position w:val="0"/>
          <w:sz w:val="24"/>
          <w:szCs w:val="24"/>
        </w:rPr>
        <w:t>、社会责任情况</w:t>
      </w:r>
      <w:bookmarkEnd w:id="504"/>
      <w:bookmarkEnd w:id="505"/>
      <w:bookmarkEnd w:id="507"/>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以人为本、关爱员工、绿色环保、创新发展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的企业社会责任理念，于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年正式通过国际社会责任管 理体系</w:t>
      </w:r>
      <w:r>
        <w:rPr>
          <w:rFonts w:ascii="Times New Roman" w:eastAsia="Times New Roman" w:hAnsi="Times New Roman" w:cs="Times New Roman"/>
          <w:color w:val="000000"/>
          <w:spacing w:val="0"/>
          <w:w w:val="100"/>
          <w:position w:val="0"/>
          <w:sz w:val="18"/>
          <w:szCs w:val="18"/>
        </w:rPr>
        <w:t>SA8000</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 xml:space="preserve">Social Accountability </w:t>
      </w:r>
      <w:r>
        <w:rPr>
          <w:rFonts w:ascii="Times New Roman" w:eastAsia="Times New Roman" w:hAnsi="Times New Roman" w:cs="Times New Roman"/>
          <w:color w:val="000000"/>
          <w:spacing w:val="0"/>
          <w:w w:val="100"/>
          <w:position w:val="0"/>
          <w:sz w:val="18"/>
          <w:szCs w:val="18"/>
        </w:rPr>
        <w:t xml:space="preserve">8000 </w:t>
      </w:r>
      <w:r>
        <w:rPr>
          <w:rFonts w:ascii="Times New Roman" w:eastAsia="Times New Roman" w:hAnsi="Times New Roman" w:cs="Times New Roman"/>
          <w:color w:val="000000"/>
          <w:spacing w:val="0"/>
          <w:w w:val="100"/>
          <w:position w:val="0"/>
          <w:sz w:val="18"/>
          <w:szCs w:val="18"/>
        </w:rPr>
        <w:t>International standard</w:t>
      </w:r>
      <w:r>
        <w:rPr>
          <w:color w:val="000000"/>
          <w:spacing w:val="0"/>
          <w:w w:val="100"/>
          <w:position w:val="0"/>
        </w:rPr>
        <w:t>），是对公司多年来主动承担并践行企业社会责任的充 分肯定，也标志着公司在人文理念、标准化管理等方面已达到</w:t>
      </w:r>
      <w:r>
        <w:rPr>
          <w:rFonts w:ascii="Times New Roman" w:eastAsia="Times New Roman" w:hAnsi="Times New Roman" w:cs="Times New Roman"/>
          <w:color w:val="000000"/>
          <w:spacing w:val="0"/>
          <w:w w:val="100"/>
          <w:position w:val="0"/>
          <w:sz w:val="18"/>
          <w:szCs w:val="18"/>
        </w:rPr>
        <w:t>SA8000</w:t>
      </w:r>
      <w:r>
        <w:rPr>
          <w:color w:val="000000"/>
          <w:spacing w:val="0"/>
          <w:w w:val="100"/>
          <w:position w:val="0"/>
        </w:rPr>
        <w:t xml:space="preserve">社会责任标准的各项要求。国际社会责任管理体系 </w:t>
      </w:r>
      <w:r>
        <w:rPr>
          <w:rFonts w:ascii="Times New Roman" w:eastAsia="Times New Roman" w:hAnsi="Times New Roman" w:cs="Times New Roman"/>
          <w:color w:val="000000"/>
          <w:spacing w:val="0"/>
          <w:w w:val="100"/>
          <w:position w:val="0"/>
          <w:sz w:val="18"/>
          <w:szCs w:val="18"/>
        </w:rPr>
        <w:t>SA8000</w:t>
      </w:r>
      <w:r>
        <w:rPr>
          <w:color w:val="000000"/>
          <w:spacing w:val="0"/>
          <w:w w:val="100"/>
          <w:position w:val="0"/>
        </w:rPr>
        <w:t>认证是全球首个道德规范国际标准，其宗旨是确保供应商所供应的产品皆符合社会责任标准的要求，适用于世界各 地不同行业及不同规模的公司，与</w:t>
      </w:r>
      <w:r>
        <w:rPr>
          <w:rFonts w:ascii="Times New Roman" w:eastAsia="Times New Roman" w:hAnsi="Times New Roman" w:cs="Times New Roman"/>
          <w:color w:val="000000"/>
          <w:spacing w:val="0"/>
          <w:w w:val="100"/>
          <w:position w:val="0"/>
          <w:sz w:val="18"/>
          <w:szCs w:val="18"/>
        </w:rPr>
        <w:t>ISO9000</w:t>
      </w:r>
      <w:r>
        <w:rPr>
          <w:color w:val="000000"/>
          <w:spacing w:val="0"/>
          <w:w w:val="100"/>
          <w:position w:val="0"/>
        </w:rPr>
        <w:t>质量管理体系及</w:t>
      </w:r>
      <w:r>
        <w:rPr>
          <w:rFonts w:ascii="Times New Roman" w:eastAsia="Times New Roman" w:hAnsi="Times New Roman" w:cs="Times New Roman"/>
          <w:color w:val="000000"/>
          <w:spacing w:val="0"/>
          <w:w w:val="100"/>
          <w:position w:val="0"/>
          <w:sz w:val="18"/>
          <w:szCs w:val="18"/>
        </w:rPr>
        <w:t>ISO14000</w:t>
      </w:r>
      <w:r>
        <w:rPr>
          <w:color w:val="000000"/>
          <w:spacing w:val="0"/>
          <w:w w:val="100"/>
          <w:position w:val="0"/>
        </w:rPr>
        <w:t>环境管理体系等均为被第三方认证机构审核的国际标 准。</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公司积极承担社会责任，维护劳动者合法权益，持续为社会提供</w:t>
      </w:r>
      <w:r>
        <w:rPr>
          <w:color w:val="000000"/>
          <w:spacing w:val="0"/>
          <w:w w:val="100"/>
          <w:position w:val="0"/>
          <w:sz w:val="18"/>
          <w:szCs w:val="18"/>
        </w:rPr>
        <w:t>9</w:t>
      </w:r>
      <w:r>
        <w:rPr>
          <w:color w:val="000000"/>
          <w:spacing w:val="0"/>
          <w:w w:val="100"/>
          <w:position w:val="0"/>
        </w:rPr>
        <w:t>万+就业岗位。一直以来公司积极投身社会公益事业 与慈善事业，凭借在公益建设方面的突出贡献连续多年荣获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中国优秀企业公民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年度中国最佳雇主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年度责任品牌奖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等多项殊荣。此外，公司始终坚持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的企业文化，尊重员工个性，努力为员工提供更好的工作环境、职业发展机会 及专业的健康、心理咨询等私人定制化服务，如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健康驿站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投入运营、定期组织员工体检、员工座谈、</w:t>
      </w:r>
      <w:r>
        <w:rPr>
          <w:rFonts w:ascii="Times New Roman" w:eastAsia="Times New Roman" w:hAnsi="Times New Roman" w:cs="Times New Roman"/>
          <w:color w:val="000000"/>
          <w:spacing w:val="0"/>
          <w:w w:val="100"/>
          <w:position w:val="0"/>
          <w:sz w:val="18"/>
          <w:szCs w:val="18"/>
        </w:rPr>
        <w:t>EHS3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等丰富活动， 时刻关注员工身心健康。</w:t>
      </w:r>
    </w:p>
    <w:p>
      <w:pPr>
        <w:pStyle w:val="Style22"/>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公司稳步提升标准化管理水平，陆续在北京、西安、南京、武汉、深圳、成都等重大城市或交付基地落地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环境职业健 康安全管理体系</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EHS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标准覆盖，同时集团搭建了质量</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、信息安全</w:t>
      </w: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、环境</w:t>
      </w:r>
      <w:r>
        <w:rPr>
          <w:rFonts w:ascii="Times New Roman" w:eastAsia="Times New Roman" w:hAnsi="Times New Roman" w:cs="Times New Roman"/>
          <w:color w:val="000000"/>
          <w:spacing w:val="0"/>
          <w:w w:val="100"/>
          <w:position w:val="0"/>
          <w:sz w:val="18"/>
          <w:szCs w:val="18"/>
        </w:rPr>
        <w:t>ISO14000</w:t>
      </w:r>
      <w:r>
        <w:rPr>
          <w:color w:val="000000"/>
          <w:spacing w:val="0"/>
          <w:w w:val="100"/>
          <w:position w:val="0"/>
        </w:rPr>
        <w:t>、</w:t>
      </w:r>
      <w:r>
        <w:rPr>
          <w:color w:val="000000"/>
          <w:spacing w:val="0"/>
          <w:w w:val="100"/>
          <w:position w:val="0"/>
        </w:rPr>
        <w:t xml:space="preserve">职业健康安全 </w:t>
      </w:r>
      <w:r>
        <w:rPr>
          <w:rFonts w:ascii="Times New Roman" w:eastAsia="Times New Roman" w:hAnsi="Times New Roman" w:cs="Times New Roman"/>
          <w:color w:val="000000"/>
          <w:spacing w:val="0"/>
          <w:w w:val="100"/>
          <w:position w:val="0"/>
          <w:sz w:val="18"/>
          <w:szCs w:val="18"/>
        </w:rPr>
        <w:t>ISO45001</w:t>
      </w:r>
      <w:r>
        <w:rPr>
          <w:color w:val="000000"/>
          <w:spacing w:val="0"/>
          <w:w w:val="100"/>
          <w:position w:val="0"/>
        </w:rPr>
        <w:t>、</w:t>
      </w:r>
      <w:r>
        <w:rPr>
          <w:color w:val="000000"/>
          <w:spacing w:val="0"/>
          <w:w w:val="100"/>
          <w:position w:val="0"/>
        </w:rPr>
        <w:t>信息技术服务</w:t>
      </w: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等体系五标合一的一体化管理机制。在</w:t>
      </w:r>
      <w:r>
        <w:rPr>
          <w:rFonts w:ascii="Times New Roman" w:eastAsia="Times New Roman" w:hAnsi="Times New Roman" w:cs="Times New Roman"/>
          <w:color w:val="000000"/>
          <w:spacing w:val="0"/>
          <w:w w:val="100"/>
          <w:position w:val="0"/>
          <w:sz w:val="18"/>
          <w:szCs w:val="18"/>
        </w:rPr>
        <w:t>EHS</w:t>
      </w:r>
      <w:r>
        <w:rPr>
          <w:color w:val="000000"/>
          <w:spacing w:val="0"/>
          <w:w w:val="100"/>
          <w:position w:val="0"/>
        </w:rPr>
        <w:t>体系持续发展中，培养各城市</w:t>
      </w:r>
      <w:r>
        <w:rPr>
          <w:rFonts w:ascii="Times New Roman" w:eastAsia="Times New Roman" w:hAnsi="Times New Roman" w:cs="Times New Roman"/>
          <w:color w:val="000000"/>
          <w:spacing w:val="0"/>
          <w:w w:val="100"/>
          <w:position w:val="0"/>
          <w:sz w:val="18"/>
          <w:szCs w:val="18"/>
        </w:rPr>
        <w:t>EHS</w:t>
      </w:r>
      <w:r>
        <w:rPr>
          <w:color w:val="000000"/>
          <w:spacing w:val="0"/>
          <w:w w:val="100"/>
          <w:position w:val="0"/>
        </w:rPr>
        <w:t>工作组独立、</w:t>
      </w:r>
    </w:p>
    <w:p>
      <w:pPr>
        <w:pStyle w:val="Style2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合规管理能力，扎牢对公司全体员工的安全看护防线。</w:t>
      </w:r>
    </w:p>
    <w:p>
      <w:pPr>
        <w:pStyle w:val="Style27"/>
        <w:keepNext/>
        <w:keepLines/>
        <w:widowControl w:val="0"/>
        <w:shd w:val="clear" w:color="auto" w:fill="auto"/>
        <w:bidi w:val="0"/>
        <w:spacing w:before="0" w:after="26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sz w:val="24"/>
          <w:szCs w:val="24"/>
        </w:rPr>
        <w:t>三</w:t>
      </w:r>
      <w:bookmarkEnd w:id="510"/>
      <w:r>
        <w:rPr>
          <w:color w:val="000000"/>
          <w:spacing w:val="0"/>
          <w:w w:val="100"/>
          <w:position w:val="0"/>
          <w:sz w:val="24"/>
          <w:szCs w:val="24"/>
        </w:rPr>
        <w:t>、巩固拓展脱贫攻坚成果、乡村振兴的情况</w:t>
      </w:r>
      <w:bookmarkEnd w:id="508"/>
      <w:bookmarkEnd w:id="509"/>
      <w:bookmarkEnd w:id="511"/>
    </w:p>
    <w:p>
      <w:pPr>
        <w:pStyle w:val="Style22"/>
        <w:keepNext w:val="0"/>
        <w:keepLines w:val="0"/>
        <w:widowControl w:val="0"/>
        <w:shd w:val="clear" w:color="auto" w:fill="auto"/>
        <w:bidi w:val="0"/>
        <w:spacing w:before="0" w:after="300" w:line="312" w:lineRule="exact"/>
        <w:ind w:left="0" w:right="0" w:firstLine="440"/>
        <w:jc w:val="left"/>
        <w:sectPr>
          <w:footnotePr>
            <w:pos w:val="pageBottom"/>
            <w:numFmt w:val="decimal"/>
            <w:numRestart w:val="continuous"/>
          </w:footnotePr>
          <w:pgSz w:w="11900" w:h="16840"/>
          <w:pgMar w:top="1388" w:right="1022" w:bottom="1599" w:left="1101" w:header="0" w:footer="3" w:gutter="0"/>
          <w:cols w:space="720"/>
          <w:noEndnote/>
          <w:rtlGutter w:val="0"/>
          <w:docGrid w:linePitch="360"/>
        </w:sectPr>
      </w:pPr>
      <w:r>
        <w:rPr>
          <w:color w:val="000000"/>
          <w:spacing w:val="0"/>
          <w:w w:val="100"/>
          <w:position w:val="0"/>
        </w:rPr>
        <w:t>公司积极帮助教育欠发达地区推动社会事业发展，为推进构建和谐社会贡献力量。公司曾多次资助美泉软通动力完小、 遵义敖溪小学、清静庵小学等，改善山区小学的教育条件，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月公司与中华社会文化发展基金会合作，为南梁革命老 区小学图书馆设备等进行捐款，帮助改善革命老区孩子们的教育现状，关注和支援社会公共教育建设。</w:t>
      </w:r>
    </w:p>
    <w:p>
      <w:pPr>
        <w:pStyle w:val="Style8"/>
        <w:keepNext/>
        <w:keepLines/>
        <w:widowControl w:val="0"/>
        <w:shd w:val="clear" w:color="auto" w:fill="auto"/>
        <w:bidi w:val="0"/>
        <w:spacing w:before="560" w:after="520" w:line="240" w:lineRule="auto"/>
        <w:ind w:left="0" w:right="0" w:firstLine="0"/>
        <w:jc w:val="center"/>
      </w:pPr>
      <w:bookmarkStart w:id="512" w:name="bookmark512"/>
      <w:bookmarkStart w:id="513" w:name="bookmark513"/>
      <w:bookmarkStart w:id="514" w:name="bookmark514"/>
      <w:r>
        <w:rPr>
          <w:color w:val="000000"/>
          <w:spacing w:val="0"/>
          <w:w w:val="100"/>
          <w:position w:val="0"/>
        </w:rPr>
        <w:t>第六节重要事项</w:t>
      </w:r>
      <w:bookmarkEnd w:id="512"/>
      <w:bookmarkEnd w:id="513"/>
      <w:bookmarkEnd w:id="514"/>
    </w:p>
    <w:p>
      <w:pPr>
        <w:pStyle w:val="Style27"/>
        <w:keepNext/>
        <w:keepLines/>
        <w:widowControl w:val="0"/>
        <w:shd w:val="clear" w:color="auto" w:fill="auto"/>
        <w:bidi w:val="0"/>
        <w:spacing w:before="0" w:after="360" w:line="240" w:lineRule="auto"/>
        <w:ind w:left="0" w:right="0" w:firstLine="0"/>
        <w:jc w:val="left"/>
      </w:pPr>
      <w:bookmarkStart w:id="515" w:name="bookmark515"/>
      <w:bookmarkStart w:id="516" w:name="bookmark516"/>
      <w:bookmarkStart w:id="517" w:name="bookmark517"/>
      <w:bookmarkStart w:id="518" w:name="bookmark518"/>
      <w:bookmarkStart w:id="519" w:name="bookmark519"/>
      <w:r>
        <w:rPr>
          <w:color w:val="000000"/>
          <w:spacing w:val="0"/>
          <w:w w:val="100"/>
          <w:position w:val="0"/>
          <w:sz w:val="24"/>
          <w:szCs w:val="24"/>
        </w:rPr>
        <w:t>一</w:t>
      </w:r>
      <w:bookmarkEnd w:id="518"/>
      <w:r>
        <w:rPr>
          <w:color w:val="000000"/>
          <w:spacing w:val="0"/>
          <w:w w:val="100"/>
          <w:position w:val="0"/>
          <w:sz w:val="24"/>
          <w:szCs w:val="24"/>
        </w:rPr>
        <w:t>、承诺事项履行情况</w:t>
      </w:r>
      <w:bookmarkEnd w:id="516"/>
      <w:bookmarkEnd w:id="517"/>
      <w:bookmarkEnd w:id="519"/>
      <w:bookmarkEnd w:id="515"/>
    </w:p>
    <w:p>
      <w:pPr>
        <w:pStyle w:val="Style33"/>
        <w:keepNext/>
        <w:keepLines/>
        <w:widowControl w:val="0"/>
        <w:shd w:val="clear" w:color="auto" w:fill="auto"/>
        <w:bidi w:val="0"/>
        <w:spacing w:before="0" w:after="36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、公司实际控制人、股东、关联方、收购人以及公司等承诺相关方在报告期内履行完毕及截至报告期末尚未履行完毕的承诺事项</w:t>
      </w:r>
      <w:bookmarkEnd w:id="520"/>
      <w:bookmarkEnd w:id="521"/>
      <w:bookmarkEnd w:id="52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42"/>
        <w:gridCol w:w="1416"/>
        <w:gridCol w:w="854"/>
        <w:gridCol w:w="7795"/>
        <w:gridCol w:w="850"/>
        <w:gridCol w:w="850"/>
        <w:gridCol w:w="10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首次公开发</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行或再融资</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时所作承诺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个月内，本人不转让或者委托他人管理本人直接或间接持有的公司首 次公开发行股票前已发行的股份，也不由公司回购该部分股份，并依法办理所持股份的锁定手续。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个月内，若公司股票连续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个交易日的收盘价均低于首次公开发行价格，或者上市后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个月期末（如该日不是交易日，则为该日后第一个交易日）收盘价低于首次公开发行价格，本人 持有上述公司股份的锁定期限在前述锁定期的基础上自动延长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个月。若公司上市后发生派息、送 股、资本公积转增股本等除权、除息行为的，上述发行价为除权除息后的价格。本人不因职务变更、 离职等原因，而放弃履行本条承诺。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、在锁定期满后，在公司任职期间，本人每年转让公司股份 不超过所持有的股份总数的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。在本人离职后半年内，本人不转让所持有的公司股份。如本人在 任期届满前离职的，在就任时确定的任期内和任期届满后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个月内本人亦遵守本条承诺。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、若在 股份限制流通、自愿锁定期内违反相关承诺减持公司股份的，则由此所得收益归发行人所有，且承 担相应的法律责任，并在发行人的股东大会及中国证监会指定报刊上公开说明未履行的具体原因， 向发行人的股东和社会公众投资者道歉。如造成投资者损失的，依法赔偿投资者损失。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42"/>
        <w:gridCol w:w="1416"/>
        <w:gridCol w:w="854"/>
        <w:gridCol w:w="7795"/>
        <w:gridCol w:w="850"/>
        <w:gridCol w:w="850"/>
        <w:gridCol w:w="1003"/>
      </w:tblGrid>
      <w:tr>
        <w:trPr>
          <w:trHeight w:val="44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持股意向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及减持意</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、本人拟长期持有公司股票。如果在锁定期满后，本人拟减持股票的，将认真遵守《上市公司股 东、董监高减持股份的若干规定》《深圳证券交易所上市公司股东及董事、监事、高级管理人员减持 股份实施细则》等中国证券监督管理委员会（以下简称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）、深交所的相关规定以及本人 已作出的相关承诺，审慎制定股票减持计划。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、本人在所持公司首次公开发行股票前已发行股份 的锁定期满后两年内减持该等股票的，应符合相关法律、法规的规定，减持价格将不低于公司首次 公开发行价格（自公司股票上市至其减持期间，公司如有派息、送股、资本公积金转增股本、增发 新股或配股等除权、除息事项，减持价格下限和股份数将相应进行调整）。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、本人减持公司股份的 方式应符合相关法律、法规、规章的规定，包括但不限于交易所集中竞价交易方式、大宗交易方式、 协议转让方式等。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、本人所持股票在锁定期满后实施减持时，将提前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个交易日予以公告，且计 划通过证券交易所集中竞价交易减持股份的，将在首次卖出的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个交易日前向证券交易所报告并预 先披露减持计划，由证券交易所予以备案，本人将配合公司根据相关法律、规范性文件的规定及公 司规章制度及时、充分履行股份减持的信息披露义务。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、本人所持股票在锁定期满后实施减持时， 如中国证监会、深交所对股票减持存在新增规则和要求的，本人将同时遵守该等规则和要求。</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、如 未履行上述承诺，本人应将违反承诺出售股票所取得的收益归公司所有。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20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软石智动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、自发行人股票上市之日起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个月内，本企业不转让或者委托他人管理本企业直接或者间接持有 的发行人首次公开发行股票前已发行的股份，也不由发行人回购本企业直接或者间接持有的发行人 首次公开发行股票前已发行的股份。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 收盘价均低于首次公开发行价格（期间发行人如有分红、派息、送股、资本公积金转增股本、配股 等除权除息事项，则作除权除息处理，下同），或者上市后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个月期末（如该日不是交易日，则为该 日后第一个交易日）收盘价低于首次公开发行价格，则本企业持有的发行人股票的锁定期限在原有 锁定期限基础上自动延长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、若在股份限制流通、自愿锁定期内违反相关承诺减持公司股 份的，则由此所得收益归发行人所有，且承担相应的法律责任，并在发行人的股东大会及中国证监 会指定报刊上公开说明未履行的具体原因，向发行人的股东和社会公众投资者道歉。如造成投资者 损失的，依法赔偿投资者损失。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软石智动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持股意向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及减持意</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、本企业拟长期持有公司股票。如果在锁定期满后，本企业拟减持股票的，将认真遵守《上市公 司股东、董监高减持股份的若干规定》《深圳证券交易所上市公司股东及董事、监事、高级管理人员 减持股份实施细则》等中国证券监督管理委员会（以下简称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）、深交所的相关规定以及 本企业已作出的相关承诺，审慎制定股票减持计划。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、本企业在所持公司首次公开发行股票前已 发行股份的锁定期满后两年内减持该等股票的，应符合相关法律、法规的规定，减持价格将不低于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42"/>
        <w:gridCol w:w="1416"/>
        <w:gridCol w:w="854"/>
        <w:gridCol w:w="7795"/>
        <w:gridCol w:w="850"/>
        <w:gridCol w:w="850"/>
        <w:gridCol w:w="1003"/>
      </w:tblGrid>
      <w:tr>
        <w:trPr>
          <w:trHeight w:val="320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公司首次公开发行价格（自公司股票上市至其减持期间，公司如有派息、送股、资本公积金转增股 本、增发新股或配股等除权、除息事项，减持价格下限和股份数将相应进行调整）。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、本企业减持 公司股份的方式应符合相关法律、法规、规章的规定，包括但不限于交易所集中竞价交易方式、大 宗交易方式、协议转让方式等。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、本企业所持股票在锁定期满后实施减持时，将提前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 予以公告，且计划通过证券交易所集中竞价交易减持股份的，将在首次卖出的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个交易日前向证券 交易所报告并预先披露减持计划，由证券交易所予以备案，本企业将配合公司根据相关法律、规范 性文件的规定及公司规章制度及时、充分履行股份减持的信息披露义务。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、本企业所持股票在锁 定期满后实施减持时，如中国证监会、深交所对股票减持存在新增规则和要求的，本企业将同时遵 守该等规则和要求。</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、如未履行上述承诺，本企业应将违反承诺出售股票所取得的收益归公司所 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 Bravo</w:t>
            </w:r>
            <w:r>
              <w:rPr>
                <w:color w:val="000000"/>
                <w:spacing w:val="0"/>
                <w:w w:val="100"/>
                <w:position w:val="0"/>
                <w:sz w:val="17"/>
                <w:szCs w:val="17"/>
              </w:rPr>
              <w:t>、</w:t>
            </w:r>
            <w:r>
              <w:rPr>
                <w:color w:val="000000"/>
                <w:spacing w:val="0"/>
                <w:w w:val="100"/>
                <w:position w:val="0"/>
                <w:sz w:val="17"/>
                <w:szCs w:val="17"/>
              </w:rPr>
              <w:t>舟山 长通、</w:t>
            </w:r>
            <w:r>
              <w:rPr>
                <w:rFonts w:ascii="Times New Roman" w:eastAsia="Times New Roman" w:hAnsi="Times New Roman" w:cs="Times New Roman"/>
                <w:color w:val="000000"/>
                <w:spacing w:val="0"/>
                <w:w w:val="100"/>
                <w:position w:val="0"/>
                <w:sz w:val="18"/>
                <w:szCs w:val="18"/>
              </w:rPr>
              <w:t>FNOF Easynet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个月内，本企业不转让或者委托他人管理本企业持有的公司首次公开 发行股票前已发行的股份，也不由公司回购该部分股份，并依法办理所持股份的锁定手续。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 在股份限制流通、自愿锁定期内违反相关承诺减持公司股份的，则由此所得收益归发行人所有，且 承担相应的法律责任，并在发行人的股东大会及中国证监会指定报刊上公开说明未履行的具体原因， 向发行人的股东和社会公众投资者道歉。如造成投资者损失的，依法赔偿投资者损失。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 Bravo</w:t>
            </w:r>
            <w:r>
              <w:rPr>
                <w:color w:val="000000"/>
                <w:spacing w:val="0"/>
                <w:w w:val="100"/>
                <w:position w:val="0"/>
                <w:sz w:val="17"/>
                <w:szCs w:val="17"/>
              </w:rPr>
              <w:t>、</w:t>
            </w:r>
            <w:r>
              <w:rPr>
                <w:color w:val="000000"/>
                <w:spacing w:val="0"/>
                <w:w w:val="100"/>
                <w:position w:val="0"/>
                <w:sz w:val="17"/>
                <w:szCs w:val="17"/>
              </w:rPr>
              <w:t>舟山 长通、</w:t>
            </w:r>
            <w:r>
              <w:rPr>
                <w:rFonts w:ascii="Times New Roman" w:eastAsia="Times New Roman" w:hAnsi="Times New Roman" w:cs="Times New Roman"/>
                <w:color w:val="000000"/>
                <w:spacing w:val="0"/>
                <w:w w:val="100"/>
                <w:position w:val="0"/>
                <w:sz w:val="18"/>
                <w:szCs w:val="18"/>
              </w:rPr>
              <w:t>FNOF Easynet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持股意向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及减持意</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、本企业拟长期持有公司股票。如果在锁定期满后，本企业拟减持股票的，将认真遵守《上市公 司股东、董监高减持股份的若干规定》《深圳证券交易所上市公司股东及董事、监事、高级管理人员 减持股份实施细则》等中国证券监督管理委员会（以下简称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）、深交所的相关规定以及 本企业已作出的相关承诺，审慎制定股票减持计划。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、本企业在所持公司首次公开发行股票前已 发行股份的锁定期满后两年内减持该等股票的，应符合相关法律、法规的规定，减持价格将不低于 公司首次公开发行价格（自公司股票上市至其减持期间，公司如有派息、送股、资本公积金转增股 本、增发新股或配股等除权、除息事项，减持价格下限和股份数将相应进行调整）。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、本企业减持 公司股份的方式应符合相关法律、法规、规章的规定，包括但不限于交易所集中竞价交易方式、大 宗交易方式、协议转让方式等。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、本企业所持股票在锁定期满后实施减持时，将提前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 予以公告，且计划通过证券交易所集中竞价交易减持股份的，将在首次卖出的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个交易日前向证券 交易所报告并预先披露减持计划，由证券交易所予以备案，本企业将配合公司根据相关法律、规范 性文件的规定及公司规章制度及时、充分履行股份减持的信息披露义务。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、本企业所持股票在锁 定期满后实施减持时，如中国证监会、深交所对股票减持存在新增规则和要求的，本企业将同时遵 守该等规则和要求。</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、如未履行上述承诺，本企业应将违反承诺出售股票所取得的收益归公司所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42"/>
        <w:gridCol w:w="1416"/>
        <w:gridCol w:w="854"/>
        <w:gridCol w:w="7795"/>
        <w:gridCol w:w="850"/>
        <w:gridCol w:w="850"/>
        <w:gridCol w:w="1003"/>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春华秋实、青岛民 和、红土长城、达 晨创投、易方达合 臻、渤海华盖、华 晟领势、软石六 号、天时仁合、金 浦信诚、寅虎四 方、华盖创富、赣 州旭荣、安旻通 煜、安鑫二号、寅 虎伍号、臻泰大 靖、</w:t>
            </w:r>
            <w:r>
              <w:rPr>
                <w:rFonts w:ascii="Times New Roman" w:eastAsia="Times New Roman" w:hAnsi="Times New Roman" w:cs="Times New Roman"/>
                <w:color w:val="000000"/>
                <w:spacing w:val="0"/>
                <w:w w:val="100"/>
                <w:position w:val="0"/>
                <w:sz w:val="18"/>
                <w:szCs w:val="18"/>
              </w:rPr>
              <w:t>Foreign Partners</w:t>
            </w:r>
            <w:r>
              <w:rPr>
                <w:color w:val="000000"/>
                <w:spacing w:val="0"/>
                <w:w w:val="100"/>
                <w:position w:val="0"/>
              </w:rPr>
              <w:t>、</w:t>
            </w:r>
            <w:r>
              <w:rPr>
                <w:color w:val="000000"/>
                <w:spacing w:val="0"/>
                <w:w w:val="100"/>
                <w:position w:val="0"/>
              </w:rPr>
              <w:t>领富中 国、</w:t>
            </w:r>
            <w:r>
              <w:rPr>
                <w:rFonts w:ascii="Times New Roman" w:eastAsia="Times New Roman" w:hAnsi="Times New Roman" w:cs="Times New Roman"/>
                <w:color w:val="000000"/>
                <w:spacing w:val="0"/>
                <w:w w:val="100"/>
                <w:position w:val="0"/>
                <w:sz w:val="18"/>
                <w:szCs w:val="18"/>
              </w:rPr>
              <w:t>Venturous</w:t>
            </w:r>
            <w:r>
              <w:rPr>
                <w:color w:val="000000"/>
                <w:spacing w:val="0"/>
                <w:w w:val="100"/>
                <w:position w:val="0"/>
              </w:rPr>
              <w:t>、班 诺香港、晋汇国 际、深创投、腾云 投资、红土创投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个月内，本企业不转让或者委托他人管理本企业持有的公司首次公开 发行股票前已发行的股份，也不由公司回购该部分股份，并依法办理所持股份的锁定手续。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 在股份限制流通、自愿锁定期内违反相关承诺减持公司股份的，则由此所得收益归发行人所有，且 承担相应的法律责任，并在发行人的股东大会及中国证监会指定报刊上公开说明未履行的具体原因， 向发行人的股东和社会公众投资者道歉。如造成投资者损失的，依法赔偿投资者损失。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云锋麒泰、福州兴 睿、青岛观岫、天 数通、奇亓乂弈、 光远创富、纳维投 资、紫金文投、高 新毅达、江苏服 投、光远通慧、光 大财务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个月内或自本企业取得公司首次公开发行股票前已发行的股份之日起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个月内（以孰晚者为准），本企业不转让或者委托他人管理本企业持有的公司首次公开发行股票 前已发行的股份，也不由公司回购该部分股份，并依法办理所持股份的锁定手续。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、若在股份限 制流通、自愿锁定期内违反相关承诺减持公司股份的，则由此所得收益归发行人所有，且承担相应 的法律责任，并在发行人的股东大会及中国证监会指定报刊上公开说明未履行的具体原因，向发行 人的股东和社会公众投资者道歉。如造成投资者损失的，依法赔偿投资者损失。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、本企业在本承 诺函出具之前的股份锁定承诺与本承诺函内容不一致的，以本承诺函为准。若本企业所取得股份的 锁定期与证券监管机构的最新监管意见不相符的，本企业将根据相关证券监管机构的监管意见进行 相应调整。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稳定公司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股价的承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、本公司将严格遵守执行公司股东大会审议通过的公司上市后三年内稳定股价预案的相关议案，包 括按照该预案的规定履行稳定公司股价的义务，并接受未能履行稳定股价义务时的约束措施。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42"/>
        <w:gridCol w:w="1416"/>
        <w:gridCol w:w="854"/>
        <w:gridCol w:w="7795"/>
        <w:gridCol w:w="850"/>
        <w:gridCol w:w="850"/>
        <w:gridCol w:w="1003"/>
      </w:tblGrid>
      <w:tr>
        <w:trPr>
          <w:trHeight w:val="70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公司将要求新聘任的董事、高级管理人员履行公司上市后三年内稳定股价预案规定的公司上市时董 事、高级管理人员已作出的相应承诺。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稳定公司</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股价的承</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、本人将严格遵守执行公司股东大会审议通过的公司上市后三年内稳定股价预案的相关议案，包括 按照该预案的规定履行稳定公司股价的义务，并接受未能履行稳定股价义务时的约束措施。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人将根据公司上市后三年内稳定股价预案的相关规定，在符合公司回购股票的条件下，在股东大会 上对相关回购方案投赞成票。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刘天文、车俊河、 张成、黄颖、刘诚、 赵勇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稳定公司</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股价的承</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、本人将严格遵守执行公司股东大会审议通过的公司上市后三年内稳定股价预案的相关议案，包括 按照该预案的规定履行稳定公司股价的义务，并接受未能履行稳定股价义务时的约束措施。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人将根据公司上市后三年内稳定股价预案的相关规定，在符合公司回购股票的条件下，在董事会上 对相关回购方案投赞成票。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杜淼、王悦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稳定公司</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股价的承</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本人将严格遵守执行公司股东大会审议通过的公司上市后三年内稳定股价预案的相关议案，包括按 照该预案的规定履行稳定公司股价的义务，并接受未能履行稳定股价义务时的约束措施。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对欺诈发 行上市的 股份购回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、保证本公司本次公开发行股票并在创业板上市不存在任何欺诈发行的情形。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、如本公司不符合 发行上市条件，以欺骗手段骗取发行注册并已经发行上市的，本公司将在中国证监会等有权部门确 认后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个工作日内启动股份购回程序，购回本公司本次公开发行的全部新股。如因本公司违反上述 承诺给发行人及股东造成利益损害的，本公司将在发行人股东大会及中国证券监督管理委员会指定 报刊上公开向发行人股东和社会公众投资者道歉，并将承担由此造成的全额赔偿责任。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对欺诈发 行上市的 股份购回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、本人保证发行人本次公开发行股票并在创业板上市不存在任何欺诈发行的情形。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、如发行人不 符合发行上市条件，以欺骗手段骗取发行注册并已经发行上市的，本人将在中国证监会等有权部门 确认后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个工作日内启动股份购回程序，购回发行人本次公开发行的全部新股。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软石智动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对欺诈发 行上市的 股份购回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、本企业保证发行人本次公开发行股票并在创业板上市不存在任何欺诈发行的情形。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、如发行人 不符合发行上市条件，以欺骗手段骗取发行注册并已经发行上市的，本企业在中国证监会等有权部 门确认后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个工作日内启动股份购回程序，购回发行人本次公开发行的全部新股。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填补被摊</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薄即期回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、强化公司管理，提高营运效率与效果。为降低本次公开发行摊薄即期回报的影响，公司将重点强 化内部控制制度的建设并使之有效执行，确保生产经营的合法合规性、运营的效率。在全面加强内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42"/>
        <w:gridCol w:w="1416"/>
        <w:gridCol w:w="854"/>
        <w:gridCol w:w="7795"/>
        <w:gridCol w:w="850"/>
        <w:gridCol w:w="850"/>
        <w:gridCol w:w="1003"/>
      </w:tblGrid>
      <w:tr>
        <w:trPr>
          <w:trHeight w:val="788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20" w:line="240" w:lineRule="auto"/>
              <w:ind w:left="0" w:right="0" w:firstLine="0"/>
              <w:jc w:val="both"/>
            </w:pPr>
            <w:r>
              <w:rPr>
                <w:color w:val="000000"/>
                <w:spacing w:val="0"/>
                <w:w w:val="100"/>
                <w:position w:val="0"/>
              </w:rPr>
              <w:t>报的措施</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部控制制度建设的过程中，公司将重点完善和提升原材料采购决策与控制、销售队伍建设及销售渠 道拓展和成本管理、关联交易决策控制及资金管理等管理流程，提升公司的管理水平，提高营运效 率与效果。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、积极实施募投项目，提升公司盈利水平和综合竞争力。本次募集资金投资项目紧密围 绕公司现有主营业务，符合公司未来发展战略，有利于提高公司的持续盈利能力及市场竞争力。公 司董事会对募集资金投资项目进行了充分的论证，在募集资金到位后，公司将积极推动募投项目的 实施，积极拓展市场，进一步提高收入水平和盈利能力。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、加强募集资金管理，保障募集资金的使 用规范及使用效益。公司已按照《公司法》、《证券法》、《深圳证券交易所创业板股票上市规则》等 法律、法规、规范性文件及《公司章程》的规定制定《募集资金管理办法》，对募集资金的专户存储、 使用、投向变更、管理和监督进行了明确的规定。为保障公司规范、有效的使用募集资金，本次募 集资金到账后，公司董事会将持续监督公司对募集资金进行专项存储、保障募集资金按照规定用于 指定的投资项目、配合监管银行和保荐机构对募集资金使用的检查和监督，以保证募集资金合理规 范使用，合理防范募集资金使用风险。本次募集资金到位前，公司将积极调配资源，开展募集资金 投资项目前期准备工作，进行项目相关人才、技术的储备，保证募集资金投资项目的顺利进行。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进一步完善利润分配制度，强化投资者回报机制。公司已根据《公司法》、《证券法》、《关于进一步 落实上市公司现金分红有关事项的通知》及《上市公司监管指引第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上市公司现金分红》等相关 规定，并结合公司的实际情况，制订了公司上市后适用的《公司章程（草案）》，对利润分配政策作 出制度性安排。同时，公司制定了上市后三年股东分红回报规划，明确公司利润分配尤其是现金分 红的具体条件、比例、分配形式和股票股利分配条件等，完善了公司利润分配的决策机制和利润分 配政策的调整原则。本次发行后，公司将严格遵守利润分配政策，充分维护公司股东依法享有的资 产收益等权利，提高公司的未来回报能力，尊重并维护股东利益。制定上述填补被摊薄即期回报具 体措施不等于对公司未来利润作出保证，但为保障本公司、全体股东及社会公众投资者的合法利益， 本公司承诺将积极推进填补被摊薄即期回报的措施。若未履行前述承诺，本公司将及时公告未履行 的事实及理由，除因不可抗力或其他非归属于本公司的原因外，将向本公司股东和社会公众投资者 道歉，同时向投资者提出补充承诺或替代承诺，以尽可能保护投资者的利益，并在本公司股东大会 审议通过后实施补充承诺或替代承诺。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填补被摊 薄即期回 报的措施 及承诺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本人承诺不越权干预公司经营管理活动，不侵占公司利益。作为填补回报措施相关责任主体之一， 若本人违反上述承诺或拒不履行承诺给发行人或者股东造成损失的，愿意依法承担对发行人或者股 东的补偿责任。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42"/>
        <w:gridCol w:w="1416"/>
        <w:gridCol w:w="854"/>
        <w:gridCol w:w="7795"/>
        <w:gridCol w:w="850"/>
        <w:gridCol w:w="850"/>
        <w:gridCol w:w="1003"/>
      </w:tblGrid>
      <w:tr>
        <w:trPr>
          <w:trHeight w:val="19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刘天文、车俊河、 张成、黄颖、刘诚、 赵勇、李宏、张旭 明、简建辉、杜淼、 王悦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填补被摊 薄即期回 报的措施 及承诺</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17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本人承诺不无偿或以不公平条件向其他单位或者个人输送利益，也不采用其他方式损害公司利益；</w:t>
            </w:r>
          </w:p>
          <w:p>
            <w:pPr>
              <w:pStyle w:val="Style24"/>
              <w:keepNext w:val="0"/>
              <w:keepLines w:val="0"/>
              <w:widowControl w:val="0"/>
              <w:shd w:val="clear" w:color="auto" w:fill="auto"/>
              <w:tabs>
                <w:tab w:pos="278"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本人承诺对本人的职务消费行为进行约束；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、本人承诺不动用公司资产从事与本人履行职责无 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、本人承诺由董事会或薪酬与考核委员会制定的薪酬制度与公司填补回报措 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、若公司后续推出公司股权激励计划，本人承诺拟公布的公司股权激励的行 权条件与公司填补回报措施的执行情况相挂钩；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、本人承诺切实履行本承诺，愿意承担因违背上述 承诺而产生的法律责任。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利润分配</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政策的承</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根据《公司法》《证券法》《中国证监会关于进一步推进新股发行体制改革的意见》《上市公司监管指 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上市公司现金分红》等相关法律法规的规定，本公司已制定适用于本公司实际情形的上 市后利润分配政策，并在上市后适用的《公司章程（草案）》及《软通动力信息技术（集团）股份有 限公司未来三年股东分红回报规划》中予以体现。公司上市后将严格遵守并执行《软通动力信息技 术（集团）股份有限公司未来三年股东分红回报规划》和《公司章程（草案）》中关于利润分配政策 的相关规定。否则，公司将在股东大会及中国证监会指定报刊上公开说明未履行利润分配政策的具 体原因并向公司股东和社会公众投资者道歉；如果未履行相关承诺事项，致使投资者在证券交易中 遭受损失的，本公司将依法赔偿。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招股书中 不存在虚 假记载、</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误导性陈 述或者重 大遗漏的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、本公司的招股说明书不存在虚假记载、误导性陈述或者重大遗漏，并对其真实性、准确性、完整 性、及时性承担个别和连带的法律责任。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、若本公司招股说明书存在虚假记载、误导性陈述或者重 大遗漏，对判断公司是否符合法律规定的发行条件构成重大、实质影响的，本公司将在该等违法事 实被证券监管部门作出认定或处罚决定后，依法回购首次公开发行的全部新股，回购价格为首次公 开发行价格加上同期银行存款利息（若发行人股票有派息、送股、资本公积金转增股本等除权、除 息事项的，回购的股份包括公司首次公开发行的全部新股及其派生股份，发行价格将相应进行除权、 除息调整），并根据相关法律、法规规定的程序实施。在实施上述股份回购时，如法律法规、公司章 程等另有规定的从其规定。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、若本公司招股说明书存在虚假记载、误导性陈述或者重大遗漏，致使 投资者在证券交易中遭受损失的，公司将在证券监管部门依法对上述事实作出认定或处罚决定后依 法赔偿投资者损失。该等损失的赔偿金额以投资者实际发生的直接损失为限，具体的赔偿标准、赔 偿主体范围、赔偿金额等细节内容待上述情形实际发生时，依最终确定的赔偿方案确定。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招股书中</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不存在虚</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假记载、</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误导性陈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、发行人的招股说明书不存在虚假记载、误导性陈述或者重大遗漏，本人对其真实性、准确性、 完整性、及时性承担个别和连带的法律责任。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、如发行人招股说明书有虚假记载、误导性陈述或 者重大遗漏，对判断发行人是否符合法律规定的发行条件构成重大、实质影响的，本人将督促发行 人依法回购首次公开发行的全部新股，并依法购回已转让的原限售股份（如有），回购价格为首次公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42"/>
        <w:gridCol w:w="1416"/>
        <w:gridCol w:w="854"/>
        <w:gridCol w:w="7795"/>
        <w:gridCol w:w="850"/>
        <w:gridCol w:w="850"/>
        <w:gridCol w:w="1003"/>
      </w:tblGrid>
      <w:tr>
        <w:trPr>
          <w:trHeight w:val="22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20" w:line="240" w:lineRule="auto"/>
              <w:ind w:left="0" w:right="0" w:firstLine="0"/>
              <w:jc w:val="both"/>
            </w:pPr>
            <w:r>
              <w:rPr>
                <w:color w:val="000000"/>
                <w:spacing w:val="0"/>
                <w:w w:val="100"/>
                <w:position w:val="0"/>
              </w:rPr>
              <w:t>述或者重</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大遗漏的</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开发行价格加上同期银行存款利息（若发行人股票有派息、送股、资本公积金转增股本等除权、除 息事项的，回购的股份包括公司首次公开发行的全部新股及其派生股份，发行价格将相应进行除权、 除息调整），并根据相关法律、法规规定的程序实施。在实施上述股份回购时，如法律法规、公司章 程等另有规定的从其规定。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、若发行人的招股说明书存在虚假记载、误导性陈述或者重大遗漏， 致使投资者在证券交易中遭受损失的，本人将在证券监管部门依法对上述事实作出认定或处罚决定 后依法赔偿投资者损失。该等损失的赔偿金额以投资者实际发生的直接损失为限，具体的赔偿标准、 赔偿主体范围、赔偿金额等细节内容待上述情形实际发生时，依最终确定的赔偿方案确定。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刘天文、车俊河、 张成、黄颖、刘诚、 赵勇、李宏、张旭 明、简建辉、唐琳、 张鹭茜、陈泊汀、 杜淼、王悦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招股书中 不存在虚 假记载、</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误导性陈 述或者重 大遗漏的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、发行人的招股说明书不存在虚假记载、误导性陈述或者重大遗漏，本人对其真实性、准确性、 完整性、及时性承担个别和连带的法律责任。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、若发行人的招股说明书存在虚假记载、误导性陈 述或者重大遗漏，致使投资者在证券交易中遭受损失的，本人将在证券监管部门依法对上述事实作 出认定或处罚决定后依法赔偿投资者损失。该等损失的赔偿金额以投资者实际发生的直接损失为限， 具体的赔偿标准、赔偿主体范围、赔偿金额等细节内容待上述情形实际发生时，依最终确定的赔偿 方案确定。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、上述承诺不会因为本人职务的变更或离职等原因而改变或无效。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未能履行</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承诺时的</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约束措施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、本公司保证将严格履行本公司首次公开发行股票并上市招股说明书披露的承诺事项，并承诺严格 遵守下列约束措施：（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）如果本公司未履行招股说明书中披露的相关承诺事项，本公司将在股东大 会及中国证监会指定报刊上公开说明未履行承诺的具体原因以及未履行承诺时的补救及改正情况并 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）如果因本公司未履行相关承诺事项，致使投资者在证券交易中 遭受损失的，本公司将依法向投资者赔偿相关损失；（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）本公司将对出现该等未履行承诺行为负有 个人责任的董事、监事、高级管理人员采取调减或停发薪酬或津贴等措施（如该等人员在本公司领 薪）。</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、如因相关法律法规、政策变化、自然灾害及其他不可抗力等本公司无法控制的客观原因导 致本公司承诺未能履行、确已无法履行或无法按期履行的，本公司将采取以下措施：（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）及时、充 分披露本公司承诺未能履行、无法履行或无法按期履行的具体原因；（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）向本公司的投资者提出补 充承诺或替代承诺（相关承诺需按法律、法规、公司章程的规定履行相关审批程序），以尽可能保护 投资者的权益。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未能履行</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承诺时的</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约束措施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、本人保证将严格履行公司本次发行并上市招股说明书披露的承诺事项，并承诺严格遵守下列约束 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）如果本人未履行招股说明书中披露的相关承诺事项，本人将在股东大会及中国证监会指 定报刊上公开说明未履行承诺的具体原因以及未履行承诺时的补救及改正情况并向股东和社会公众 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）如果因本人未履行相关承诺事项，致使投资者在证券交易中遭受损失的，本人将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42"/>
        <w:gridCol w:w="1416"/>
        <w:gridCol w:w="854"/>
        <w:gridCol w:w="7795"/>
        <w:gridCol w:w="850"/>
        <w:gridCol w:w="850"/>
        <w:gridCol w:w="1003"/>
      </w:tblGrid>
      <w:tr>
        <w:trPr>
          <w:trHeight w:val="25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依法向投资者赔偿相关损失。如果本人未承担前述赔偿责任，发行人有权扣减本人所获分配的现金 分红用于承担前述赔偿责任。同时，在本人未承担前述赔偿责任期间，不得转让本人直接或间接持 有的发行人股份；（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）在本人作为发行人实际控制人期间，发行人若未履行招股说明书披露的承诺 事项，给投资者造成损失的，本人承诺依法承担赔偿责任。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、如因相关法律法规、政策变化、自然 灾害及其他不可抗力等本人无法控制的客观原因导致本人承诺未能履行、确已无法履行或无法按期 履行的，本人将采取以下措施：（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）及时、充分披露本人承诺未能履行、无法履行或无法按期履行 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）向公司的投资者提出补充承诺或替代承诺（相关承诺需按法律、法规、公司章程 的规定履行相关审批程序），以尽可能保护投资者的权益。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刘天文、</w:t>
            </w:r>
            <w:r>
              <w:rPr>
                <w:rFonts w:ascii="Times New Roman" w:eastAsia="Times New Roman" w:hAnsi="Times New Roman" w:cs="Times New Roman"/>
                <w:color w:val="000000"/>
                <w:spacing w:val="0"/>
                <w:w w:val="100"/>
                <w:position w:val="0"/>
                <w:sz w:val="18"/>
                <w:szCs w:val="18"/>
              </w:rPr>
              <w:t>CEL</w:t>
            </w:r>
          </w:p>
          <w:p>
            <w:pPr>
              <w:pStyle w:val="Style2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Bravo</w:t>
            </w:r>
            <w:r>
              <w:rPr>
                <w:color w:val="000000"/>
                <w:spacing w:val="0"/>
                <w:w w:val="100"/>
                <w:position w:val="0"/>
                <w:sz w:val="17"/>
                <w:szCs w:val="17"/>
              </w:rPr>
              <w:t>、</w:t>
            </w:r>
            <w:r>
              <w:rPr>
                <w:color w:val="000000"/>
                <w:spacing w:val="0"/>
                <w:w w:val="100"/>
                <w:position w:val="0"/>
                <w:sz w:val="17"/>
                <w:szCs w:val="17"/>
              </w:rPr>
              <w:t>舟山长通、 软石智动、</w:t>
            </w:r>
            <w:r>
              <w:rPr>
                <w:rFonts w:ascii="Times New Roman" w:eastAsia="Times New Roman" w:hAnsi="Times New Roman" w:cs="Times New Roman"/>
                <w:color w:val="000000"/>
                <w:spacing w:val="0"/>
                <w:w w:val="100"/>
                <w:position w:val="0"/>
                <w:sz w:val="18"/>
                <w:szCs w:val="18"/>
              </w:rPr>
              <w:t>FNOF Easynet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未能履行</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承诺时的</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约束措施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本企业保证将严格履行公司本次发行并上市招股说明书披露的承诺事项，并承诺严格遵守 下列约束措施：（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）如果本人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本企业未履行招股说明书中披露的相关承诺事项，本人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本企业将在 股东大会及中国证监会指定报刊上公开说明未履行承诺的具体原因以及未履行承诺时的补救及改正 情况并向股东和社会公众投资者道歉；（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）如果因本人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本企业未履行相关承诺事项，致使投资者在 证券交易中遭受损失的，本人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本企业将依法向投资者赔偿相关损失。如果本人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本企业未承担前述 赔偿责任，发行人有权扣减本人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本企业所获分配的现金分红用于承担前述赔偿责任。同时，在本人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本企业未承担前述赔偿责任期间，不得转让本人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本企业直接或间接持有的发行人股份。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、如因相 关法律法规、政策变化、自然灾害及其他不可抗力等本人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本企业无法控制的客观原因导致本人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 企业承诺未能履行、确已无法履行或无法按期履行的，本人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本企业将采取以下措施：（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）及时、充 分披露本人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本企业承诺未能履行、无法履行或无法按期履行的具体原因；（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）向公司的投资者提出 补充承诺或替代承诺（相关承诺需按法律、法规、公司章程的规定履行相关审批程序），以尽可能保 护投资者的权益。</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刘天文、车俊河、 张成、黄颖、刘诚、 赵勇、李宏、张旭 明、简建辉、唐琳、 张鹭茜、陈泊汀、 杜淼、王悦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未能履行</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承诺时的</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约束措施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、本人保证将严格履行公司本次发行并上市招股说明书披露的承诺事项，并承诺严格遵守下列约束 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）如果本人未履行招股说明书中披露的相关承诺事项，本人将在股东大会及中国证监会指 定报刊上公开说明未履行承诺的具体原因以及未履行承诺时的补救及改正情况并向股东和社会公众 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）如果因本人未履行相关承诺事项，致使投资者在证券交易中遭受损失的，本人将 依法向投资者赔偿相关损失。如果本人未承担前述赔偿责任，自相关投资者遭受损失至本人履行赔 偿责任期间，发行人有权停止发放本人自发行人领取的工资薪酬。同时，在本人未承担前述赔偿责 任期间，不得转让本人直接或间接持有的发行人股份（如有）。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、如因相关法律法规、政策变化、 自然灾害及其他不可抗力等本人无法控制的客观原因导致本人承诺未能履行、确已无法履行或无法 按期履行的，本人将采取以下措施：（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）及时、充分披露本人承诺未能履行、无法履行或无法按期 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）向公司的投资者提出补充承诺或替代承诺（相关承诺需按法律、法规、公司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42"/>
        <w:gridCol w:w="1416"/>
        <w:gridCol w:w="854"/>
        <w:gridCol w:w="7795"/>
        <w:gridCol w:w="850"/>
        <w:gridCol w:w="850"/>
        <w:gridCol w:w="1003"/>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章程的规定履行相关审批程序），以尽可能保护投资者的权益。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关于股东 情况的承 诺函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、截至本承诺函签署之日，发行人的直接或间接股东不存在属于法律法规规定禁止持股的主体的情 形，持有的发行人股份不存在委托持股或信托持股的情形，亦不存在任何潜在争议或纠纷。各股东 作为持股主体符合中国法律法规的规定。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、截至本承诺函签署之日，本次发行的中介机构或其负责 人、高级管理人员、经办人员未直接或间接持有发行人股份。各股东与本次发行中介机构及其负责 人、高级管理人员、经办人员不存在亲属关系、关联关系、委托持股、信托持股或其他利益安排。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截至本承诺函签署之日，发行人的股东不存在以发行人股权进行不当利益输送的情形。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规范关联</w:t>
            </w:r>
          </w:p>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、本人将尽可能地避免和减少本人和本人控制的其他企业、组织或机构（以下简称本人控制的其他 企业）与发行人之间的关联交易。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、对于无法避免或者因合理原因而发生的关联交易，本人和本人 控制的其他企业将根据有关法律、法规和规范性文件以及公司章程的规定，遵循平等、自愿、等价 和有偿的一般商业原则，履行法定程序与公司签订关联交易协议，并确保关联交易的价格公允，原 则上不偏离市场独立第三方的价格或收费的标准，以维护公司及其股东（特别是中小股东）的利益。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、本人保证不利用在公司中的地位和影响，通过关联交易损害公司及其股东（特别是中小股东）的 合法权益。本人和本人控制的其他企业保证不利用本人在公司中的地位和影响，违规占用或转移公 司资金、资产及其他资源，或违规要求公司提供担保。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、如以上承诺事项被证明不真实或未被遵守， 本人将依法承担相应的法律责任。</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、本承诺自签字之日起生效并不可撤销，并在公司存续且本人依 照中国证监会或证券交易所相关规定被认定为公司的关联方期间有效。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避免同业</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竞争的承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、截至本承诺函签署之日，本人（含本人控制的其他企业、组织或机构）没有直接或者间接地从事 任何与发行人（包括其子公司，如有）主营业务或者主要产品相同或者相似的业务，或者构成竞争 关系的业务活动，不存在同业竞争或潜在同业竞争的情形。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、自本承诺函签署之日起，在本人直接 或间接持有发行人的股份（权益）期间，本人（含本人控制的其他企业、组织或机构）不会直接或 者间接地以任何方式（包括但不限于自营、合资或者联营）参与任何与发行人（包括其子公司，如 有）主营业务或者主要产品相同或者相似的、存在直接或者间接竞争关系的任何业务活动。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 承诺函签署之日起，若发行人将来开拓新的业务领域，而导致本人（含本人控制的其他企业、组织 或机构）所从事的业务与发行人构成竞争，本人将终止从事该业务，或由发行人在同等条件下优先 收购该业务所涉资产或股权，或遵循公平、公正的原则将该业务所涉资产或股权转让给无关联关系 的第三方。</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、本人承诺作为发行人控股股东期间不直接或间接投资于业务与发行人相同、类似或 在任何方面构成竞争的公司、企业或其他机构、组织。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、自本承诺函签署之日起，本人承诺将约束 本人控制的其他企业、组织或机构按照本承诺函进行或者不进行特定行为。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、本人承诺如果违反本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142"/>
        <w:gridCol w:w="1416"/>
        <w:gridCol w:w="854"/>
        <w:gridCol w:w="7795"/>
        <w:gridCol w:w="850"/>
        <w:gridCol w:w="850"/>
        <w:gridCol w:w="1003"/>
      </w:tblGrid>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承诺，本人愿意向发行人承担法律责任并对造成的损失进行全额赔偿。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 详细说明未完成履行的具体原 因及下一步的工作计划</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098" w:right="1494" w:bottom="1207" w:left="1426" w:header="0" w:footer="3" w:gutter="0"/>
          <w:cols w:space="720"/>
          <w:noEndnote/>
          <w:rtlGutter w:val="0"/>
          <w:docGrid w:linePitch="360"/>
        </w:sectPr>
      </w:pPr>
    </w:p>
    <w:p>
      <w:pPr>
        <w:pStyle w:val="Style33"/>
        <w:keepNext/>
        <w:keepLines/>
        <w:widowControl w:val="0"/>
        <w:shd w:val="clear" w:color="auto" w:fill="auto"/>
        <w:bidi w:val="0"/>
        <w:spacing w:before="220" w:after="360" w:line="322" w:lineRule="exact"/>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2</w:t>
      </w:r>
      <w:bookmarkEnd w:id="526"/>
      <w:r>
        <w:rPr>
          <w:color w:val="000000"/>
          <w:spacing w:val="0"/>
          <w:w w:val="100"/>
          <w:position w:val="0"/>
        </w:rPr>
        <w:t>、公司资产或项目存在盈利预测，且报告期仍处在盈利预测期间，公司就资产或项目达到原盈利预测及 其原因做出说明</w:t>
      </w:r>
      <w:bookmarkEnd w:id="524"/>
      <w:bookmarkEnd w:id="525"/>
      <w:bookmarkEnd w:id="527"/>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sz w:val="24"/>
          <w:szCs w:val="24"/>
        </w:rPr>
        <w:t>二</w:t>
      </w:r>
      <w:bookmarkEnd w:id="530"/>
      <w:r>
        <w:rPr>
          <w:color w:val="000000"/>
          <w:spacing w:val="0"/>
          <w:w w:val="100"/>
          <w:position w:val="0"/>
          <w:sz w:val="24"/>
          <w:szCs w:val="24"/>
        </w:rPr>
        <w:t>、</w:t>
        <w:tab/>
        <w:t>控股股东及其他关联方对上市公司的非经营性占用资金情况</w:t>
      </w:r>
      <w:bookmarkEnd w:id="528"/>
      <w:bookmarkEnd w:id="529"/>
      <w:bookmarkEnd w:id="53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三</w:t>
      </w:r>
      <w:bookmarkEnd w:id="534"/>
      <w:r>
        <w:rPr>
          <w:color w:val="000000"/>
          <w:spacing w:val="0"/>
          <w:w w:val="100"/>
          <w:position w:val="0"/>
          <w:sz w:val="24"/>
          <w:szCs w:val="24"/>
        </w:rPr>
        <w:t>、</w:t>
        <w:tab/>
        <w:t>违规对外担保情况</w:t>
      </w:r>
      <w:bookmarkEnd w:id="532"/>
      <w:bookmarkEnd w:id="533"/>
      <w:bookmarkEnd w:id="53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四</w:t>
      </w:r>
      <w:bookmarkEnd w:id="538"/>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36"/>
      <w:bookmarkEnd w:id="537"/>
      <w:bookmarkEnd w:id="539"/>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五</w:t>
      </w:r>
      <w:bookmarkEnd w:id="54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40"/>
      <w:bookmarkEnd w:id="541"/>
      <w:bookmarkEnd w:id="543"/>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六</w:t>
      </w:r>
      <w:bookmarkEnd w:id="546"/>
      <w:r>
        <w:rPr>
          <w:color w:val="000000"/>
          <w:spacing w:val="0"/>
          <w:w w:val="100"/>
          <w:position w:val="0"/>
          <w:sz w:val="24"/>
          <w:szCs w:val="24"/>
        </w:rPr>
        <w:t>、</w:t>
        <w:tab/>
        <w:t>董事会关于报告期会计政策、会计估计变更或重大会计差错更正的说明</w:t>
      </w:r>
      <w:bookmarkEnd w:id="544"/>
      <w:bookmarkEnd w:id="545"/>
      <w:bookmarkEnd w:id="547"/>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七</w:t>
      </w:r>
      <w:bookmarkEnd w:id="550"/>
      <w:r>
        <w:rPr>
          <w:color w:val="000000"/>
          <w:spacing w:val="0"/>
          <w:w w:val="100"/>
          <w:position w:val="0"/>
          <w:sz w:val="24"/>
          <w:szCs w:val="24"/>
        </w:rPr>
        <w:t>、</w:t>
        <w:tab/>
        <w:t>与上年度财务报告相比，合并报表范围发生变化的情况说明</w:t>
      </w:r>
      <w:bookmarkEnd w:id="548"/>
      <w:bookmarkEnd w:id="549"/>
      <w:bookmarkEnd w:id="55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与上年度相比，本公司本年度合并范围增加</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八</w:t>
      </w:r>
      <w:bookmarkEnd w:id="554"/>
      <w:r>
        <w:rPr>
          <w:color w:val="000000"/>
          <w:spacing w:val="0"/>
          <w:w w:val="100"/>
          <w:position w:val="0"/>
          <w:sz w:val="24"/>
          <w:szCs w:val="24"/>
        </w:rPr>
        <w:t>、</w:t>
        <w:tab/>
        <w:t>聘任、解聘会计师事务所情况</w:t>
      </w:r>
      <w:bookmarkEnd w:id="552"/>
      <w:bookmarkEnd w:id="553"/>
      <w:bookmarkEnd w:id="55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中汇会计师事务所（特殊普通合伙）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胡健、高丹丹</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widowControl w:val="0"/>
        <w:spacing w:after="13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九</w:t>
      </w:r>
      <w:bookmarkEnd w:id="558"/>
      <w:r>
        <w:rPr>
          <w:color w:val="000000"/>
          <w:spacing w:val="0"/>
          <w:w w:val="100"/>
          <w:position w:val="0"/>
          <w:sz w:val="24"/>
          <w:szCs w:val="24"/>
        </w:rPr>
        <w:t>、年度报告披露后面临退市情况</w:t>
      </w:r>
      <w:bookmarkEnd w:id="556"/>
      <w:bookmarkEnd w:id="557"/>
      <w:bookmarkEnd w:id="559"/>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60" w:name="bookmark560"/>
      <w:bookmarkStart w:id="561" w:name="bookmark561"/>
      <w:bookmarkStart w:id="562" w:name="bookmark562"/>
      <w:r>
        <w:rPr>
          <w:color w:val="000000"/>
          <w:spacing w:val="0"/>
          <w:w w:val="100"/>
          <w:position w:val="0"/>
          <w:sz w:val="24"/>
          <w:szCs w:val="24"/>
        </w:rPr>
        <w:t>十、破产重整相关事项</w:t>
      </w:r>
      <w:bookmarkEnd w:id="560"/>
      <w:bookmarkEnd w:id="561"/>
      <w:bookmarkEnd w:id="562"/>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left"/>
      </w:pPr>
      <w:bookmarkStart w:id="563" w:name="bookmark563"/>
      <w:bookmarkStart w:id="564" w:name="bookmark564"/>
      <w:bookmarkStart w:id="565" w:name="bookmark565"/>
      <w:r>
        <w:rPr>
          <w:color w:val="000000"/>
          <w:spacing w:val="0"/>
          <w:w w:val="100"/>
          <w:position w:val="0"/>
          <w:sz w:val="24"/>
          <w:szCs w:val="24"/>
        </w:rPr>
        <w:t>十一、重大诉讼、仲裁事项</w:t>
      </w:r>
      <w:bookmarkEnd w:id="563"/>
      <w:bookmarkEnd w:id="564"/>
      <w:bookmarkEnd w:id="565"/>
    </w:p>
    <w:p>
      <w:pPr>
        <w:pStyle w:val="Style22"/>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566" w:name="bookmark566"/>
      <w:bookmarkEnd w:id="56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after="360" w:line="240" w:lineRule="auto"/>
        <w:ind w:left="0" w:right="0" w:firstLine="0"/>
        <w:jc w:val="left"/>
      </w:pPr>
      <w:bookmarkStart w:id="567" w:name="bookmark567"/>
      <w:bookmarkStart w:id="568" w:name="bookmark568"/>
      <w:bookmarkStart w:id="569" w:name="bookmark569"/>
      <w:r>
        <w:rPr>
          <w:color w:val="000000"/>
          <w:spacing w:val="0"/>
          <w:w w:val="100"/>
          <w:position w:val="0"/>
          <w:sz w:val="24"/>
          <w:szCs w:val="24"/>
        </w:rPr>
        <w:t>十二、处罚及整改情况</w:t>
      </w:r>
      <w:bookmarkEnd w:id="567"/>
      <w:bookmarkEnd w:id="568"/>
      <w:bookmarkEnd w:id="569"/>
    </w:p>
    <w:p>
      <w:pPr>
        <w:pStyle w:val="Style22"/>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570" w:name="bookmark570"/>
      <w:bookmarkEnd w:id="5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0"/>
        <w:jc w:val="left"/>
      </w:pPr>
      <w:bookmarkStart w:id="571" w:name="bookmark571"/>
      <w:bookmarkStart w:id="572" w:name="bookmark572"/>
      <w:bookmarkStart w:id="573" w:name="bookmark573"/>
      <w:r>
        <w:rPr>
          <w:color w:val="000000"/>
          <w:spacing w:val="0"/>
          <w:w w:val="100"/>
          <w:position w:val="0"/>
          <w:sz w:val="24"/>
          <w:szCs w:val="24"/>
        </w:rPr>
        <w:t>十三、公司及其控股股东、实际控制人的诚信状况</w:t>
      </w:r>
      <w:bookmarkEnd w:id="571"/>
      <w:bookmarkEnd w:id="572"/>
      <w:bookmarkEnd w:id="573"/>
    </w:p>
    <w:p>
      <w:pPr>
        <w:pStyle w:val="Style22"/>
        <w:keepNext w:val="0"/>
        <w:keepLines w:val="0"/>
        <w:widowControl w:val="0"/>
        <w:numPr>
          <w:ilvl w:val="0"/>
          <w:numId w:val="9"/>
        </w:numPr>
        <w:shd w:val="clear" w:color="auto" w:fill="auto"/>
        <w:tabs>
          <w:tab w:pos="282" w:val="left"/>
        </w:tabs>
        <w:bidi w:val="0"/>
        <w:spacing w:before="0" w:after="360" w:line="240" w:lineRule="auto"/>
        <w:ind w:left="0" w:right="0" w:firstLine="0"/>
        <w:jc w:val="both"/>
      </w:pPr>
      <w:bookmarkStart w:id="574" w:name="bookmark574"/>
      <w:bookmarkEnd w:id="57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575" w:name="bookmark575"/>
      <w:bookmarkStart w:id="576" w:name="bookmark576"/>
      <w:bookmarkStart w:id="577" w:name="bookmark577"/>
      <w:r>
        <w:rPr>
          <w:color w:val="000000"/>
          <w:spacing w:val="0"/>
          <w:w w:val="100"/>
          <w:position w:val="0"/>
          <w:sz w:val="24"/>
          <w:szCs w:val="24"/>
        </w:rPr>
        <w:t>十四、重大关联交易</w:t>
      </w:r>
      <w:bookmarkEnd w:id="575"/>
      <w:bookmarkEnd w:id="576"/>
      <w:bookmarkEnd w:id="577"/>
    </w:p>
    <w:p>
      <w:pPr>
        <w:pStyle w:val="Style33"/>
        <w:keepNext/>
        <w:keepLines/>
        <w:widowControl w:val="0"/>
        <w:shd w:val="clear" w:color="auto" w:fill="auto"/>
        <w:bidi w:val="0"/>
        <w:spacing w:before="0" w:after="360" w:line="240" w:lineRule="auto"/>
        <w:ind w:left="0" w:right="0" w:firstLine="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、与日常经营相关的关联交易</w:t>
      </w:r>
      <w:bookmarkEnd w:id="578"/>
      <w:bookmarkEnd w:id="579"/>
      <w:bookmarkEnd w:id="581"/>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占同类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额的比</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过获批</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通力互联</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及其子公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以前年</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度同一</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控制下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采购商 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 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人员外 包服务 及人力 资源服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转账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2866"/>
        <w:gridCol w:w="6720"/>
      </w:tblGrid>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报告期内，公司将与关联法人成交金额超过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万元，且占公司最近一期经审计净资 产绝对值</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以上的日常关联交易定义为重大与日常经营相关的重大关联交易，相关 情况列示如上。上述与日常经营相关的重大关联交易日常关联交易事项已经第一届董 事会第七次会议《关于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年度预计日常关联交易的议案》审议通过，报告期内公 司与日常经营相关的重大关联交易日常关联交易金额与审批金额无重大差异。</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3"/>
        <w:keepNext/>
        <w:keepLines/>
        <w:widowControl w:val="0"/>
        <w:shd w:val="clear" w:color="auto" w:fill="auto"/>
        <w:bidi w:val="0"/>
        <w:spacing w:before="0" w:after="2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、资产或股权收购、出售发生的关联交易</w:t>
      </w:r>
      <w:bookmarkEnd w:id="582"/>
      <w:bookmarkEnd w:id="583"/>
      <w:bookmarkEnd w:id="585"/>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共同对外投资的关联交易</w:t>
      </w:r>
      <w:bookmarkEnd w:id="586"/>
      <w:bookmarkEnd w:id="587"/>
      <w:bookmarkEnd w:id="589"/>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4</w:t>
      </w:r>
      <w:bookmarkEnd w:id="592"/>
      <w:r>
        <w:rPr>
          <w:color w:val="000000"/>
          <w:spacing w:val="0"/>
          <w:w w:val="100"/>
          <w:position w:val="0"/>
        </w:rPr>
        <w:t>、</w:t>
        <w:tab/>
        <w:t>关联债权债务往来</w:t>
      </w:r>
      <w:bookmarkEnd w:id="590"/>
      <w:bookmarkEnd w:id="591"/>
      <w:bookmarkEnd w:id="593"/>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5</w:t>
      </w:r>
      <w:bookmarkEnd w:id="596"/>
      <w:r>
        <w:rPr>
          <w:color w:val="000000"/>
          <w:spacing w:val="0"/>
          <w:w w:val="100"/>
          <w:position w:val="0"/>
        </w:rPr>
        <w:t>、</w:t>
        <w:tab/>
        <w:t>与存在关联关系的财务公司的往来情况</w:t>
      </w:r>
      <w:bookmarkEnd w:id="594"/>
      <w:bookmarkEnd w:id="595"/>
      <w:bookmarkEnd w:id="597"/>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6</w:t>
      </w:r>
      <w:bookmarkEnd w:id="600"/>
      <w:r>
        <w:rPr>
          <w:color w:val="000000"/>
          <w:spacing w:val="0"/>
          <w:w w:val="100"/>
          <w:position w:val="0"/>
        </w:rPr>
        <w:t>、</w:t>
        <w:tab/>
        <w:t>公司控股的财务公司与关联方的往来情况</w:t>
      </w:r>
      <w:bookmarkEnd w:id="598"/>
      <w:bookmarkEnd w:id="599"/>
      <w:bookmarkEnd w:id="601"/>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公司控股的财务公司与关联方之间不存在存款、贷款、授信或其他金融业务。</w:t>
      </w:r>
    </w:p>
    <w:p>
      <w:pPr>
        <w:pStyle w:val="Style33"/>
        <w:keepNext/>
        <w:keepLines/>
        <w:widowControl w:val="0"/>
        <w:shd w:val="clear" w:color="auto" w:fill="auto"/>
        <w:tabs>
          <w:tab w:pos="373" w:val="left"/>
        </w:tabs>
        <w:bidi w:val="0"/>
        <w:spacing w:before="0" w:after="28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7</w:t>
      </w:r>
      <w:bookmarkEnd w:id="604"/>
      <w:r>
        <w:rPr>
          <w:color w:val="000000"/>
          <w:spacing w:val="0"/>
          <w:w w:val="100"/>
          <w:position w:val="0"/>
        </w:rPr>
        <w:t>、</w:t>
        <w:tab/>
        <w:t>其他重大关联交易</w:t>
      </w:r>
      <w:bookmarkEnd w:id="602"/>
      <w:bookmarkEnd w:id="603"/>
      <w:bookmarkEnd w:id="605"/>
    </w:p>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报告期内，公司实际控制人刘天文先生及其配偶存在无偿为公司提供担保的行为，上述事宜公司未支付任何交易对价。具体 详见公司财务报告附注。</w:t>
      </w:r>
    </w:p>
    <w:p>
      <w:pPr>
        <w:pStyle w:val="Style22"/>
        <w:keepNext w:val="0"/>
        <w:keepLines w:val="0"/>
        <w:widowControl w:val="0"/>
        <w:shd w:val="clear" w:color="auto" w:fill="auto"/>
        <w:bidi w:val="0"/>
        <w:spacing w:before="0" w:after="80" w:line="312"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979"/>
        <w:gridCol w:w="2136"/>
        <w:gridCol w:w="347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7"/>
        <w:keepNext/>
        <w:keepLines/>
        <w:widowControl w:val="0"/>
        <w:shd w:val="clear" w:color="auto" w:fill="auto"/>
        <w:bidi w:val="0"/>
        <w:spacing w:before="0" w:after="380" w:line="240" w:lineRule="auto"/>
        <w:ind w:left="0" w:right="0" w:firstLine="0"/>
        <w:jc w:val="both"/>
      </w:pPr>
      <w:bookmarkStart w:id="606" w:name="bookmark606"/>
      <w:bookmarkStart w:id="607" w:name="bookmark607"/>
      <w:bookmarkStart w:id="608" w:name="bookmark608"/>
      <w:r>
        <w:rPr>
          <w:color w:val="000000"/>
          <w:spacing w:val="0"/>
          <w:w w:val="100"/>
          <w:position w:val="0"/>
          <w:sz w:val="24"/>
          <w:szCs w:val="24"/>
        </w:rPr>
        <w:t>十五、重大合同及其履行情况</w:t>
      </w:r>
      <w:bookmarkEnd w:id="606"/>
      <w:bookmarkEnd w:id="607"/>
      <w:bookmarkEnd w:id="608"/>
    </w:p>
    <w:p>
      <w:pPr>
        <w:pStyle w:val="Style33"/>
        <w:keepNext/>
        <w:keepLines/>
        <w:widowControl w:val="0"/>
        <w:shd w:val="clear" w:color="auto" w:fill="auto"/>
        <w:bidi w:val="0"/>
        <w:spacing w:before="0" w:after="38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、托管、承包、租赁事项情况</w:t>
      </w:r>
      <w:bookmarkEnd w:id="609"/>
      <w:bookmarkEnd w:id="610"/>
      <w:bookmarkEnd w:id="612"/>
    </w:p>
    <w:p>
      <w:pPr>
        <w:pStyle w:val="Style33"/>
        <w:keepNext/>
        <w:keepLines/>
        <w:widowControl w:val="0"/>
        <w:shd w:val="clear" w:color="auto" w:fill="auto"/>
        <w:tabs>
          <w:tab w:pos="493" w:val="left"/>
        </w:tabs>
        <w:bidi w:val="0"/>
        <w:spacing w:before="0" w:after="380" w:line="240" w:lineRule="auto"/>
        <w:ind w:left="0" w:right="0" w:firstLine="0"/>
        <w:jc w:val="both"/>
      </w:pPr>
      <w:bookmarkStart w:id="609" w:name="bookmark609"/>
      <w:bookmarkStart w:id="610" w:name="bookmark610"/>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09"/>
      <w:bookmarkEnd w:id="610"/>
      <w:bookmarkEnd w:id="614"/>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after="380" w:line="240" w:lineRule="auto"/>
        <w:ind w:left="0" w:right="0" w:firstLine="0"/>
        <w:jc w:val="both"/>
      </w:pPr>
      <w:bookmarkStart w:id="615" w:name="bookmark615"/>
      <w:bookmarkStart w:id="616" w:name="bookmark616"/>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15"/>
      <w:bookmarkEnd w:id="616"/>
      <w:bookmarkEnd w:id="618"/>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after="380" w:line="240" w:lineRule="auto"/>
        <w:ind w:left="0" w:right="0" w:firstLine="0"/>
        <w:jc w:val="both"/>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19"/>
      <w:bookmarkEnd w:id="620"/>
      <w:bookmarkEnd w:id="622"/>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307" w:lineRule="exact"/>
        <w:ind w:left="0" w:right="0" w:firstLine="0"/>
        <w:jc w:val="both"/>
      </w:pPr>
      <w:r>
        <w:rPr>
          <w:color w:val="000000"/>
          <w:spacing w:val="0"/>
          <w:w w:val="100"/>
          <w:position w:val="0"/>
        </w:rPr>
        <w:t>租赁情况说明</w:t>
      </w:r>
    </w:p>
    <w:p>
      <w:pPr>
        <w:pStyle w:val="Style22"/>
        <w:keepNext w:val="0"/>
        <w:keepLines w:val="0"/>
        <w:widowControl w:val="0"/>
        <w:shd w:val="clear" w:color="auto" w:fill="auto"/>
        <w:bidi w:val="0"/>
        <w:spacing w:before="0" w:after="140" w:line="307" w:lineRule="exact"/>
        <w:ind w:left="0" w:right="0"/>
        <w:jc w:val="left"/>
      </w:pPr>
      <w:r>
        <w:rPr>
          <w:color w:val="000000"/>
          <w:spacing w:val="0"/>
          <w:w w:val="100"/>
          <w:position w:val="0"/>
        </w:rPr>
        <w:t>公司所在行业为软件和信息技术服务业，为了更好地满足客户对于近岸交付的要求，报告期内公司存在部分经营场所系 通过租赁方式取得。公司与出租方租赁关系稳定，未发生过因租赁房产而对公司经营造成不利影响的情形。</w:t>
      </w:r>
    </w:p>
    <w:p>
      <w:pPr>
        <w:pStyle w:val="Style22"/>
        <w:keepNext w:val="0"/>
        <w:keepLines w:val="0"/>
        <w:widowControl w:val="0"/>
        <w:shd w:val="clear" w:color="auto" w:fill="auto"/>
        <w:bidi w:val="0"/>
        <w:spacing w:before="0" w:after="140" w:line="307"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307" w:lineRule="exact"/>
        <w:ind w:left="0" w:right="0" w:firstLine="0"/>
        <w:jc w:val="left"/>
        <w:sectPr>
          <w:footnotePr>
            <w:pos w:val="pageBottom"/>
            <w:numFmt w:val="decimal"/>
            <w:numRestart w:val="continuous"/>
          </w:footnotePr>
          <w:pgSz w:w="11900" w:h="16840"/>
          <w:pgMar w:top="1441" w:right="1120" w:bottom="1532" w:left="1094" w:header="0" w:footer="3" w:gutter="0"/>
          <w:cols w:space="720"/>
          <w:noEndnote/>
          <w:rtlGutter w:val="0"/>
          <w:docGrid w:linePitch="360"/>
        </w:sectPr>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bidi w:val="0"/>
        <w:spacing w:before="320" w:after="38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、重大担保</w:t>
      </w:r>
      <w:bookmarkEnd w:id="623"/>
      <w:bookmarkEnd w:id="624"/>
      <w:bookmarkEnd w:id="626"/>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13080" w:right="0" w:firstLine="0"/>
        <w:jc w:val="left"/>
      </w:pPr>
      <w:r>
        <w:rPr>
          <w:color w:val="000000"/>
          <w:spacing w:val="0"/>
          <w:w w:val="100"/>
          <w:position w:val="0"/>
        </w:rPr>
        <w:t>单位：万元</w:t>
      </w:r>
    </w:p>
    <w:tbl>
      <w:tblPr>
        <w:tblOverlap w:val="never"/>
        <w:jc w:val="center"/>
        <w:tblLayout w:type="fixed"/>
      </w:tblPr>
      <w:tblGrid>
        <w:gridCol w:w="1325"/>
        <w:gridCol w:w="1550"/>
        <w:gridCol w:w="1133"/>
        <w:gridCol w:w="1843"/>
        <w:gridCol w:w="1282"/>
        <w:gridCol w:w="1555"/>
        <w:gridCol w:w="850"/>
        <w:gridCol w:w="1133"/>
        <w:gridCol w:w="1704"/>
        <w:gridCol w:w="706"/>
        <w:gridCol w:w="955"/>
      </w:tblGrid>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是否履</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是否履</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2020/6/11-2021/6/10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2020/6/12-2021/6/11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2020/7/14-2021/7/13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2020/7/13-2021/7/8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2021/6/8-2022/6/7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2021/6/10-2022/6/10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2021/7/8-2022/7/8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2021/7/12-2022/7/12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25"/>
        <w:gridCol w:w="1550"/>
        <w:gridCol w:w="1133"/>
        <w:gridCol w:w="1843"/>
        <w:gridCol w:w="1282"/>
        <w:gridCol w:w="1555"/>
        <w:gridCol w:w="850"/>
        <w:gridCol w:w="1133"/>
        <w:gridCol w:w="1704"/>
        <w:gridCol w:w="706"/>
        <w:gridCol w:w="955"/>
      </w:tblGrid>
      <w:tr>
        <w:trPr>
          <w:trHeight w:val="7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2020/4/14-2021/4/14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2020/5/12-2021/5/12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2020/6/8-2021/6/8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2020/7/10-2021/7/10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2020/8/11-2021/8/11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2021/4/13-2022/4/13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2021/5/10-2022/5/10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2021/7/13-2022/7/13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2021/11/12-2022/11/1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西安软通动力网 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2021/7/13-2022/7/12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西安软通动力网 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2021/8/12-2022/8/11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 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2021/7/30-2022/7/30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软通动力技术服 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2020/3/27-2021/3/26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25"/>
        <w:gridCol w:w="1550"/>
        <w:gridCol w:w="1133"/>
        <w:gridCol w:w="1843"/>
        <w:gridCol w:w="1282"/>
        <w:gridCol w:w="1555"/>
        <w:gridCol w:w="850"/>
        <w:gridCol w:w="1133"/>
        <w:gridCol w:w="1704"/>
        <w:gridCol w:w="706"/>
        <w:gridCol w:w="955"/>
      </w:tblGrid>
      <w:tr>
        <w:trPr>
          <w:trHeight w:val="7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软通动力技术服 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2021/3/11-2022/3/11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 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2021/5/25-2022/5/24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 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2021/8/31-2022/8/31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南京软通动力信 息技术服务有限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2020/5/14-2021/5/12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南京软通动力信 息技术服务有限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2020/6/11-2021/6/10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南京软通动力信 息技术服务有限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2021/5/12-2022/5/6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南京软通动力信 息技术服务有限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2021/6/9-2022/6/7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南京软通动力信 息技术服务有限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2020/2/27-2021/2/27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南京软通动力信 息技术服务有限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2020/3/12-2021/3/8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南京软通动力信 息技术服务有限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2021/3/11-2022/3/8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25"/>
        <w:gridCol w:w="1550"/>
        <w:gridCol w:w="1133"/>
        <w:gridCol w:w="1843"/>
        <w:gridCol w:w="1282"/>
        <w:gridCol w:w="1555"/>
        <w:gridCol w:w="850"/>
        <w:gridCol w:w="1133"/>
        <w:gridCol w:w="1704"/>
        <w:gridCol w:w="706"/>
        <w:gridCol w:w="955"/>
      </w:tblGrid>
      <w:tr>
        <w:trPr>
          <w:trHeight w:val="10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南京软通动力信 息技术服务有限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2021/4/12-2022/4/6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报告期内对子公司担保实际发生额 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298,000</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报告期末已审批的对子公司担保额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报告期末对子公司实际担保余额合 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400" w:right="0" w:hanging="400"/>
              <w:jc w:val="left"/>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是否履</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联方担保</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2020/6/11-2021/6/10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2020/6/12-2021/6/11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2020/7/14-2021/7/13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2020/7/13-2021/7/8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软通动力技术服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2021/6/8-2022/6/7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25"/>
        <w:gridCol w:w="1550"/>
        <w:gridCol w:w="1133"/>
        <w:gridCol w:w="1843"/>
        <w:gridCol w:w="1282"/>
        <w:gridCol w:w="1555"/>
        <w:gridCol w:w="850"/>
        <w:gridCol w:w="1133"/>
        <w:gridCol w:w="1704"/>
        <w:gridCol w:w="706"/>
        <w:gridCol w:w="955"/>
      </w:tblGrid>
      <w:tr>
        <w:trPr>
          <w:trHeight w:val="10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圳软通动力信息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2021/6/10-2022/6/10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2021/7/8-2022/7/8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2021/7/12-2022/7/12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2020/4/14-2021/4/14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2020/5/12-2021/5/12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2020/6/8-2021/6/8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软通动力技术服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2020/7/10-2021/7/10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25"/>
        <w:gridCol w:w="1550"/>
        <w:gridCol w:w="1133"/>
        <w:gridCol w:w="1843"/>
        <w:gridCol w:w="1282"/>
        <w:gridCol w:w="1555"/>
        <w:gridCol w:w="850"/>
        <w:gridCol w:w="1133"/>
        <w:gridCol w:w="1704"/>
        <w:gridCol w:w="706"/>
        <w:gridCol w:w="955"/>
      </w:tblGrid>
      <w:tr>
        <w:trPr>
          <w:trHeight w:val="10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圳软通动力信息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2020/8/11-2021/8/11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2021/4/13-2022/4/13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2021/5/10-2022/5/10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2021/7/13-2022/7/13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2021/11/12-2022/11/1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软通动力技术服</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 安软通动力网络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2021/7/13-2022/7/12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软通动力技术服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2021/8/12-2022/8/11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25"/>
        <w:gridCol w:w="1550"/>
        <w:gridCol w:w="547"/>
        <w:gridCol w:w="586"/>
        <w:gridCol w:w="1843"/>
        <w:gridCol w:w="1282"/>
        <w:gridCol w:w="1555"/>
        <w:gridCol w:w="850"/>
        <w:gridCol w:w="1133"/>
        <w:gridCol w:w="1704"/>
        <w:gridCol w:w="706"/>
        <w:gridCol w:w="955"/>
      </w:tblGrid>
      <w:tr>
        <w:trPr>
          <w:trHeight w:val="10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 安软通动力网络 技术有限公司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报告期内对子公司担保实际发生额 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报告期末已审批的对子公司担保额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报告期末对子公司实际担保余额合 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622,000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478,000</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622,000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720" w:right="0" w:firstLine="0"/>
              <w:jc w:val="left"/>
              <w:rPr>
                <w:sz w:val="18"/>
                <w:szCs w:val="18"/>
              </w:rPr>
            </w:pPr>
            <w:r>
              <w:rPr>
                <w:rFonts w:ascii="Times New Roman" w:eastAsia="Times New Roman" w:hAnsi="Times New Roman" w:cs="Times New Roman"/>
                <w:color w:val="000000"/>
                <w:spacing w:val="0"/>
                <w:w w:val="100"/>
                <w:position w:val="0"/>
                <w:sz w:val="18"/>
                <w:szCs w:val="18"/>
              </w:rPr>
              <w:t>275,000</w:t>
            </w:r>
          </w:p>
        </w:tc>
      </w:tr>
      <w:tr>
        <w:trPr>
          <w:trHeight w:val="403"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21,080</w:t>
            </w:r>
          </w:p>
        </w:tc>
      </w:tr>
      <w:tr>
        <w:trPr>
          <w:trHeight w:val="403"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21,080</w:t>
            </w:r>
          </w:p>
        </w:tc>
      </w:tr>
      <w:tr>
        <w:trPr>
          <w:trHeight w:val="710"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对未到期担保合同，报告期内已发生担保责任或有证据表明有可能承担连 带清偿责任的情况说明（如有）</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5"/>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注：报告期末实际担保余额合计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275,000</w:t>
      </w:r>
      <w:r>
        <w:rPr>
          <w:color w:val="000000"/>
          <w:spacing w:val="0"/>
          <w:w w:val="100"/>
          <w:position w:val="0"/>
        </w:rPr>
        <w:t>万元包含公司对子公司、子公司对子公司</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万元的重复计算，截止报告期末公司对子公司、子公司对子公司实际 担保主债权余额合计为</w:t>
      </w:r>
      <w:r>
        <w:rPr>
          <w:rFonts w:ascii="Times New Roman" w:eastAsia="Times New Roman" w:hAnsi="Times New Roman" w:cs="Times New Roman"/>
          <w:color w:val="000000"/>
          <w:spacing w:val="0"/>
          <w:w w:val="100"/>
          <w:position w:val="0"/>
          <w:sz w:val="18"/>
          <w:szCs w:val="18"/>
        </w:rPr>
        <w:t>175,000</w:t>
      </w:r>
      <w:r>
        <w:rPr>
          <w:color w:val="000000"/>
          <w:spacing w:val="0"/>
          <w:w w:val="100"/>
          <w:position w:val="0"/>
        </w:rPr>
        <w:t>万元，占公司净资产的比例为</w:t>
      </w:r>
      <w:r>
        <w:rPr>
          <w:rFonts w:ascii="Times New Roman" w:eastAsia="Times New Roman" w:hAnsi="Times New Roman" w:cs="Times New Roman"/>
          <w:color w:val="000000"/>
          <w:spacing w:val="0"/>
          <w:w w:val="100"/>
          <w:position w:val="0"/>
          <w:sz w:val="18"/>
          <w:szCs w:val="18"/>
        </w:rPr>
        <w:t>34.46%</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采用复合方式担保的具体情况说明</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378" w:val="left"/>
        </w:tabs>
        <w:bidi w:val="0"/>
        <w:spacing w:before="0" w:after="36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3</w:t>
      </w:r>
      <w:bookmarkEnd w:id="629"/>
      <w:r>
        <w:rPr>
          <w:color w:val="000000"/>
          <w:spacing w:val="0"/>
          <w:w w:val="100"/>
          <w:position w:val="0"/>
        </w:rPr>
        <w:t>、</w:t>
        <w:tab/>
        <w:t>委托他人进行现金资产管理情况</w:t>
      </w:r>
      <w:bookmarkEnd w:id="627"/>
      <w:bookmarkEnd w:id="628"/>
      <w:bookmarkEnd w:id="630"/>
    </w:p>
    <w:p>
      <w:pPr>
        <w:pStyle w:val="Style33"/>
        <w:keepNext/>
        <w:keepLines/>
        <w:widowControl w:val="0"/>
        <w:shd w:val="clear" w:color="auto" w:fill="auto"/>
        <w:tabs>
          <w:tab w:pos="493" w:val="left"/>
        </w:tabs>
        <w:bidi w:val="0"/>
        <w:spacing w:before="0" w:after="360" w:line="240" w:lineRule="auto"/>
        <w:ind w:left="0" w:right="0" w:firstLine="0"/>
        <w:jc w:val="left"/>
      </w:pPr>
      <w:bookmarkStart w:id="627" w:name="bookmark627"/>
      <w:bookmarkStart w:id="628" w:name="bookmark628"/>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627"/>
      <w:bookmarkEnd w:id="628"/>
      <w:bookmarkEnd w:id="632"/>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33"/>
        <w:keepNext/>
        <w:keepLines/>
        <w:widowControl w:val="0"/>
        <w:shd w:val="clear" w:color="auto" w:fill="auto"/>
        <w:tabs>
          <w:tab w:pos="493" w:val="left"/>
        </w:tabs>
        <w:bidi w:val="0"/>
        <w:spacing w:before="0" w:after="36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w:t>
      </w:r>
      <w:bookmarkEnd w:id="63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633"/>
      <w:bookmarkEnd w:id="634"/>
      <w:bookmarkEnd w:id="636"/>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after="36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4</w:t>
      </w:r>
      <w:bookmarkEnd w:id="639"/>
      <w:r>
        <w:rPr>
          <w:color w:val="000000"/>
          <w:spacing w:val="0"/>
          <w:w w:val="100"/>
          <w:position w:val="0"/>
        </w:rPr>
        <w:t>、</w:t>
        <w:tab/>
        <w:t>其他重大合同</w:t>
      </w:r>
      <w:bookmarkEnd w:id="637"/>
      <w:bookmarkEnd w:id="638"/>
      <w:bookmarkEnd w:id="640"/>
    </w:p>
    <w:p>
      <w:pPr>
        <w:pStyle w:val="Style29"/>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49"/>
        <w:gridCol w:w="710"/>
        <w:gridCol w:w="1699"/>
        <w:gridCol w:w="710"/>
        <w:gridCol w:w="1272"/>
        <w:gridCol w:w="1277"/>
        <w:gridCol w:w="994"/>
        <w:gridCol w:w="850"/>
        <w:gridCol w:w="850"/>
        <w:gridCol w:w="850"/>
        <w:gridCol w:w="566"/>
        <w:gridCol w:w="566"/>
        <w:gridCol w:w="854"/>
        <w:gridCol w:w="850"/>
        <w:gridCol w:w="123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立公司</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合同订</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立对方</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合同签</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合同涉及资产 的账面价值（万 元）（如有）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合同涉及资产 的评估价值（万 元）（如有）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评估机构名 称（如有）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评估基准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交易价格</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关联 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 期末的执 行情况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披露索引</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软通动 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华为技 术有限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销售合同：软件项目 的研究、分析与设计、 维护服务、加载服务、 开发与测试、运营等 工作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市场定价 原则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 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正常执行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华为为公司单一最大客户，报告期内公司对华为销售合同所确认的收入占公司营业收入约</w:t>
      </w:r>
      <w:r>
        <w:rPr>
          <w:color w:val="000000"/>
          <w:spacing w:val="0"/>
          <w:w w:val="100"/>
          <w:position w:val="0"/>
          <w:sz w:val="18"/>
          <w:szCs w:val="18"/>
        </w:rPr>
        <w:t>50%，</w:t>
      </w:r>
      <w:r>
        <w:rPr>
          <w:color w:val="000000"/>
          <w:spacing w:val="0"/>
          <w:w w:val="100"/>
          <w:position w:val="0"/>
        </w:rPr>
        <w:t>基于审慎性考虑，公司将与华为的销售合同定义为重大合同，在年报中予 以列示；</w:t>
      </w:r>
    </w:p>
    <w:p>
      <w:pPr>
        <w:pStyle w:val="Style22"/>
        <w:keepNext w:val="0"/>
        <w:keepLines w:val="0"/>
        <w:widowControl w:val="0"/>
        <w:shd w:val="clear" w:color="auto" w:fill="auto"/>
        <w:bidi w:val="0"/>
        <w:spacing w:before="0" w:after="360" w:line="317" w:lineRule="exact"/>
        <w:ind w:left="0" w:right="0" w:firstLine="0"/>
        <w:jc w:val="left"/>
      </w:pPr>
      <w:r>
        <w:rPr>
          <w:color w:val="000000"/>
          <w:spacing w:val="0"/>
          <w:w w:val="100"/>
          <w:position w:val="0"/>
          <w:sz w:val="18"/>
          <w:szCs w:val="18"/>
        </w:rPr>
        <w:t>2.</w:t>
      </w:r>
      <w:r>
        <w:rPr>
          <w:color w:val="000000"/>
          <w:spacing w:val="0"/>
          <w:w w:val="100"/>
          <w:position w:val="0"/>
        </w:rPr>
        <w:t>由于所处行业的特点，公司与华为签署的销售合同一般为框架性合同，实际业务开展中，公司与华为将在市场定价原则基础上签订单项业务合同，基于审慎性考虑，公司将华 为框架协议下的各单项业务合同予以合并计算。</w:t>
      </w:r>
    </w:p>
    <w:p>
      <w:pPr>
        <w:pStyle w:val="Style27"/>
        <w:keepNext/>
        <w:keepLines/>
        <w:widowControl w:val="0"/>
        <w:shd w:val="clear" w:color="auto" w:fill="auto"/>
        <w:bidi w:val="0"/>
        <w:spacing w:before="0" w:after="260" w:line="240" w:lineRule="auto"/>
        <w:ind w:left="0" w:right="0" w:firstLine="0"/>
        <w:jc w:val="left"/>
      </w:pPr>
      <w:bookmarkStart w:id="641" w:name="bookmark641"/>
      <w:bookmarkStart w:id="642" w:name="bookmark642"/>
      <w:bookmarkStart w:id="643" w:name="bookmark643"/>
      <w:r>
        <w:rPr>
          <w:color w:val="000000"/>
          <w:spacing w:val="0"/>
          <w:w w:val="100"/>
          <w:position w:val="0"/>
          <w:sz w:val="24"/>
          <w:szCs w:val="24"/>
        </w:rPr>
        <w:t>十六、其他重大事项的说明</w:t>
      </w:r>
      <w:bookmarkEnd w:id="641"/>
      <w:bookmarkEnd w:id="642"/>
      <w:bookmarkEnd w:id="643"/>
    </w:p>
    <w:p>
      <w:pPr>
        <w:pStyle w:val="Style22"/>
        <w:keepNext w:val="0"/>
        <w:keepLines w:val="0"/>
        <w:widowControl w:val="0"/>
        <w:shd w:val="clear" w:color="auto" w:fill="auto"/>
        <w:bidi w:val="0"/>
        <w:spacing w:before="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360" w:line="307" w:lineRule="exact"/>
        <w:ind w:left="0" w:right="0"/>
        <w:jc w:val="both"/>
      </w:pPr>
      <w:r>
        <w:rPr>
          <w:color w:val="000000"/>
          <w:spacing w:val="0"/>
          <w:w w:val="100"/>
          <w:position w:val="0"/>
        </w:rPr>
        <w:t>经中国证券监督管理委员会《关于同意软通动力信息技术（集团）股份有限公司首次公开发行股票注册的批复》（证监许可〔</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号）同意注册，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 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6,352.9412</w:t>
      </w:r>
      <w:r>
        <w:rPr>
          <w:color w:val="000000"/>
          <w:spacing w:val="0"/>
          <w:w w:val="100"/>
          <w:position w:val="0"/>
        </w:rPr>
        <w:t>万股并在创业板上市，总股本由</w:t>
      </w:r>
      <w:r>
        <w:rPr>
          <w:rFonts w:ascii="Times New Roman" w:eastAsia="Times New Roman" w:hAnsi="Times New Roman" w:cs="Times New Roman"/>
          <w:color w:val="000000"/>
          <w:spacing w:val="0"/>
          <w:w w:val="100"/>
          <w:position w:val="0"/>
          <w:sz w:val="18"/>
          <w:szCs w:val="18"/>
        </w:rPr>
        <w:t>36,000.00</w:t>
      </w:r>
      <w:r>
        <w:rPr>
          <w:color w:val="000000"/>
          <w:spacing w:val="0"/>
          <w:w w:val="100"/>
          <w:position w:val="0"/>
        </w:rPr>
        <w:t>万股变更为</w:t>
      </w:r>
      <w:r>
        <w:rPr>
          <w:rFonts w:ascii="Times New Roman" w:eastAsia="Times New Roman" w:hAnsi="Times New Roman" w:cs="Times New Roman"/>
          <w:color w:val="000000"/>
          <w:spacing w:val="0"/>
          <w:w w:val="100"/>
          <w:position w:val="0"/>
          <w:sz w:val="18"/>
          <w:szCs w:val="18"/>
        </w:rPr>
        <w:t>42,352.9412</w:t>
      </w:r>
      <w:r>
        <w:rPr>
          <w:color w:val="000000"/>
          <w:spacing w:val="0"/>
          <w:w w:val="100"/>
          <w:position w:val="0"/>
        </w:rPr>
        <w:t>万股。</w:t>
      </w:r>
    </w:p>
    <w:p>
      <w:pPr>
        <w:pStyle w:val="Style27"/>
        <w:keepNext/>
        <w:keepLines/>
        <w:widowControl w:val="0"/>
        <w:shd w:val="clear" w:color="auto" w:fill="auto"/>
        <w:bidi w:val="0"/>
        <w:spacing w:before="0" w:after="260" w:line="240" w:lineRule="auto"/>
        <w:ind w:left="0" w:right="0" w:firstLine="0"/>
        <w:jc w:val="left"/>
      </w:pPr>
      <w:bookmarkStart w:id="644" w:name="bookmark644"/>
      <w:bookmarkStart w:id="645" w:name="bookmark645"/>
      <w:bookmarkStart w:id="646" w:name="bookmark646"/>
      <w:r>
        <w:rPr>
          <w:color w:val="000000"/>
          <w:spacing w:val="0"/>
          <w:w w:val="100"/>
          <w:position w:val="0"/>
          <w:sz w:val="24"/>
          <w:szCs w:val="24"/>
        </w:rPr>
        <w:t>十七、公司子公司重大事项</w:t>
      </w:r>
      <w:bookmarkEnd w:id="644"/>
      <w:bookmarkEnd w:id="645"/>
      <w:bookmarkEnd w:id="646"/>
    </w:p>
    <w:p>
      <w:pPr>
        <w:pStyle w:val="Style22"/>
        <w:keepNext w:val="0"/>
        <w:keepLines w:val="0"/>
        <w:widowControl w:val="0"/>
        <w:shd w:val="clear" w:color="auto" w:fill="auto"/>
        <w:bidi w:val="0"/>
        <w:spacing w:before="0" w:after="260" w:line="307" w:lineRule="exact"/>
        <w:ind w:left="0" w:right="0" w:firstLine="0"/>
        <w:jc w:val="left"/>
        <w:sectPr>
          <w:footnotePr>
            <w:pos w:val="pageBottom"/>
            <w:numFmt w:val="decimal"/>
            <w:numRestart w:val="continuous"/>
          </w:footnotePr>
          <w:pgSz w:w="16840" w:h="11900" w:orient="landscape"/>
          <w:pgMar w:top="1111" w:right="1402" w:bottom="1223" w:left="140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760" w:after="540" w:line="240" w:lineRule="auto"/>
        <w:ind w:left="0" w:right="0" w:firstLine="0"/>
        <w:jc w:val="center"/>
      </w:pPr>
      <w:bookmarkStart w:id="647" w:name="bookmark647"/>
      <w:bookmarkStart w:id="648" w:name="bookmark648"/>
      <w:bookmarkStart w:id="649" w:name="bookmark649"/>
      <w:r>
        <w:rPr>
          <w:color w:val="000000"/>
          <w:spacing w:val="0"/>
          <w:w w:val="100"/>
          <w:position w:val="0"/>
        </w:rPr>
        <w:t>第七节股份变动及股东情况</w:t>
      </w:r>
      <w:bookmarkEnd w:id="647"/>
      <w:bookmarkEnd w:id="648"/>
      <w:bookmarkEnd w:id="649"/>
    </w:p>
    <w:p>
      <w:pPr>
        <w:pStyle w:val="Style27"/>
        <w:keepNext/>
        <w:keepLines/>
        <w:widowControl w:val="0"/>
        <w:shd w:val="clear" w:color="auto" w:fill="auto"/>
        <w:bidi w:val="0"/>
        <w:spacing w:before="0" w:after="360" w:line="240" w:lineRule="auto"/>
        <w:ind w:left="0" w:right="0" w:firstLine="0"/>
        <w:jc w:val="left"/>
      </w:pPr>
      <w:bookmarkStart w:id="650" w:name="bookmark650"/>
      <w:bookmarkStart w:id="651" w:name="bookmark651"/>
      <w:bookmarkStart w:id="652" w:name="bookmark652"/>
      <w:bookmarkStart w:id="653" w:name="bookmark653"/>
      <w:bookmarkStart w:id="654" w:name="bookmark654"/>
      <w:r>
        <w:rPr>
          <w:color w:val="000000"/>
          <w:spacing w:val="0"/>
          <w:w w:val="100"/>
          <w:position w:val="0"/>
          <w:sz w:val="24"/>
          <w:szCs w:val="24"/>
        </w:rPr>
        <w:t>一</w:t>
      </w:r>
      <w:bookmarkEnd w:id="653"/>
      <w:r>
        <w:rPr>
          <w:color w:val="000000"/>
          <w:spacing w:val="0"/>
          <w:w w:val="100"/>
          <w:position w:val="0"/>
          <w:sz w:val="24"/>
          <w:szCs w:val="24"/>
        </w:rPr>
        <w:t>、股份变动情况</w:t>
      </w:r>
      <w:bookmarkEnd w:id="651"/>
      <w:bookmarkEnd w:id="652"/>
      <w:bookmarkEnd w:id="654"/>
      <w:bookmarkEnd w:id="650"/>
    </w:p>
    <w:p>
      <w:pPr>
        <w:pStyle w:val="Style33"/>
        <w:keepNext/>
        <w:keepLines/>
        <w:widowControl w:val="0"/>
        <w:shd w:val="clear" w:color="auto" w:fill="auto"/>
        <w:bidi w:val="0"/>
        <w:spacing w:before="0" w:after="36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color w:val="000000"/>
          <w:spacing w:val="0"/>
          <w:w w:val="100"/>
          <w:position w:val="0"/>
        </w:rPr>
        <w:t>、股份变动情况</w:t>
      </w:r>
      <w:bookmarkEnd w:id="655"/>
      <w:bookmarkEnd w:id="656"/>
      <w:bookmarkEnd w:id="6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710"/>
        <w:gridCol w:w="850"/>
        <w:gridCol w:w="710"/>
        <w:gridCol w:w="989"/>
        <w:gridCol w:w="566"/>
        <w:gridCol w:w="571"/>
        <w:gridCol w:w="1123"/>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262,814,704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262,814,704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162,212,593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162,212,593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100,602,111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100,602,111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94,150,432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94,150,432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94,150,432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94,150,432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、限售股份变动情况</w:t>
      </w:r>
      <w:bookmarkEnd w:id="659"/>
      <w:bookmarkEnd w:id="660"/>
      <w:bookmarkEnd w:id="662"/>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二</w:t>
      </w:r>
      <w:bookmarkEnd w:id="665"/>
      <w:r>
        <w:rPr>
          <w:color w:val="000000"/>
          <w:spacing w:val="0"/>
          <w:w w:val="100"/>
          <w:position w:val="0"/>
          <w:sz w:val="24"/>
          <w:szCs w:val="24"/>
        </w:rPr>
        <w:t>、</w:t>
        <w:tab/>
        <w:t>证券发行与上市情况</w:t>
      </w:r>
      <w:bookmarkEnd w:id="663"/>
      <w:bookmarkEnd w:id="664"/>
      <w:bookmarkEnd w:id="666"/>
    </w:p>
    <w:p>
      <w:pPr>
        <w:pStyle w:val="Style33"/>
        <w:keepNext/>
        <w:keepLines/>
        <w:widowControl w:val="0"/>
        <w:shd w:val="clear" w:color="auto" w:fill="auto"/>
        <w:tabs>
          <w:tab w:pos="381" w:val="left"/>
        </w:tabs>
        <w:bidi w:val="0"/>
        <w:spacing w:before="0" w:after="36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w:t>
        <w:tab/>
        <w:t>报告期内证券发行（不含优先股）情况</w:t>
      </w:r>
      <w:bookmarkEnd w:id="667"/>
      <w:bookmarkEnd w:id="668"/>
      <w:bookmarkEnd w:id="670"/>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81" w:val="left"/>
        </w:tabs>
        <w:bidi w:val="0"/>
        <w:spacing w:before="0" w:after="36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w:t>
        <w:tab/>
        <w:t>公司股份总数及股东结构的变动、公司资产和负债结构的变动情况说明</w:t>
      </w:r>
      <w:bookmarkEnd w:id="671"/>
      <w:bookmarkEnd w:id="672"/>
      <w:bookmarkEnd w:id="67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81" w:val="left"/>
        </w:tabs>
        <w:bidi w:val="0"/>
        <w:spacing w:before="0" w:after="36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w:t>
        <w:tab/>
        <w:t>现存的内部职工股情况</w:t>
      </w:r>
      <w:bookmarkEnd w:id="675"/>
      <w:bookmarkEnd w:id="676"/>
      <w:bookmarkEnd w:id="678"/>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sz w:val="24"/>
          <w:szCs w:val="24"/>
        </w:rPr>
        <w:t>三</w:t>
      </w:r>
      <w:bookmarkEnd w:id="681"/>
      <w:r>
        <w:rPr>
          <w:color w:val="000000"/>
          <w:spacing w:val="0"/>
          <w:w w:val="100"/>
          <w:position w:val="0"/>
          <w:sz w:val="24"/>
          <w:szCs w:val="24"/>
        </w:rPr>
        <w:t>、</w:t>
        <w:tab/>
        <w:t>股东和实际控制人情况</w:t>
      </w:r>
      <w:bookmarkEnd w:id="679"/>
      <w:bookmarkEnd w:id="680"/>
      <w:bookmarkEnd w:id="682"/>
    </w:p>
    <w:p>
      <w:pPr>
        <w:pStyle w:val="Style33"/>
        <w:keepNext/>
        <w:keepLines/>
        <w:widowControl w:val="0"/>
        <w:shd w:val="clear" w:color="auto" w:fill="auto"/>
        <w:bidi w:val="0"/>
        <w:spacing w:before="0" w:after="36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、公司股东数量及持股情况</w:t>
      </w:r>
      <w:bookmarkEnd w:id="683"/>
      <w:bookmarkEnd w:id="684"/>
      <w:bookmarkEnd w:id="68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59"/>
        <w:gridCol w:w="134"/>
        <w:gridCol w:w="293"/>
        <w:gridCol w:w="686"/>
        <w:gridCol w:w="730"/>
        <w:gridCol w:w="427"/>
        <w:gridCol w:w="139"/>
        <w:gridCol w:w="994"/>
        <w:gridCol w:w="710"/>
        <w:gridCol w:w="293"/>
        <w:gridCol w:w="1262"/>
        <w:gridCol w:w="850"/>
        <w:gridCol w:w="432"/>
        <w:gridCol w:w="845"/>
        <w:gridCol w:w="566"/>
        <w:gridCol w:w="365"/>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55,640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报告期末表决权恢复</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的优先股股东总数</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年度报告披露日前上一月 末表决权恢复的优先股股 东总数（如有）（参见注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持有特别表决权</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股份的股东总数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报告期末持</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质押、标记或冻结情况</w:t>
            </w:r>
          </w:p>
        </w:tc>
      </w:tr>
      <w:tr>
        <w:trPr>
          <w:trHeight w:val="398"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27.95%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100,602,111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100,602,111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 Bravo</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11.41%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41,070,232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41,070,232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舟山长通</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21,199,387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21,199,387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软石智动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20,564,905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20,564,905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FNOF</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Easynet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20,209,465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20,209,465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17,502,681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17,502,681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云锋麒泰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13,999,033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13,999,033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福州兴睿</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10,296,852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10,296,852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9,352,389</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9,352,389</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979"/>
        <w:gridCol w:w="1157"/>
        <w:gridCol w:w="1133"/>
        <w:gridCol w:w="989"/>
        <w:gridCol w:w="850"/>
        <w:gridCol w:w="427"/>
        <w:gridCol w:w="1296"/>
        <w:gridCol w:w="830"/>
        <w:gridCol w:w="931"/>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青岛民和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8,833,082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战略投资者或一般法人因配售新股成为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上述股东中，刘天文先生与软石智动为一致行动人；</w:t>
            </w:r>
            <w:r>
              <w:rPr>
                <w:rFonts w:ascii="Times New Roman" w:eastAsia="Times New Roman" w:hAnsi="Times New Roman" w:cs="Times New Roman"/>
                <w:color w:val="000000"/>
                <w:spacing w:val="0"/>
                <w:w w:val="100"/>
                <w:position w:val="0"/>
                <w:sz w:val="18"/>
                <w:szCs w:val="18"/>
              </w:rPr>
              <w:t>FNOF Easynet</w:t>
            </w:r>
            <w:r>
              <w:rPr>
                <w:color w:val="000000"/>
                <w:spacing w:val="0"/>
                <w:w w:val="100"/>
                <w:position w:val="0"/>
              </w:rPr>
              <w:t>董事刘诚、叶 冠寰为</w:t>
            </w:r>
            <w:r>
              <w:rPr>
                <w:rFonts w:ascii="Times New Roman" w:eastAsia="Times New Roman" w:hAnsi="Times New Roman" w:cs="Times New Roman"/>
                <w:color w:val="000000"/>
                <w:spacing w:val="0"/>
                <w:w w:val="100"/>
                <w:position w:val="0"/>
                <w:sz w:val="18"/>
                <w:szCs w:val="18"/>
              </w:rPr>
              <w:t>CEL Bravo</w:t>
            </w:r>
            <w:r>
              <w:rPr>
                <w:color w:val="000000"/>
                <w:spacing w:val="0"/>
                <w:w w:val="100"/>
                <w:position w:val="0"/>
              </w:rPr>
              <w:t>和晋汇国际的董事。除上述一致行动或关联关系外，公司上述 股东间不存在关联关系或一致行动。</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 决权情况的说明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名股东中存在回购专户的特别说 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gridSpan w:val="4"/>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名无限售流通股股东之间，以及前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之间关联关系或一致行动的说明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参与融资融券业务股东情况说明（如有）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公司是否具有表决权差异安排</w:t>
      </w:r>
    </w:p>
    <w:p>
      <w:pPr>
        <w:pStyle w:val="Style22"/>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、公司控股股东情况</w:t>
      </w:r>
      <w:bookmarkEnd w:id="687"/>
      <w:bookmarkEnd w:id="688"/>
      <w:bookmarkEnd w:id="69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2275"/>
        <w:gridCol w:w="3182"/>
        <w:gridCol w:w="41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8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刘天文先生，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年出生，中国国籍，无境外永久居留权，硕士研究生学历。</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 xml:space="preserve">年，任 </w:t>
            </w:r>
            <w:r>
              <w:rPr>
                <w:rFonts w:ascii="Times New Roman" w:eastAsia="Times New Roman" w:hAnsi="Times New Roman" w:cs="Times New Roman"/>
                <w:color w:val="000000"/>
                <w:spacing w:val="0"/>
                <w:w w:val="100"/>
                <w:position w:val="0"/>
                <w:sz w:val="18"/>
                <w:szCs w:val="18"/>
              </w:rPr>
              <w:t xml:space="preserve">Digital Equipment Corporation IT </w:t>
            </w:r>
            <w:r>
              <w:rPr>
                <w:color w:val="000000"/>
                <w:spacing w:val="0"/>
                <w:w w:val="100"/>
                <w:position w:val="0"/>
              </w:rPr>
              <w:t>咨询经理;</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 xml:space="preserve">年，任美国 </w:t>
            </w:r>
            <w:r>
              <w:rPr>
                <w:rFonts w:ascii="Times New Roman" w:eastAsia="Times New Roman" w:hAnsi="Times New Roman" w:cs="Times New Roman"/>
                <w:color w:val="000000"/>
                <w:spacing w:val="0"/>
                <w:w w:val="100"/>
                <w:position w:val="0"/>
                <w:sz w:val="18"/>
                <w:szCs w:val="18"/>
              </w:rPr>
              <w:t xml:space="preserve">Bechtel Corporation </w:t>
            </w:r>
            <w:r>
              <w:rPr>
                <w:color w:val="000000"/>
                <w:spacing w:val="0"/>
                <w:w w:val="100"/>
                <w:position w:val="0"/>
              </w:rPr>
              <w:t>高级项目经理；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年，任西门子商业服务集团系统集成部中国区总经理；</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年，作为北京亚商在线信息技术有限公司联合创始人，任执行副总裁，</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年，任北京软通动力科技有限公司董事长、总经理、首席执行官，</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历任软通动力信息技术（集团）有限公司执行董事、董事长及首席执行官；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 任软通动力信息技术（集团）股份有限公司董事长、总经理，负责公司整体管理和战略发展。</w:t>
            </w:r>
          </w:p>
        </w:tc>
      </w:tr>
    </w:tbl>
    <w:p>
      <w:pPr>
        <w:spacing w:lineRule="exact" w:line="1"/>
        <w:rPr>
          <w:sz w:val="2"/>
          <w:szCs w:val="2"/>
        </w:rPr>
      </w:pPr>
      <w:r>
        <w:br w:type="page"/>
      </w:r>
    </w:p>
    <w:tbl>
      <w:tblPr>
        <w:tblOverlap w:val="never"/>
        <w:jc w:val="center"/>
        <w:tblLayout w:type="fixed"/>
      </w:tblPr>
      <w:tblGrid>
        <w:gridCol w:w="2299"/>
        <w:gridCol w:w="740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不悟田</w:t>
            </w:r>
          </w:p>
        </w:tc>
      </w:tr>
      <w:tr>
        <w:trPr>
          <w:trHeight w:val="370" w:hRule="exact"/>
        </w:trPr>
        <w:tc>
          <w:tcPr>
            <w:tcBorders>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境内外上市公司的股权情况</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24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3</w:t>
      </w:r>
      <w:bookmarkEnd w:id="693"/>
      <w:r>
        <w:rPr>
          <w:color w:val="000000"/>
          <w:spacing w:val="0"/>
          <w:w w:val="100"/>
          <w:position w:val="0"/>
        </w:rPr>
        <w:t>、公司实际控制人及其一致行动人</w:t>
      </w:r>
      <w:bookmarkEnd w:id="691"/>
      <w:bookmarkEnd w:id="692"/>
      <w:bookmarkEnd w:id="694"/>
    </w:p>
    <w:p>
      <w:pPr>
        <w:pStyle w:val="Style22"/>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5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刘天文先生，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年出生，中国国籍，无境外永久居留权，硕士研究生学历。</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 xml:space="preserve">年，任 </w:t>
            </w:r>
            <w:r>
              <w:rPr>
                <w:rFonts w:ascii="Times New Roman" w:eastAsia="Times New Roman" w:hAnsi="Times New Roman" w:cs="Times New Roman"/>
                <w:color w:val="000000"/>
                <w:spacing w:val="0"/>
                <w:w w:val="100"/>
                <w:position w:val="0"/>
                <w:sz w:val="18"/>
                <w:szCs w:val="18"/>
              </w:rPr>
              <w:t xml:space="preserve">Digital Equipment Corporation IT </w:t>
            </w:r>
            <w:r>
              <w:rPr>
                <w:color w:val="000000"/>
                <w:spacing w:val="0"/>
                <w:w w:val="100"/>
                <w:position w:val="0"/>
              </w:rPr>
              <w:t>咨询经理；</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 xml:space="preserve">年，任美国 </w:t>
            </w:r>
            <w:r>
              <w:rPr>
                <w:rFonts w:ascii="Times New Roman" w:eastAsia="Times New Roman" w:hAnsi="Times New Roman" w:cs="Times New Roman"/>
                <w:color w:val="000000"/>
                <w:spacing w:val="0"/>
                <w:w w:val="100"/>
                <w:position w:val="0"/>
                <w:sz w:val="18"/>
                <w:szCs w:val="18"/>
              </w:rPr>
              <w:t>Bechtel Corporation</w:t>
            </w:r>
            <w:r>
              <w:rPr>
                <w:color w:val="000000"/>
                <w:spacing w:val="0"/>
                <w:w w:val="100"/>
                <w:position w:val="0"/>
              </w:rPr>
              <w:t>高级项目经理；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年，任西门子商业服务集团系统集成部中国区 总经理；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年，作为北京亚商在线信息技术有限公司联合创始人，任执行副总 裁，</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年，任北京软通动力科技有限公司董事长、总经理、首席执行官，</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年，历任软通动力信息技术（集团）有限公司执行董事、董事长及首席执行官；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月至今，任软通动力信息技术（集团）股份有限公司董事长、总经理，负责公司 整体管理和战略发展。</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软通动力实际控制人刘天文先生控制的软通开曼，于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月在美国纽 交所上市，</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日纽交所发布</w:t>
            </w:r>
            <w:r>
              <w:rPr>
                <w:rFonts w:ascii="Times New Roman" w:eastAsia="Times New Roman" w:hAnsi="Times New Roman" w:cs="Times New Roman"/>
                <w:color w:val="000000"/>
                <w:spacing w:val="0"/>
                <w:w w:val="100"/>
                <w:position w:val="0"/>
                <w:sz w:val="18"/>
                <w:szCs w:val="18"/>
              </w:rPr>
              <w:t>FORM25</w:t>
            </w:r>
            <w:r>
              <w:rPr>
                <w:color w:val="000000"/>
                <w:spacing w:val="0"/>
                <w:w w:val="100"/>
                <w:position w:val="0"/>
              </w:rPr>
              <w:t>公告，证明软通开曼已从纽交所退市，其 股票终止交易。</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4384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0065" cy="2438400"/>
                    </a:xfrm>
                    <a:prstGeom prst="rect"/>
                  </pic:spPr>
                </pic:pic>
              </a:graphicData>
            </a:graphic>
          </wp:inline>
        </w:drawing>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4</w:t>
      </w:r>
      <w:bookmarkEnd w:id="697"/>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95"/>
      <w:bookmarkEnd w:id="696"/>
      <w:bookmarkEnd w:id="698"/>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5</w:t>
      </w:r>
      <w:bookmarkEnd w:id="70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99"/>
      <w:bookmarkEnd w:id="700"/>
      <w:bookmarkEnd w:id="702"/>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2837"/>
        <w:gridCol w:w="1555"/>
        <w:gridCol w:w="1704"/>
        <w:gridCol w:w="20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法人股东名称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 Bravo</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邓子俊(</w:t>
            </w:r>
            <w:r>
              <w:rPr>
                <w:rFonts w:ascii="Times New Roman" w:eastAsia="Times New Roman" w:hAnsi="Times New Roman" w:cs="Times New Roman"/>
                <w:color w:val="000000"/>
                <w:spacing w:val="0"/>
                <w:w w:val="100"/>
                <w:position w:val="0"/>
                <w:sz w:val="18"/>
                <w:szCs w:val="18"/>
              </w:rPr>
              <w:t>TANG Chi Chun</w:t>
            </w:r>
            <w:r>
              <w:rPr>
                <w:color w:val="000000"/>
                <w:spacing w:val="0"/>
                <w:w w:val="100"/>
                <w:position w:val="0"/>
              </w:rPr>
              <w:t>)、</w:t>
            </w:r>
            <w:r>
              <w:rPr>
                <w:color w:val="000000"/>
                <w:spacing w:val="0"/>
                <w:w w:val="100"/>
                <w:position w:val="0"/>
              </w:rPr>
              <w:t>刘诚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LIU Cheng</w:t>
            </w:r>
            <w:r>
              <w:rPr>
                <w:color w:val="000000"/>
                <w:spacing w:val="0"/>
                <w:w w:val="100"/>
                <w:position w:val="0"/>
              </w:rPr>
              <w:t>)、叶冠寰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 Kun Wan</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399</w:t>
            </w:r>
            <w:r>
              <w:rPr>
                <w:color w:val="000000"/>
                <w:spacing w:val="0"/>
                <w:w w:val="100"/>
                <w:position w:val="0"/>
              </w:rPr>
              <w:t>股普通股，每股 港币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6</w:t>
      </w:r>
      <w:bookmarkEnd w:id="705"/>
      <w:r>
        <w:rPr>
          <w:color w:val="000000"/>
          <w:spacing w:val="0"/>
          <w:w w:val="100"/>
          <w:position w:val="0"/>
        </w:rPr>
        <w:t>、控股股东、实际控制人、重组方及其他承诺主体股份限制减持情况</w:t>
      </w:r>
      <w:bookmarkEnd w:id="703"/>
      <w:bookmarkEnd w:id="704"/>
      <w:bookmarkEnd w:id="706"/>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sz w:val="24"/>
          <w:szCs w:val="24"/>
        </w:rPr>
        <w:t>四</w:t>
      </w:r>
      <w:bookmarkEnd w:id="709"/>
      <w:r>
        <w:rPr>
          <w:color w:val="000000"/>
          <w:spacing w:val="0"/>
          <w:w w:val="100"/>
          <w:position w:val="0"/>
          <w:sz w:val="24"/>
          <w:szCs w:val="24"/>
        </w:rPr>
        <w:t>、股份回购在报告期的具体实施情况</w:t>
      </w:r>
      <w:bookmarkEnd w:id="707"/>
      <w:bookmarkEnd w:id="708"/>
      <w:bookmarkEnd w:id="71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2"/>
        <w:keepNext w:val="0"/>
        <w:keepLines w:val="0"/>
        <w:widowControl w:val="0"/>
        <w:numPr>
          <w:ilvl w:val="0"/>
          <w:numId w:val="9"/>
        </w:numPr>
        <w:shd w:val="clear" w:color="auto" w:fill="auto"/>
        <w:tabs>
          <w:tab w:pos="282" w:val="left"/>
        </w:tabs>
        <w:bidi w:val="0"/>
        <w:spacing w:before="0" w:after="140" w:line="240" w:lineRule="auto"/>
        <w:ind w:left="0" w:right="0" w:firstLine="0"/>
        <w:jc w:val="both"/>
      </w:pPr>
      <w:bookmarkStart w:id="711" w:name="bookmark711"/>
      <w:bookmarkEnd w:id="71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2"/>
        <w:keepNext w:val="0"/>
        <w:keepLines w:val="0"/>
        <w:widowControl w:val="0"/>
        <w:numPr>
          <w:ilvl w:val="0"/>
          <w:numId w:val="9"/>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1143" w:right="1125" w:bottom="1471" w:left="1069" w:header="0" w:footer="3" w:gutter="0"/>
          <w:cols w:space="720"/>
          <w:noEndnote/>
          <w:rtlGutter w:val="0"/>
          <w:docGrid w:linePitch="360"/>
        </w:sectPr>
      </w:pPr>
      <w:bookmarkStart w:id="712" w:name="bookmark712"/>
      <w:bookmarkEnd w:id="7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713" w:name="bookmark713"/>
                            <w:bookmarkStart w:id="714" w:name="bookmark714"/>
                            <w:bookmarkStart w:id="715" w:name="bookmark715"/>
                            <w:r>
                              <w:rPr>
                                <w:color w:val="000000"/>
                                <w:spacing w:val="0"/>
                                <w:w w:val="100"/>
                                <w:position w:val="0"/>
                              </w:rPr>
                              <w:t>第八节优先股相关情况</w:t>
                            </w:r>
                            <w:bookmarkEnd w:id="713"/>
                            <w:bookmarkEnd w:id="714"/>
                            <w:bookmarkEnd w:id="715"/>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713" w:name="bookmark713"/>
                      <w:bookmarkStart w:id="714" w:name="bookmark714"/>
                      <w:bookmarkStart w:id="715" w:name="bookmark715"/>
                      <w:r>
                        <w:rPr>
                          <w:color w:val="000000"/>
                          <w:spacing w:val="0"/>
                          <w:w w:val="100"/>
                          <w:position w:val="0"/>
                        </w:rPr>
                        <w:t>第八节优先股相关情况</w:t>
                      </w:r>
                      <w:bookmarkEnd w:id="713"/>
                      <w:bookmarkEnd w:id="714"/>
                      <w:bookmarkEnd w:id="715"/>
                    </w:p>
                  </w:txbxContent>
                </v:textbox>
                <w10:wrap type="topAndBottom" anchorx="page"/>
              </v:shape>
            </w:pict>
          </mc:Fallback>
        </mc:AlternateContent>
      </w:r>
    </w:p>
    <w:p>
      <w:pPr>
        <w:pStyle w:val="Style22"/>
        <w:keepNext w:val="0"/>
        <w:keepLines w:val="0"/>
        <w:widowControl w:val="0"/>
        <w:shd w:val="clear" w:color="auto" w:fill="auto"/>
        <w:bidi w:val="0"/>
        <w:spacing w:before="0" w:after="140" w:line="240" w:lineRule="auto"/>
        <w:ind w:left="0" w:right="0" w:firstLine="0"/>
        <w:jc w:val="left"/>
      </w:pPr>
      <w:bookmarkStart w:id="716" w:name="bookmark71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16"/>
    </w:p>
    <w:p>
      <w:pPr>
        <w:pStyle w:val="Style2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43" w:bottom="1162" w:left="1114" w:header="0" w:footer="3" w:gutter="0"/>
          <w:cols w:space="720"/>
          <w:noEndnote/>
          <w:rtlGutter w:val="0"/>
          <w:docGrid w:linePitch="360"/>
        </w:sectPr>
      </w:pPr>
    </w:p>
    <w:p>
      <w:pPr>
        <w:pStyle w:val="Style22"/>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717" w:name="bookmark71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17"/>
    </w:p>
    <w:p>
      <w:pPr>
        <w:pStyle w:val="Style8"/>
        <w:keepNext/>
        <w:keepLines/>
        <w:framePr w:w="3091" w:h="389" w:wrap="none" w:vAnchor="text" w:hAnchor="page" w:x="4403" w:y="21"/>
        <w:widowControl w:val="0"/>
        <w:shd w:val="clear" w:color="auto" w:fill="auto"/>
        <w:bidi w:val="0"/>
        <w:spacing w:before="0" w:after="0" w:line="240" w:lineRule="auto"/>
        <w:ind w:left="0" w:right="0" w:firstLine="0"/>
        <w:jc w:val="center"/>
      </w:pPr>
      <w:bookmarkStart w:id="718" w:name="bookmark718"/>
      <w:bookmarkStart w:id="719" w:name="bookmark719"/>
      <w:bookmarkStart w:id="720" w:name="bookmark720"/>
      <w:r>
        <w:rPr>
          <w:color w:val="000000"/>
          <w:spacing w:val="0"/>
          <w:w w:val="100"/>
          <w:position w:val="0"/>
        </w:rPr>
        <w:t>第九节债券相关情况</w:t>
      </w:r>
      <w:bookmarkEnd w:id="718"/>
      <w:bookmarkEnd w:id="719"/>
      <w:bookmarkEnd w:id="720"/>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43" w:bottom="1162" w:left="1114" w:header="0" w:footer="3" w:gutter="0"/>
          <w:cols w:space="720"/>
          <w:noEndnote/>
          <w:rtlGutter w:val="0"/>
          <w:docGrid w:linePitch="360"/>
        </w:sectPr>
      </w:pPr>
    </w:p>
    <w:p>
      <w:pPr>
        <w:pStyle w:val="Style8"/>
        <w:keepNext/>
        <w:keepLines/>
        <w:widowControl w:val="0"/>
        <w:shd w:val="clear" w:color="auto" w:fill="auto"/>
        <w:bidi w:val="0"/>
        <w:spacing w:before="540" w:after="540" w:line="240" w:lineRule="auto"/>
        <w:ind w:left="0" w:right="0" w:firstLine="0"/>
        <w:jc w:val="center"/>
      </w:pPr>
      <w:bookmarkStart w:id="721" w:name="bookmark721"/>
      <w:bookmarkStart w:id="722" w:name="bookmark722"/>
      <w:bookmarkStart w:id="723" w:name="bookmark723"/>
      <w:r>
        <w:rPr>
          <w:color w:val="000000"/>
          <w:spacing w:val="0"/>
          <w:w w:val="100"/>
          <w:position w:val="0"/>
        </w:rPr>
        <w:t>第十节财务报告</w:t>
      </w:r>
      <w:bookmarkEnd w:id="721"/>
      <w:bookmarkEnd w:id="722"/>
      <w:bookmarkEnd w:id="723"/>
    </w:p>
    <w:p>
      <w:pPr>
        <w:pStyle w:val="Style27"/>
        <w:keepNext/>
        <w:keepLines/>
        <w:widowControl w:val="0"/>
        <w:shd w:val="clear" w:color="auto" w:fill="auto"/>
        <w:bidi w:val="0"/>
        <w:spacing w:before="0" w:line="240" w:lineRule="auto"/>
        <w:ind w:left="0" w:right="0" w:firstLine="240"/>
        <w:jc w:val="left"/>
      </w:pPr>
      <w:bookmarkStart w:id="724" w:name="bookmark724"/>
      <w:bookmarkStart w:id="725" w:name="bookmark725"/>
      <w:bookmarkStart w:id="726" w:name="bookmark726"/>
      <w:bookmarkStart w:id="727" w:name="bookmark727"/>
      <w:r>
        <w:rPr>
          <w:color w:val="000000"/>
          <w:spacing w:val="0"/>
          <w:w w:val="100"/>
          <w:position w:val="0"/>
          <w:sz w:val="24"/>
          <w:szCs w:val="24"/>
        </w:rPr>
        <w:t>、审计报告</w:t>
      </w:r>
      <w:bookmarkEnd w:id="725"/>
      <w:bookmarkEnd w:id="726"/>
      <w:bookmarkEnd w:id="727"/>
      <w:bookmarkEnd w:id="72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中汇会审</w:t>
            </w:r>
            <w:r>
              <w:rPr>
                <w:rFonts w:ascii="Times New Roman" w:eastAsia="Times New Roman" w:hAnsi="Times New Roman" w:cs="Times New Roman"/>
                <w:color w:val="000000"/>
                <w:spacing w:val="0"/>
                <w:w w:val="100"/>
                <w:position w:val="0"/>
                <w:sz w:val="18"/>
                <w:szCs w:val="18"/>
              </w:rPr>
              <w:t>[2022]2971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胡健、高丹丹</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2"/>
        <w:keepNext w:val="0"/>
        <w:keepLines w:val="0"/>
        <w:widowControl w:val="0"/>
        <w:shd w:val="clear" w:color="auto" w:fill="auto"/>
        <w:bidi w:val="0"/>
        <w:spacing w:before="0" w:after="380" w:line="314" w:lineRule="exact"/>
        <w:ind w:left="0" w:right="0"/>
        <w:jc w:val="left"/>
      </w:pPr>
      <w:r>
        <w:rPr>
          <w:color w:val="000000"/>
          <w:spacing w:val="0"/>
          <w:w w:val="100"/>
          <w:position w:val="0"/>
        </w:rPr>
        <w:t>软通动力信息技术（集团）股份有限公司全体股东：</w:t>
      </w:r>
    </w:p>
    <w:p>
      <w:pPr>
        <w:pStyle w:val="Style22"/>
        <w:keepNext w:val="0"/>
        <w:keepLines w:val="0"/>
        <w:widowControl w:val="0"/>
        <w:shd w:val="clear" w:color="auto" w:fill="auto"/>
        <w:tabs>
          <w:tab w:pos="795" w:val="left"/>
        </w:tabs>
        <w:bidi w:val="0"/>
        <w:spacing w:before="0" w:after="0" w:line="314" w:lineRule="exact"/>
        <w:ind w:left="0" w:right="0"/>
        <w:jc w:val="both"/>
      </w:pPr>
      <w:bookmarkStart w:id="728" w:name="bookmark728"/>
      <w:r>
        <w:rPr>
          <w:color w:val="000000"/>
          <w:spacing w:val="0"/>
          <w:w w:val="100"/>
          <w:position w:val="0"/>
        </w:rPr>
        <w:t>一</w:t>
      </w:r>
      <w:bookmarkEnd w:id="728"/>
      <w:r>
        <w:rPr>
          <w:color w:val="000000"/>
          <w:spacing w:val="0"/>
          <w:w w:val="100"/>
          <w:position w:val="0"/>
        </w:rPr>
        <w:t>、</w:t>
        <w:tab/>
        <w:t>审计意见</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我们审计了软通动力信息技术（集团）股份有限公司（以下简称软通动力公司）财务报表，包括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 母公司资产负债表，</w:t>
      </w:r>
      <w:r>
        <w:rPr>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年度的合并及母公司利润表、合并及母公司现金流量表、合并及母公司所有者权益变动表以及财务 报表附注。</w:t>
      </w:r>
    </w:p>
    <w:p>
      <w:pPr>
        <w:pStyle w:val="Style22"/>
        <w:keepNext w:val="0"/>
        <w:keepLines w:val="0"/>
        <w:widowControl w:val="0"/>
        <w:shd w:val="clear" w:color="auto" w:fill="auto"/>
        <w:bidi w:val="0"/>
        <w:spacing w:before="0" w:after="380" w:line="307" w:lineRule="exact"/>
        <w:ind w:left="0" w:right="0"/>
        <w:jc w:val="both"/>
      </w:pPr>
      <w:r>
        <w:rPr>
          <w:color w:val="000000"/>
          <w:spacing w:val="0"/>
          <w:w w:val="100"/>
          <w:position w:val="0"/>
        </w:rPr>
        <w:t>我们认为，后附的财务报表在所有重大方面按照企业会计准则的规定编制，公允反映了软通动力公司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 合并及母公司财务状况以及</w:t>
      </w:r>
      <w:r>
        <w:rPr>
          <w:color w:val="000000"/>
          <w:spacing w:val="0"/>
          <w:w w:val="100"/>
          <w:position w:val="0"/>
          <w:sz w:val="18"/>
          <w:szCs w:val="18"/>
        </w:rPr>
        <w:t>2021</w:t>
      </w:r>
      <w:r>
        <w:rPr>
          <w:color w:val="000000"/>
          <w:spacing w:val="0"/>
          <w:w w:val="100"/>
          <w:position w:val="0"/>
        </w:rPr>
        <w:t>年度的合并及母公司经营成果和现金流量。</w:t>
      </w:r>
    </w:p>
    <w:p>
      <w:pPr>
        <w:pStyle w:val="Style22"/>
        <w:keepNext w:val="0"/>
        <w:keepLines w:val="0"/>
        <w:widowControl w:val="0"/>
        <w:shd w:val="clear" w:color="auto" w:fill="auto"/>
        <w:tabs>
          <w:tab w:pos="795" w:val="left"/>
        </w:tabs>
        <w:bidi w:val="0"/>
        <w:spacing w:before="0" w:after="0" w:line="314" w:lineRule="exact"/>
        <w:ind w:left="0" w:right="0"/>
        <w:jc w:val="both"/>
      </w:pPr>
      <w:bookmarkStart w:id="729" w:name="bookmark729"/>
      <w:r>
        <w:rPr>
          <w:color w:val="000000"/>
          <w:spacing w:val="0"/>
          <w:w w:val="100"/>
          <w:position w:val="0"/>
        </w:rPr>
        <w:t>二</w:t>
      </w:r>
      <w:bookmarkEnd w:id="729"/>
      <w:r>
        <w:rPr>
          <w:color w:val="000000"/>
          <w:spacing w:val="0"/>
          <w:w w:val="100"/>
          <w:position w:val="0"/>
        </w:rPr>
        <w:t>、</w:t>
        <w:tab/>
        <w:t>形成审计意见的基础</w:t>
      </w:r>
    </w:p>
    <w:p>
      <w:pPr>
        <w:pStyle w:val="Style22"/>
        <w:keepNext w:val="0"/>
        <w:keepLines w:val="0"/>
        <w:widowControl w:val="0"/>
        <w:shd w:val="clear" w:color="auto" w:fill="auto"/>
        <w:bidi w:val="0"/>
        <w:spacing w:before="0" w:after="380" w:line="314"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步阐述了我们在这些准则下的责任。按照中国注册会计师职业道德守则，我们独立于软通动力公司，并履行了职业道德方面 的其他责任。我们相信，我们获取的审计证据是充分、适当的，为发表审计意见提供了基础。</w:t>
      </w:r>
    </w:p>
    <w:p>
      <w:pPr>
        <w:pStyle w:val="Style22"/>
        <w:keepNext w:val="0"/>
        <w:keepLines w:val="0"/>
        <w:widowControl w:val="0"/>
        <w:shd w:val="clear" w:color="auto" w:fill="auto"/>
        <w:tabs>
          <w:tab w:pos="795" w:val="left"/>
        </w:tabs>
        <w:bidi w:val="0"/>
        <w:spacing w:before="0" w:after="0" w:line="314" w:lineRule="exact"/>
        <w:ind w:left="0" w:right="0"/>
        <w:jc w:val="both"/>
      </w:pPr>
      <w:bookmarkStart w:id="730" w:name="bookmark730"/>
      <w:r>
        <w:rPr>
          <w:color w:val="000000"/>
          <w:spacing w:val="0"/>
          <w:w w:val="100"/>
          <w:position w:val="0"/>
        </w:rPr>
        <w:t>三</w:t>
      </w:r>
      <w:bookmarkEnd w:id="730"/>
      <w:r>
        <w:rPr>
          <w:color w:val="000000"/>
          <w:spacing w:val="0"/>
          <w:w w:val="100"/>
          <w:position w:val="0"/>
        </w:rPr>
        <w:t>、</w:t>
        <w:tab/>
        <w:t>关键审计事项</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22"/>
        <w:keepNext w:val="0"/>
        <w:keepLines w:val="0"/>
        <w:widowControl w:val="0"/>
        <w:shd w:val="clear" w:color="auto" w:fill="auto"/>
        <w:bidi w:val="0"/>
        <w:spacing w:before="0" w:after="380" w:line="314" w:lineRule="exact"/>
        <w:ind w:left="0" w:right="0"/>
        <w:jc w:val="both"/>
      </w:pPr>
      <w:r>
        <w:rPr>
          <w:color w:val="000000"/>
          <w:spacing w:val="0"/>
          <w:w w:val="100"/>
          <w:position w:val="0"/>
        </w:rPr>
        <w:t>我们在审计中识别出的关键审计事项汇总如下：</w:t>
      </w:r>
    </w:p>
    <w:p>
      <w:pPr>
        <w:pStyle w:val="Style37"/>
        <w:keepNext/>
        <w:keepLines/>
        <w:widowControl w:val="0"/>
        <w:shd w:val="clear" w:color="auto" w:fill="auto"/>
        <w:bidi w:val="0"/>
        <w:spacing w:before="0" w:after="0" w:line="314" w:lineRule="exact"/>
        <w:ind w:left="0" w:right="0" w:firstLine="360"/>
        <w:jc w:val="both"/>
      </w:pPr>
      <w:bookmarkStart w:id="731" w:name="bookmark731"/>
      <w:bookmarkStart w:id="732" w:name="bookmark732"/>
      <w:bookmarkStart w:id="733" w:name="bookmark733"/>
      <w:bookmarkStart w:id="734" w:name="bookmark734"/>
      <w:r>
        <w:rPr>
          <w:color w:val="000000"/>
          <w:spacing w:val="0"/>
          <w:w w:val="100"/>
          <w:position w:val="0"/>
        </w:rPr>
        <w:t>（</w:t>
      </w:r>
      <w:bookmarkEnd w:id="733"/>
      <w:r>
        <w:rPr>
          <w:color w:val="000000"/>
          <w:spacing w:val="0"/>
          <w:w w:val="100"/>
          <w:position w:val="0"/>
        </w:rPr>
        <w:t>一）营业收入的确认与计量</w:t>
      </w:r>
      <w:bookmarkEnd w:id="731"/>
      <w:bookmarkEnd w:id="732"/>
      <w:bookmarkEnd w:id="734"/>
    </w:p>
    <w:p>
      <w:pPr>
        <w:pStyle w:val="Style22"/>
        <w:keepNext w:val="0"/>
        <w:keepLines w:val="0"/>
        <w:widowControl w:val="0"/>
        <w:shd w:val="clear" w:color="auto" w:fill="auto"/>
        <w:tabs>
          <w:tab w:pos="694" w:val="left"/>
        </w:tabs>
        <w:bidi w:val="0"/>
        <w:spacing w:before="0" w:after="0" w:line="314" w:lineRule="exact"/>
        <w:ind w:left="0" w:right="0"/>
        <w:jc w:val="both"/>
      </w:pPr>
      <w:bookmarkStart w:id="735" w:name="bookmark735"/>
      <w:r>
        <w:rPr>
          <w:color w:val="000000"/>
          <w:spacing w:val="0"/>
          <w:w w:val="100"/>
          <w:position w:val="0"/>
          <w:sz w:val="18"/>
          <w:szCs w:val="18"/>
        </w:rPr>
        <w:t>1</w:t>
      </w:r>
      <w:bookmarkEnd w:id="735"/>
      <w:r>
        <w:rPr>
          <w:color w:val="000000"/>
          <w:spacing w:val="0"/>
          <w:w w:val="100"/>
          <w:position w:val="0"/>
        </w:rPr>
        <w:t>、</w:t>
        <w:tab/>
        <w:t>事项描述</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收入确认会计政策详情及分析请参阅财务报表附注“三、主要会计政策和会计估计”注释（三十二）所述及“五、合并财 务报表项目注释”注释（三十九）。软通动力公司</w:t>
      </w:r>
      <w:r>
        <w:rPr>
          <w:color w:val="000000"/>
          <w:spacing w:val="0"/>
          <w:w w:val="100"/>
          <w:position w:val="0"/>
          <w:sz w:val="18"/>
          <w:szCs w:val="18"/>
        </w:rPr>
        <w:t>2021</w:t>
      </w:r>
      <w:r>
        <w:rPr>
          <w:color w:val="000000"/>
          <w:spacing w:val="0"/>
          <w:w w:val="100"/>
          <w:position w:val="0"/>
        </w:rPr>
        <w:t>年度营业收入为人民币</w:t>
      </w:r>
      <w:r>
        <w:rPr>
          <w:color w:val="000000"/>
          <w:spacing w:val="0"/>
          <w:w w:val="100"/>
          <w:position w:val="0"/>
          <w:sz w:val="18"/>
          <w:szCs w:val="18"/>
        </w:rPr>
        <w:t xml:space="preserve">1, 662, </w:t>
      </w:r>
      <w:r>
        <w:rPr>
          <w:color w:val="000000"/>
          <w:spacing w:val="0"/>
          <w:w w:val="100"/>
          <w:position w:val="0"/>
          <w:sz w:val="18"/>
          <w:szCs w:val="18"/>
        </w:rPr>
        <w:t xml:space="preserve">320. </w:t>
      </w:r>
      <w:r>
        <w:rPr>
          <w:color w:val="000000"/>
          <w:spacing w:val="0"/>
          <w:w w:val="100"/>
          <w:position w:val="0"/>
          <w:sz w:val="18"/>
          <w:szCs w:val="18"/>
        </w:rPr>
        <w:t>87</w:t>
      </w:r>
      <w:r>
        <w:rPr>
          <w:color w:val="000000"/>
          <w:spacing w:val="0"/>
          <w:w w:val="100"/>
          <w:position w:val="0"/>
        </w:rPr>
        <w:t>万元。由于营业收入是软通动力的 关键财务指标之一，存在管理层为了达到特定目标或期望而调节收入的固有风险，因此我们将营业收入的确认与计量确定为 关键审计事项。</w:t>
      </w:r>
    </w:p>
    <w:p>
      <w:pPr>
        <w:pStyle w:val="Style22"/>
        <w:keepNext w:val="0"/>
        <w:keepLines w:val="0"/>
        <w:widowControl w:val="0"/>
        <w:shd w:val="clear" w:color="auto" w:fill="auto"/>
        <w:tabs>
          <w:tab w:pos="704" w:val="left"/>
        </w:tabs>
        <w:bidi w:val="0"/>
        <w:spacing w:before="0" w:after="0" w:line="314" w:lineRule="exact"/>
        <w:ind w:left="0" w:right="0"/>
        <w:jc w:val="both"/>
      </w:pPr>
      <w:bookmarkStart w:id="736" w:name="bookmark736"/>
      <w:r>
        <w:rPr>
          <w:color w:val="000000"/>
          <w:spacing w:val="0"/>
          <w:w w:val="100"/>
          <w:position w:val="0"/>
          <w:sz w:val="18"/>
          <w:szCs w:val="18"/>
        </w:rPr>
        <w:t>2</w:t>
      </w:r>
      <w:bookmarkEnd w:id="736"/>
      <w:r>
        <w:rPr>
          <w:color w:val="000000"/>
          <w:spacing w:val="0"/>
          <w:w w:val="100"/>
          <w:position w:val="0"/>
        </w:rPr>
        <w:t>、</w:t>
        <w:tab/>
        <w:t>审计应对</w:t>
      </w:r>
    </w:p>
    <w:p>
      <w:pPr>
        <w:pStyle w:val="Style22"/>
        <w:keepNext w:val="0"/>
        <w:keepLines w:val="0"/>
        <w:widowControl w:val="0"/>
        <w:shd w:val="clear" w:color="auto" w:fill="auto"/>
        <w:bidi w:val="0"/>
        <w:spacing w:before="0" w:after="0" w:line="314" w:lineRule="exact"/>
        <w:ind w:left="0" w:right="0"/>
        <w:jc w:val="both"/>
      </w:pPr>
      <w:r>
        <w:rPr>
          <w:color w:val="000000"/>
          <w:spacing w:val="0"/>
          <w:w w:val="100"/>
          <w:position w:val="0"/>
        </w:rPr>
        <w:t>我们对营业收入的确认与计量实施的审计程序主要包括：</w:t>
      </w:r>
    </w:p>
    <w:p>
      <w:pPr>
        <w:pStyle w:val="Style22"/>
        <w:keepNext w:val="0"/>
        <w:keepLines w:val="0"/>
        <w:widowControl w:val="0"/>
        <w:shd w:val="clear" w:color="auto" w:fill="auto"/>
        <w:bidi w:val="0"/>
        <w:spacing w:before="0" w:after="0" w:line="314" w:lineRule="exact"/>
        <w:ind w:left="0" w:right="0"/>
        <w:jc w:val="both"/>
      </w:pPr>
      <w:bookmarkStart w:id="737" w:name="bookmark737"/>
      <w:r>
        <w:rPr>
          <w:color w:val="000000"/>
          <w:spacing w:val="0"/>
          <w:w w:val="100"/>
          <w:position w:val="0"/>
          <w:sz w:val="18"/>
          <w:szCs w:val="18"/>
        </w:rPr>
        <w:t>（</w:t>
      </w:r>
      <w:bookmarkEnd w:id="737"/>
      <w:r>
        <w:rPr>
          <w:color w:val="000000"/>
          <w:spacing w:val="0"/>
          <w:w w:val="100"/>
          <w:position w:val="0"/>
          <w:sz w:val="18"/>
          <w:szCs w:val="18"/>
        </w:rPr>
        <w:t>1）</w:t>
      </w:r>
      <w:r>
        <w:rPr>
          <w:color w:val="000000"/>
          <w:spacing w:val="0"/>
          <w:w w:val="100"/>
          <w:position w:val="0"/>
        </w:rPr>
        <w:t>了解、评估并测试了公司与收入确认相关的流程以及管理层关键内部控制，并评价这些内部控制的设计和运行有</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效性；</w:t>
      </w:r>
    </w:p>
    <w:p>
      <w:pPr>
        <w:pStyle w:val="Style22"/>
        <w:keepNext w:val="0"/>
        <w:keepLines w:val="0"/>
        <w:widowControl w:val="0"/>
        <w:shd w:val="clear" w:color="auto" w:fill="auto"/>
        <w:tabs>
          <w:tab w:pos="905" w:val="left"/>
        </w:tabs>
        <w:bidi w:val="0"/>
        <w:spacing w:before="0" w:after="0" w:line="322" w:lineRule="exact"/>
        <w:ind w:left="0" w:right="0" w:firstLine="380"/>
        <w:jc w:val="both"/>
      </w:pPr>
      <w:bookmarkStart w:id="738" w:name="bookmark738"/>
      <w:r>
        <w:rPr>
          <w:color w:val="000000"/>
          <w:spacing w:val="0"/>
          <w:w w:val="100"/>
          <w:position w:val="0"/>
          <w:sz w:val="18"/>
          <w:szCs w:val="18"/>
        </w:rPr>
        <w:t>（</w:t>
      </w:r>
      <w:bookmarkEnd w:id="738"/>
      <w:r>
        <w:rPr>
          <w:color w:val="000000"/>
          <w:spacing w:val="0"/>
          <w:w w:val="100"/>
          <w:position w:val="0"/>
          <w:sz w:val="18"/>
          <w:szCs w:val="18"/>
        </w:rPr>
        <w:t>2）</w:t>
        <w:tab/>
      </w:r>
      <w:r>
        <w:rPr>
          <w:color w:val="000000"/>
          <w:spacing w:val="0"/>
          <w:w w:val="100"/>
          <w:position w:val="0"/>
        </w:rPr>
        <w:t>通过查阅销售合同和验收单等文件，对与收入确认有关的主要风险和报酬/控制权转移时点进行了分析，评价收入 确认方法和时点是否满足企业会计准则的要求，并对比分析同行业上市公司的会计政策；</w:t>
      </w:r>
    </w:p>
    <w:p>
      <w:pPr>
        <w:pStyle w:val="Style22"/>
        <w:keepNext w:val="0"/>
        <w:keepLines w:val="0"/>
        <w:widowControl w:val="0"/>
        <w:shd w:val="clear" w:color="auto" w:fill="auto"/>
        <w:tabs>
          <w:tab w:pos="824" w:val="left"/>
        </w:tabs>
        <w:bidi w:val="0"/>
        <w:spacing w:before="0" w:after="0" w:line="322" w:lineRule="exact"/>
        <w:ind w:left="0" w:right="0" w:firstLine="380"/>
        <w:jc w:val="both"/>
      </w:pPr>
      <w:bookmarkStart w:id="739" w:name="bookmark739"/>
      <w:r>
        <w:rPr>
          <w:color w:val="000000"/>
          <w:spacing w:val="0"/>
          <w:w w:val="100"/>
          <w:position w:val="0"/>
          <w:sz w:val="18"/>
          <w:szCs w:val="18"/>
        </w:rPr>
        <w:t>（</w:t>
      </w:r>
      <w:bookmarkEnd w:id="739"/>
      <w:r>
        <w:rPr>
          <w:color w:val="000000"/>
          <w:spacing w:val="0"/>
          <w:w w:val="100"/>
          <w:position w:val="0"/>
          <w:sz w:val="18"/>
          <w:szCs w:val="18"/>
        </w:rPr>
        <w:t>3）</w:t>
        <w:tab/>
      </w:r>
      <w:r>
        <w:rPr>
          <w:color w:val="000000"/>
          <w:spacing w:val="0"/>
          <w:w w:val="100"/>
          <w:position w:val="0"/>
        </w:rPr>
        <w:t>根据不同业务类别、销售客户、同行业公司等维度，执行分析性程序，评估销售收入和毛利率变动的合理性；</w:t>
      </w:r>
    </w:p>
    <w:p>
      <w:pPr>
        <w:pStyle w:val="Style22"/>
        <w:keepNext w:val="0"/>
        <w:keepLines w:val="0"/>
        <w:widowControl w:val="0"/>
        <w:shd w:val="clear" w:color="auto" w:fill="auto"/>
        <w:tabs>
          <w:tab w:pos="900" w:val="left"/>
        </w:tabs>
        <w:bidi w:val="0"/>
        <w:spacing w:before="0" w:after="0" w:line="317" w:lineRule="exact"/>
        <w:ind w:left="0" w:right="0" w:firstLine="38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4）</w:t>
        <w:tab/>
      </w:r>
      <w:r>
        <w:rPr>
          <w:color w:val="000000"/>
          <w:spacing w:val="0"/>
          <w:w w:val="100"/>
          <w:position w:val="0"/>
        </w:rPr>
        <w:t>执行细节测试，选取样本检查与收入确认相关的外部及内部证据等支持性资料，外部证据主要包括：中标或入场通 知书、销售合同、工作说明书、验收报告或结算确认单等，内部证据主要包括:项目立项审批资料、员工工时记录、收入提 报单、结项审批资料等，评价收入确认原则的合理性和收入的真实性、准确性；</w:t>
      </w:r>
    </w:p>
    <w:p>
      <w:pPr>
        <w:pStyle w:val="Style22"/>
        <w:keepNext w:val="0"/>
        <w:keepLines w:val="0"/>
        <w:widowControl w:val="0"/>
        <w:shd w:val="clear" w:color="auto" w:fill="auto"/>
        <w:tabs>
          <w:tab w:pos="824" w:val="left"/>
        </w:tabs>
        <w:bidi w:val="0"/>
        <w:spacing w:before="0" w:after="0" w:line="317" w:lineRule="exact"/>
        <w:ind w:left="0" w:right="0" w:firstLine="380"/>
        <w:jc w:val="both"/>
      </w:pPr>
      <w:bookmarkStart w:id="741" w:name="bookmark741"/>
      <w:r>
        <w:rPr>
          <w:color w:val="000000"/>
          <w:spacing w:val="0"/>
          <w:w w:val="100"/>
          <w:position w:val="0"/>
          <w:sz w:val="18"/>
          <w:szCs w:val="18"/>
        </w:rPr>
        <w:t>（</w:t>
      </w:r>
      <w:bookmarkEnd w:id="741"/>
      <w:r>
        <w:rPr>
          <w:color w:val="000000"/>
          <w:spacing w:val="0"/>
          <w:w w:val="100"/>
          <w:position w:val="0"/>
          <w:sz w:val="18"/>
          <w:szCs w:val="18"/>
        </w:rPr>
        <w:t>5）</w:t>
        <w:tab/>
      </w:r>
      <w:r>
        <w:rPr>
          <w:color w:val="000000"/>
          <w:spacing w:val="0"/>
          <w:w w:val="100"/>
          <w:position w:val="0"/>
        </w:rPr>
        <w:t>执行函证程序，向主要客户函证收入的发生额和应收账款的余额，检查已确认的收入的真实性及准确性；</w:t>
      </w:r>
    </w:p>
    <w:p>
      <w:pPr>
        <w:pStyle w:val="Style22"/>
        <w:keepNext w:val="0"/>
        <w:keepLines w:val="0"/>
        <w:widowControl w:val="0"/>
        <w:shd w:val="clear" w:color="auto" w:fill="auto"/>
        <w:tabs>
          <w:tab w:pos="886" w:val="left"/>
        </w:tabs>
        <w:bidi w:val="0"/>
        <w:spacing w:before="0" w:after="0" w:line="322" w:lineRule="exact"/>
        <w:ind w:left="0" w:right="0" w:firstLine="380"/>
        <w:jc w:val="both"/>
      </w:pPr>
      <w:bookmarkStart w:id="742" w:name="bookmark742"/>
      <w:r>
        <w:rPr>
          <w:color w:val="000000"/>
          <w:spacing w:val="0"/>
          <w:w w:val="100"/>
          <w:position w:val="0"/>
          <w:sz w:val="18"/>
          <w:szCs w:val="18"/>
        </w:rPr>
        <w:t>（</w:t>
      </w:r>
      <w:bookmarkEnd w:id="742"/>
      <w:r>
        <w:rPr>
          <w:color w:val="000000"/>
          <w:spacing w:val="0"/>
          <w:w w:val="100"/>
          <w:position w:val="0"/>
          <w:sz w:val="18"/>
          <w:szCs w:val="18"/>
        </w:rPr>
        <w:t>6）</w:t>
        <w:tab/>
      </w:r>
      <w:r>
        <w:rPr>
          <w:color w:val="000000"/>
          <w:spacing w:val="0"/>
          <w:w w:val="100"/>
          <w:position w:val="0"/>
        </w:rPr>
        <w:t>针对资产负债表日前后确认的收入选取样本，核对销售合同、客户确认单（验收单），评价收入是否被记录于恰当 的会计期间；</w:t>
      </w:r>
    </w:p>
    <w:p>
      <w:pPr>
        <w:pStyle w:val="Style22"/>
        <w:keepNext w:val="0"/>
        <w:keepLines w:val="0"/>
        <w:widowControl w:val="0"/>
        <w:shd w:val="clear" w:color="auto" w:fill="auto"/>
        <w:tabs>
          <w:tab w:pos="824" w:val="left"/>
        </w:tabs>
        <w:bidi w:val="0"/>
        <w:spacing w:before="0" w:after="380" w:line="322" w:lineRule="exact"/>
        <w:ind w:left="0" w:right="0" w:firstLine="380"/>
        <w:jc w:val="both"/>
      </w:pPr>
      <w:bookmarkStart w:id="743" w:name="bookmark743"/>
      <w:r>
        <w:rPr>
          <w:color w:val="000000"/>
          <w:spacing w:val="0"/>
          <w:w w:val="100"/>
          <w:position w:val="0"/>
          <w:sz w:val="18"/>
          <w:szCs w:val="18"/>
        </w:rPr>
        <w:t>（</w:t>
      </w:r>
      <w:bookmarkEnd w:id="743"/>
      <w:r>
        <w:rPr>
          <w:color w:val="000000"/>
          <w:spacing w:val="0"/>
          <w:w w:val="100"/>
          <w:position w:val="0"/>
          <w:sz w:val="18"/>
          <w:szCs w:val="18"/>
        </w:rPr>
        <w:t>7）</w:t>
        <w:tab/>
      </w:r>
      <w:r>
        <w:rPr>
          <w:color w:val="000000"/>
          <w:spacing w:val="0"/>
          <w:w w:val="100"/>
          <w:position w:val="0"/>
        </w:rPr>
        <w:t>复核营业收入相关信息在财务报表中的列报和披露是否充分。</w:t>
      </w:r>
    </w:p>
    <w:p>
      <w:pPr>
        <w:pStyle w:val="Style37"/>
        <w:keepNext/>
        <w:keepLines/>
        <w:widowControl w:val="0"/>
        <w:shd w:val="clear" w:color="auto" w:fill="auto"/>
        <w:bidi w:val="0"/>
        <w:spacing w:before="0" w:after="0" w:line="317" w:lineRule="exact"/>
        <w:ind w:left="0" w:right="0"/>
        <w:jc w:val="both"/>
      </w:pPr>
      <w:bookmarkStart w:id="744" w:name="bookmark744"/>
      <w:bookmarkStart w:id="745" w:name="bookmark745"/>
      <w:bookmarkStart w:id="746" w:name="bookmark746"/>
      <w:bookmarkStart w:id="747" w:name="bookmark747"/>
      <w:r>
        <w:rPr>
          <w:color w:val="000000"/>
          <w:spacing w:val="0"/>
          <w:w w:val="100"/>
          <w:position w:val="0"/>
        </w:rPr>
        <w:t>（</w:t>
      </w:r>
      <w:bookmarkEnd w:id="746"/>
      <w:r>
        <w:rPr>
          <w:color w:val="000000"/>
          <w:spacing w:val="0"/>
          <w:w w:val="100"/>
          <w:position w:val="0"/>
        </w:rPr>
        <w:t>二）应收款项（含应收账款、应收款项融资中应收账款）减值准备计提</w:t>
      </w:r>
      <w:bookmarkEnd w:id="744"/>
      <w:bookmarkEnd w:id="745"/>
      <w:bookmarkEnd w:id="747"/>
    </w:p>
    <w:p>
      <w:pPr>
        <w:pStyle w:val="Style22"/>
        <w:keepNext w:val="0"/>
        <w:keepLines w:val="0"/>
        <w:widowControl w:val="0"/>
        <w:shd w:val="clear" w:color="auto" w:fill="auto"/>
        <w:tabs>
          <w:tab w:pos="714" w:val="left"/>
        </w:tabs>
        <w:bidi w:val="0"/>
        <w:spacing w:before="0" w:after="0" w:line="317" w:lineRule="exact"/>
        <w:ind w:left="0" w:right="0" w:firstLine="380"/>
        <w:jc w:val="both"/>
      </w:pPr>
      <w:bookmarkStart w:id="748" w:name="bookmark748"/>
      <w:r>
        <w:rPr>
          <w:color w:val="000000"/>
          <w:spacing w:val="0"/>
          <w:w w:val="100"/>
          <w:position w:val="0"/>
          <w:sz w:val="18"/>
          <w:szCs w:val="18"/>
        </w:rPr>
        <w:t>1</w:t>
      </w:r>
      <w:bookmarkEnd w:id="748"/>
      <w:r>
        <w:rPr>
          <w:color w:val="000000"/>
          <w:spacing w:val="0"/>
          <w:w w:val="100"/>
          <w:position w:val="0"/>
        </w:rPr>
        <w:t>、</w:t>
        <w:tab/>
        <w:t>事项描述</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应收款项（含应收账款、应收款项融资中应收账款）坏账准备会计政策详情及分析请参阅财务报表附注“三、主要会计 政策和会计估计”注释（十二）所述及“五、合并财务报表项目注释”注释（三）、</w:t>
      </w:r>
      <w:r>
        <w:rPr>
          <w:color w:val="000000"/>
          <w:spacing w:val="0"/>
          <w:w w:val="100"/>
          <w:position w:val="0"/>
          <w:sz w:val="18"/>
          <w:szCs w:val="18"/>
        </w:rPr>
        <w:t>（</w:t>
      </w:r>
      <w:r>
        <w:rPr>
          <w:color w:val="000000"/>
          <w:spacing w:val="0"/>
          <w:w w:val="100"/>
          <w:position w:val="0"/>
        </w:rPr>
        <w:t>四）。截至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日，软通动力公司 应收款项（含应收账款、应收款项融资中应收账款）账面余额为人民币</w:t>
      </w:r>
      <w:r>
        <w:rPr>
          <w:color w:val="000000"/>
          <w:spacing w:val="0"/>
          <w:w w:val="100"/>
          <w:position w:val="0"/>
          <w:sz w:val="18"/>
          <w:szCs w:val="18"/>
        </w:rPr>
        <w:t xml:space="preserve">489, </w:t>
      </w:r>
      <w:r>
        <w:rPr>
          <w:color w:val="000000"/>
          <w:spacing w:val="0"/>
          <w:w w:val="100"/>
          <w:position w:val="0"/>
          <w:sz w:val="18"/>
          <w:szCs w:val="18"/>
        </w:rPr>
        <w:t>351.94</w:t>
      </w:r>
      <w:r>
        <w:rPr>
          <w:color w:val="000000"/>
          <w:spacing w:val="0"/>
          <w:w w:val="100"/>
          <w:position w:val="0"/>
        </w:rPr>
        <w:t>万元，坏账准备金额为人民币</w:t>
      </w:r>
      <w:r>
        <w:rPr>
          <w:color w:val="000000"/>
          <w:spacing w:val="0"/>
          <w:w w:val="100"/>
          <w:position w:val="0"/>
          <w:sz w:val="18"/>
          <w:szCs w:val="18"/>
        </w:rPr>
        <w:t xml:space="preserve">8,380.60 </w:t>
      </w:r>
      <w:r>
        <w:rPr>
          <w:color w:val="000000"/>
          <w:spacing w:val="0"/>
          <w:w w:val="100"/>
          <w:position w:val="0"/>
        </w:rPr>
        <w:t>万元，账面价值为人民币</w:t>
      </w:r>
      <w:r>
        <w:rPr>
          <w:color w:val="000000"/>
          <w:spacing w:val="0"/>
          <w:w w:val="100"/>
          <w:position w:val="0"/>
          <w:sz w:val="18"/>
          <w:szCs w:val="18"/>
        </w:rPr>
        <w:t xml:space="preserve">480, </w:t>
      </w:r>
      <w:r>
        <w:rPr>
          <w:color w:val="000000"/>
          <w:spacing w:val="0"/>
          <w:w w:val="100"/>
          <w:position w:val="0"/>
          <w:sz w:val="18"/>
          <w:szCs w:val="18"/>
        </w:rPr>
        <w:t>971.34</w:t>
      </w:r>
      <w:r>
        <w:rPr>
          <w:color w:val="000000"/>
          <w:spacing w:val="0"/>
          <w:w w:val="100"/>
          <w:position w:val="0"/>
        </w:rPr>
        <w:t>万元。管理层依据信用风险特征将应收款项（含应收账款、应收款项融资中应收账款） 划分为若干组合，在组合的基础上参考历史信用损失经验，结合当前状况以及前瞻性信息的预测，按照违约风险敞口和整个 存续期预期信用损失率计算预期信用损失，确认坏账准备。</w:t>
      </w:r>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由于应收款项（含应收账款、应收款项融资中应收账款）金额重大及有关估计的固有不确定性，我们将应收款项（含应 收账款、应收款项融资中应收账款）减值计提确定为关键审计事项。</w:t>
      </w:r>
    </w:p>
    <w:p>
      <w:pPr>
        <w:pStyle w:val="Style22"/>
        <w:keepNext w:val="0"/>
        <w:keepLines w:val="0"/>
        <w:widowControl w:val="0"/>
        <w:shd w:val="clear" w:color="auto" w:fill="auto"/>
        <w:tabs>
          <w:tab w:pos="723" w:val="left"/>
        </w:tabs>
        <w:bidi w:val="0"/>
        <w:spacing w:before="0" w:after="0" w:line="317" w:lineRule="exact"/>
        <w:ind w:left="0" w:right="0" w:firstLine="380"/>
        <w:jc w:val="both"/>
      </w:pPr>
      <w:bookmarkStart w:id="749" w:name="bookmark749"/>
      <w:r>
        <w:rPr>
          <w:color w:val="000000"/>
          <w:spacing w:val="0"/>
          <w:w w:val="100"/>
          <w:position w:val="0"/>
          <w:sz w:val="18"/>
          <w:szCs w:val="18"/>
        </w:rPr>
        <w:t>2</w:t>
      </w:r>
      <w:bookmarkEnd w:id="749"/>
      <w:r>
        <w:rPr>
          <w:color w:val="000000"/>
          <w:spacing w:val="0"/>
          <w:w w:val="100"/>
          <w:position w:val="0"/>
        </w:rPr>
        <w:t>、</w:t>
        <w:tab/>
        <w:t>审计应对</w:t>
      </w:r>
    </w:p>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我们对应收款项（含应收账款、应收款项融资中应收账款）减值准备实施的审计程序主要包括：</w:t>
      </w:r>
    </w:p>
    <w:p>
      <w:pPr>
        <w:pStyle w:val="Style22"/>
        <w:keepNext w:val="0"/>
        <w:keepLines w:val="0"/>
        <w:widowControl w:val="0"/>
        <w:shd w:val="clear" w:color="auto" w:fill="auto"/>
        <w:tabs>
          <w:tab w:pos="790" w:val="left"/>
        </w:tabs>
        <w:bidi w:val="0"/>
        <w:spacing w:before="0" w:after="0" w:line="298" w:lineRule="exact"/>
        <w:ind w:left="0" w:right="0" w:firstLine="380"/>
        <w:jc w:val="both"/>
      </w:pPr>
      <w:bookmarkStart w:id="750" w:name="bookmark750"/>
      <w:r>
        <w:rPr>
          <w:color w:val="000000"/>
          <w:spacing w:val="0"/>
          <w:w w:val="100"/>
          <w:position w:val="0"/>
          <w:sz w:val="18"/>
          <w:szCs w:val="18"/>
        </w:rPr>
        <w:t>（</w:t>
      </w:r>
      <w:bookmarkEnd w:id="750"/>
      <w:r>
        <w:rPr>
          <w:color w:val="000000"/>
          <w:spacing w:val="0"/>
          <w:w w:val="100"/>
          <w:position w:val="0"/>
          <w:sz w:val="18"/>
          <w:szCs w:val="18"/>
        </w:rPr>
        <w:t>1）</w:t>
        <w:tab/>
      </w:r>
      <w:r>
        <w:rPr>
          <w:color w:val="000000"/>
          <w:spacing w:val="0"/>
          <w:w w:val="100"/>
          <w:position w:val="0"/>
        </w:rPr>
        <w:t>测试管理层对应收款项（含应收账款、应收款项融资中应收账款）计提减值准备的关键内部控制设计和控制的有效 性；</w:t>
      </w:r>
    </w:p>
    <w:p>
      <w:pPr>
        <w:pStyle w:val="Style22"/>
        <w:keepNext w:val="0"/>
        <w:keepLines w:val="0"/>
        <w:widowControl w:val="0"/>
        <w:shd w:val="clear" w:color="auto" w:fill="auto"/>
        <w:tabs>
          <w:tab w:pos="785" w:val="left"/>
        </w:tabs>
        <w:bidi w:val="0"/>
        <w:spacing w:before="0" w:after="0" w:line="307" w:lineRule="exact"/>
        <w:ind w:left="0" w:right="0" w:firstLine="380"/>
        <w:jc w:val="both"/>
      </w:pPr>
      <w:bookmarkStart w:id="751" w:name="bookmark751"/>
      <w:r>
        <w:rPr>
          <w:color w:val="000000"/>
          <w:spacing w:val="0"/>
          <w:w w:val="100"/>
          <w:position w:val="0"/>
          <w:sz w:val="18"/>
          <w:szCs w:val="18"/>
        </w:rPr>
        <w:t>（</w:t>
      </w:r>
      <w:bookmarkEnd w:id="751"/>
      <w:r>
        <w:rPr>
          <w:color w:val="000000"/>
          <w:spacing w:val="0"/>
          <w:w w:val="100"/>
          <w:position w:val="0"/>
          <w:sz w:val="18"/>
          <w:szCs w:val="18"/>
        </w:rPr>
        <w:t>2）</w:t>
        <w:tab/>
      </w:r>
      <w:r>
        <w:rPr>
          <w:color w:val="000000"/>
          <w:spacing w:val="0"/>
          <w:w w:val="100"/>
          <w:position w:val="0"/>
        </w:rPr>
        <w:t>对于以单项为基础计量预期信用损失的应收款项（含应收账款、应收款项融资中应收账款），复核管理层评估信用 风险及预期信用损失金额的依据；</w:t>
      </w:r>
    </w:p>
    <w:p>
      <w:pPr>
        <w:pStyle w:val="Style22"/>
        <w:keepNext w:val="0"/>
        <w:keepLines w:val="0"/>
        <w:widowControl w:val="0"/>
        <w:shd w:val="clear" w:color="auto" w:fill="auto"/>
        <w:tabs>
          <w:tab w:pos="775" w:val="left"/>
        </w:tabs>
        <w:bidi w:val="0"/>
        <w:spacing w:before="0" w:after="0" w:line="322" w:lineRule="exact"/>
        <w:ind w:left="0" w:right="0" w:firstLine="380"/>
        <w:jc w:val="both"/>
      </w:pPr>
      <w:bookmarkStart w:id="752" w:name="bookmark752"/>
      <w:r>
        <w:rPr>
          <w:color w:val="000000"/>
          <w:spacing w:val="0"/>
          <w:w w:val="100"/>
          <w:position w:val="0"/>
          <w:sz w:val="18"/>
          <w:szCs w:val="18"/>
        </w:rPr>
        <w:t>（</w:t>
      </w:r>
      <w:bookmarkEnd w:id="752"/>
      <w:r>
        <w:rPr>
          <w:color w:val="000000"/>
          <w:spacing w:val="0"/>
          <w:w w:val="100"/>
          <w:position w:val="0"/>
          <w:sz w:val="18"/>
          <w:szCs w:val="18"/>
        </w:rPr>
        <w:t>3）</w:t>
        <w:tab/>
      </w:r>
      <w:r>
        <w:rPr>
          <w:color w:val="000000"/>
          <w:spacing w:val="0"/>
          <w:w w:val="100"/>
          <w:position w:val="0"/>
        </w:rPr>
        <w:t>对于以组合为基础计量预期信用损失的应收款项（含应收账款、应收款项融资中应收账款），评价管理层按信用风 险特征划分组合的合理性；测试管理层使用数据的准确性和完整性以及对坏账准备的计算是否准确；</w:t>
      </w:r>
    </w:p>
    <w:p>
      <w:pPr>
        <w:pStyle w:val="Style22"/>
        <w:keepNext w:val="0"/>
        <w:keepLines w:val="0"/>
        <w:widowControl w:val="0"/>
        <w:shd w:val="clear" w:color="auto" w:fill="auto"/>
        <w:tabs>
          <w:tab w:pos="776" w:val="left"/>
        </w:tabs>
        <w:bidi w:val="0"/>
        <w:spacing w:before="0" w:after="0" w:line="317" w:lineRule="exact"/>
        <w:ind w:left="0" w:right="0" w:firstLine="380"/>
        <w:jc w:val="both"/>
      </w:pPr>
      <w:bookmarkStart w:id="753" w:name="bookmark753"/>
      <w:r>
        <w:rPr>
          <w:color w:val="000000"/>
          <w:spacing w:val="0"/>
          <w:w w:val="100"/>
          <w:position w:val="0"/>
          <w:sz w:val="18"/>
          <w:szCs w:val="18"/>
        </w:rPr>
        <w:t>（</w:t>
      </w:r>
      <w:bookmarkEnd w:id="753"/>
      <w:r>
        <w:rPr>
          <w:color w:val="000000"/>
          <w:spacing w:val="0"/>
          <w:w w:val="100"/>
          <w:position w:val="0"/>
          <w:sz w:val="18"/>
          <w:szCs w:val="18"/>
        </w:rPr>
        <w:t>4）</w:t>
        <w:tab/>
      </w:r>
      <w:r>
        <w:rPr>
          <w:color w:val="000000"/>
          <w:spacing w:val="0"/>
          <w:w w:val="100"/>
          <w:position w:val="0"/>
        </w:rPr>
        <w:t>对应收款项（含应收账款、应收款项融资中应收账款）期末余额选取样本执行函证程序；</w:t>
      </w:r>
    </w:p>
    <w:p>
      <w:pPr>
        <w:pStyle w:val="Style22"/>
        <w:keepNext w:val="0"/>
        <w:keepLines w:val="0"/>
        <w:widowControl w:val="0"/>
        <w:shd w:val="clear" w:color="auto" w:fill="auto"/>
        <w:tabs>
          <w:tab w:pos="776" w:val="left"/>
        </w:tabs>
        <w:bidi w:val="0"/>
        <w:spacing w:before="0" w:after="380" w:line="317" w:lineRule="exact"/>
        <w:ind w:left="0" w:right="0" w:firstLine="380"/>
        <w:jc w:val="both"/>
      </w:pPr>
      <w:bookmarkStart w:id="754" w:name="bookmark754"/>
      <w:r>
        <w:rPr>
          <w:color w:val="000000"/>
          <w:spacing w:val="0"/>
          <w:w w:val="100"/>
          <w:position w:val="0"/>
          <w:sz w:val="18"/>
          <w:szCs w:val="18"/>
        </w:rPr>
        <w:t>（</w:t>
      </w:r>
      <w:bookmarkEnd w:id="754"/>
      <w:r>
        <w:rPr>
          <w:color w:val="000000"/>
          <w:spacing w:val="0"/>
          <w:w w:val="100"/>
          <w:position w:val="0"/>
          <w:sz w:val="18"/>
          <w:szCs w:val="18"/>
        </w:rPr>
        <w:t>5）</w:t>
        <w:tab/>
      </w:r>
      <w:r>
        <w:rPr>
          <w:color w:val="000000"/>
          <w:spacing w:val="0"/>
          <w:w w:val="100"/>
          <w:position w:val="0"/>
        </w:rPr>
        <w:t>复核应收款项（含应收账款、应收款项融资中应收账款）减值准备相关信息在财务报表中的列报与披露是否准确。</w:t>
      </w:r>
    </w:p>
    <w:p>
      <w:pPr>
        <w:pStyle w:val="Style22"/>
        <w:keepNext w:val="0"/>
        <w:keepLines w:val="0"/>
        <w:widowControl w:val="0"/>
        <w:shd w:val="clear" w:color="auto" w:fill="auto"/>
        <w:bidi w:val="0"/>
        <w:spacing w:before="0" w:after="0" w:line="317" w:lineRule="exact"/>
        <w:ind w:left="0" w:right="0" w:firstLine="380"/>
        <w:jc w:val="both"/>
      </w:pPr>
      <w:bookmarkStart w:id="755" w:name="bookmark755"/>
      <w:r>
        <w:rPr>
          <w:color w:val="000000"/>
          <w:spacing w:val="0"/>
          <w:w w:val="100"/>
          <w:position w:val="0"/>
        </w:rPr>
        <w:t>四</w:t>
      </w:r>
      <w:bookmarkEnd w:id="755"/>
      <w:r>
        <w:rPr>
          <w:color w:val="000000"/>
          <w:spacing w:val="0"/>
          <w:w w:val="100"/>
          <w:position w:val="0"/>
        </w:rPr>
        <w:t>、管理层和治理层对财务报表的责任</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在编制财务报表时，管理层负责评估软通动力公司的持续经营能力，披露与持续经营相关的事项（如适用），并运用持续 经营假设，除非管理层计划清算软通动力公司、终止运营或别无其他现实的选择。</w:t>
      </w:r>
    </w:p>
    <w:p>
      <w:pPr>
        <w:pStyle w:val="Style22"/>
        <w:keepNext w:val="0"/>
        <w:keepLines w:val="0"/>
        <w:widowControl w:val="0"/>
        <w:shd w:val="clear" w:color="auto" w:fill="auto"/>
        <w:bidi w:val="0"/>
        <w:spacing w:before="0" w:after="500" w:line="317" w:lineRule="exact"/>
        <w:ind w:left="0" w:right="0" w:firstLine="380"/>
        <w:jc w:val="both"/>
      </w:pPr>
      <w:r>
        <w:rPr>
          <w:color w:val="000000"/>
          <w:spacing w:val="0"/>
          <w:w w:val="100"/>
          <w:position w:val="0"/>
        </w:rPr>
        <w:t>软通动力公司治理层（以下简称治理层）负责监督软通动力公司的财务报告过程。</w:t>
      </w:r>
    </w:p>
    <w:p>
      <w:pPr>
        <w:pStyle w:val="Style22"/>
        <w:keepNext w:val="0"/>
        <w:keepLines w:val="0"/>
        <w:widowControl w:val="0"/>
        <w:shd w:val="clear" w:color="auto" w:fill="auto"/>
        <w:bidi w:val="0"/>
        <w:spacing w:before="0" w:after="0" w:line="240" w:lineRule="auto"/>
        <w:ind w:left="0" w:right="0" w:firstLine="380"/>
        <w:jc w:val="both"/>
      </w:pPr>
      <w:bookmarkStart w:id="756" w:name="bookmark756"/>
      <w:r>
        <w:rPr>
          <w:color w:val="000000"/>
          <w:spacing w:val="0"/>
          <w:w w:val="100"/>
          <w:position w:val="0"/>
        </w:rPr>
        <w:t>五</w:t>
      </w:r>
      <w:bookmarkEnd w:id="756"/>
      <w:r>
        <w:rPr>
          <w:color w:val="000000"/>
          <w:spacing w:val="0"/>
          <w:w w:val="100"/>
          <w:position w:val="0"/>
        </w:rPr>
        <w:t>、注册会计师对财务报表审计的责任</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2"/>
        <w:keepNext w:val="0"/>
        <w:keepLines w:val="0"/>
        <w:widowControl w:val="0"/>
        <w:shd w:val="clear" w:color="auto" w:fill="auto"/>
        <w:tabs>
          <w:tab w:pos="831" w:val="left"/>
        </w:tabs>
        <w:bidi w:val="0"/>
        <w:spacing w:before="0" w:after="0" w:line="312" w:lineRule="exact"/>
        <w:ind w:left="0" w:right="0"/>
        <w:jc w:val="both"/>
      </w:pPr>
      <w:bookmarkStart w:id="757" w:name="bookmark757"/>
      <w:r>
        <w:rPr>
          <w:color w:val="000000"/>
          <w:spacing w:val="0"/>
          <w:w w:val="100"/>
          <w:position w:val="0"/>
        </w:rPr>
        <w:t>（</w:t>
      </w:r>
      <w:bookmarkEnd w:id="757"/>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2"/>
        <w:keepNext w:val="0"/>
        <w:keepLines w:val="0"/>
        <w:widowControl w:val="0"/>
        <w:shd w:val="clear" w:color="auto" w:fill="auto"/>
        <w:tabs>
          <w:tab w:pos="802" w:val="left"/>
        </w:tabs>
        <w:bidi w:val="0"/>
        <w:spacing w:before="0" w:after="0" w:line="312" w:lineRule="exact"/>
        <w:ind w:left="0" w:right="0"/>
        <w:jc w:val="both"/>
      </w:pPr>
      <w:bookmarkStart w:id="758" w:name="bookmark758"/>
      <w:r>
        <w:rPr>
          <w:color w:val="000000"/>
          <w:spacing w:val="0"/>
          <w:w w:val="100"/>
          <w:position w:val="0"/>
        </w:rPr>
        <w:t>（</w:t>
      </w:r>
      <w:bookmarkEnd w:id="758"/>
      <w:r>
        <w:rPr>
          <w:color w:val="000000"/>
          <w:spacing w:val="0"/>
          <w:w w:val="100"/>
          <w:position w:val="0"/>
        </w:rPr>
        <w:t>二）</w:t>
        <w:tab/>
        <w:t>了解与审计相关的内部控制，以设计恰当的审计程序，但目的并非对内部控制的有效性发表意见。</w:t>
      </w:r>
    </w:p>
    <w:p>
      <w:pPr>
        <w:pStyle w:val="Style22"/>
        <w:keepNext w:val="0"/>
        <w:keepLines w:val="0"/>
        <w:widowControl w:val="0"/>
        <w:shd w:val="clear" w:color="auto" w:fill="auto"/>
        <w:tabs>
          <w:tab w:pos="802" w:val="left"/>
        </w:tabs>
        <w:bidi w:val="0"/>
        <w:spacing w:before="0" w:after="0" w:line="312" w:lineRule="exact"/>
        <w:ind w:left="0" w:right="0"/>
        <w:jc w:val="both"/>
      </w:pPr>
      <w:bookmarkStart w:id="759" w:name="bookmark759"/>
      <w:r>
        <w:rPr>
          <w:color w:val="000000"/>
          <w:spacing w:val="0"/>
          <w:w w:val="100"/>
          <w:position w:val="0"/>
        </w:rPr>
        <w:t>（</w:t>
      </w:r>
      <w:bookmarkEnd w:id="759"/>
      <w:r>
        <w:rPr>
          <w:color w:val="000000"/>
          <w:spacing w:val="0"/>
          <w:w w:val="100"/>
          <w:position w:val="0"/>
        </w:rPr>
        <w:t>三）</w:t>
        <w:tab/>
        <w:t>评价管理层选用会计政策的恰当性和作出会计估计及相关披露的合理性。</w:t>
      </w:r>
    </w:p>
    <w:p>
      <w:pPr>
        <w:pStyle w:val="Style22"/>
        <w:keepNext w:val="0"/>
        <w:keepLines w:val="0"/>
        <w:widowControl w:val="0"/>
        <w:shd w:val="clear" w:color="auto" w:fill="auto"/>
        <w:bidi w:val="0"/>
        <w:spacing w:before="0" w:after="0" w:line="312" w:lineRule="exact"/>
        <w:ind w:left="0" w:right="0"/>
        <w:jc w:val="both"/>
      </w:pPr>
      <w:bookmarkStart w:id="760" w:name="bookmark760"/>
      <w:r>
        <w:rPr>
          <w:color w:val="000000"/>
          <w:spacing w:val="0"/>
          <w:w w:val="100"/>
          <w:position w:val="0"/>
        </w:rPr>
        <w:t>（</w:t>
      </w:r>
      <w:bookmarkEnd w:id="760"/>
      <w:r>
        <w:rPr>
          <w:color w:val="000000"/>
          <w:spacing w:val="0"/>
          <w:w w:val="100"/>
          <w:position w:val="0"/>
        </w:rPr>
        <w:t>四） 对管理层使用持续经营假设的恰当性得出结论。同时，根据获取的审计证据，就可能导致对软通动力公司持续经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论基于截至审计报告日可获得的信息。然而，未来的事项或情况可能导致软通动力公司不能持续经营。</w:t>
      </w:r>
    </w:p>
    <w:p>
      <w:pPr>
        <w:pStyle w:val="Style22"/>
        <w:keepNext w:val="0"/>
        <w:keepLines w:val="0"/>
        <w:widowControl w:val="0"/>
        <w:shd w:val="clear" w:color="auto" w:fill="auto"/>
        <w:tabs>
          <w:tab w:pos="802" w:val="left"/>
        </w:tabs>
        <w:bidi w:val="0"/>
        <w:spacing w:before="0" w:after="0" w:line="312" w:lineRule="exact"/>
        <w:ind w:left="0" w:right="0"/>
        <w:jc w:val="both"/>
      </w:pPr>
      <w:bookmarkStart w:id="761" w:name="bookmark761"/>
      <w:r>
        <w:rPr>
          <w:color w:val="000000"/>
          <w:spacing w:val="0"/>
          <w:w w:val="100"/>
          <w:position w:val="0"/>
        </w:rPr>
        <w:t>（</w:t>
      </w:r>
      <w:bookmarkEnd w:id="761"/>
      <w:r>
        <w:rPr>
          <w:color w:val="000000"/>
          <w:spacing w:val="0"/>
          <w:w w:val="100"/>
          <w:position w:val="0"/>
        </w:rPr>
        <w:t>五）</w:t>
        <w:tab/>
        <w:t>评价财务报表的总体列报、结构和内容，并评价财务报表是否公允反映相关交易和事项。</w:t>
      </w:r>
    </w:p>
    <w:p>
      <w:pPr>
        <w:pStyle w:val="Style22"/>
        <w:keepNext w:val="0"/>
        <w:keepLines w:val="0"/>
        <w:widowControl w:val="0"/>
        <w:shd w:val="clear" w:color="auto" w:fill="auto"/>
        <w:tabs>
          <w:tab w:pos="826" w:val="left"/>
        </w:tabs>
        <w:bidi w:val="0"/>
        <w:spacing w:before="0" w:after="0" w:line="317" w:lineRule="exact"/>
        <w:ind w:left="0" w:right="0"/>
        <w:jc w:val="both"/>
      </w:pPr>
      <w:bookmarkStart w:id="762" w:name="bookmark762"/>
      <w:r>
        <w:rPr>
          <w:color w:val="000000"/>
          <w:spacing w:val="0"/>
          <w:w w:val="100"/>
          <w:position w:val="0"/>
        </w:rPr>
        <w:t>（</w:t>
      </w:r>
      <w:bookmarkEnd w:id="762"/>
      <w:r>
        <w:rPr>
          <w:color w:val="000000"/>
          <w:spacing w:val="0"/>
          <w:w w:val="100"/>
          <w:position w:val="0"/>
        </w:rPr>
        <w:t>六）</w:t>
        <w:tab/>
        <w:t>就软通动力公司中实体或业务活动的财务信息获取充分、适当的审计证据，以对财务报表发表审计意见。我们负 责指导、监督和执行集团审计，并对审计意见承担全部责任。</w:t>
      </w:r>
    </w:p>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2"/>
        <w:keepNext w:val="0"/>
        <w:keepLines w:val="0"/>
        <w:widowControl w:val="0"/>
        <w:shd w:val="clear" w:color="auto" w:fill="auto"/>
        <w:bidi w:val="0"/>
        <w:spacing w:before="0" w:after="0" w:line="310" w:lineRule="exact"/>
        <w:ind w:left="0" w:right="0"/>
        <w:jc w:val="both"/>
        <w:sectPr>
          <w:footnotePr>
            <w:pos w:val="pageBottom"/>
            <w:numFmt w:val="decimal"/>
            <w:numRestart w:val="continuous"/>
          </w:footnotePr>
          <w:pgSz w:w="11900" w:h="16840"/>
          <w:pgMar w:top="1383" w:right="1023" w:bottom="1570" w:left="1104" w:header="0"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2"/>
        <w:keepNext w:val="0"/>
        <w:keepLines w:val="0"/>
        <w:widowControl w:val="0"/>
        <w:shd w:val="clear" w:color="auto" w:fill="auto"/>
        <w:bidi w:val="0"/>
        <w:spacing w:before="0" w:after="1340" w:line="240" w:lineRule="auto"/>
        <w:ind w:left="0" w:right="0" w:firstLine="480"/>
        <w:jc w:val="left"/>
      </w:pPr>
      <w:r>
        <w:rPr>
          <w:color w:val="000000"/>
          <w:spacing w:val="0"/>
          <w:w w:val="100"/>
          <w:position w:val="0"/>
        </w:rPr>
        <w:t>（此页无正文）</w:t>
      </w:r>
    </w:p>
    <w:p>
      <w:pPr>
        <w:pStyle w:val="Style22"/>
        <w:keepNext w:val="0"/>
        <w:keepLines w:val="0"/>
        <w:widowControl w:val="0"/>
        <w:shd w:val="clear" w:color="auto" w:fill="auto"/>
        <w:bidi w:val="0"/>
        <w:spacing w:before="0" w:after="100" w:line="240" w:lineRule="auto"/>
        <w:ind w:left="0" w:right="0" w:firstLine="480"/>
        <w:jc w:val="left"/>
        <w:rPr>
          <w:sz w:val="18"/>
          <w:szCs w:val="18"/>
        </w:rPr>
      </w:pPr>
      <w:r>
        <w:rPr>
          <w:color w:val="000000"/>
          <w:spacing w:val="0"/>
          <w:w w:val="100"/>
          <w:position w:val="0"/>
          <w:sz w:val="17"/>
          <w:szCs w:val="17"/>
        </w:rPr>
        <w:t>中汇会计师事务所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p>
      <w:pPr>
        <w:pStyle w:val="Style22"/>
        <w:keepNext w:val="0"/>
        <w:keepLines w:val="0"/>
        <w:widowControl w:val="0"/>
        <w:shd w:val="clear" w:color="auto" w:fill="auto"/>
        <w:bidi w:val="0"/>
        <w:spacing w:before="0" w:after="100" w:line="240" w:lineRule="auto"/>
        <w:ind w:left="6960" w:right="0" w:firstLine="0"/>
        <w:jc w:val="left"/>
      </w:pPr>
      <w:r>
        <w:rPr>
          <w:color w:val="000000"/>
          <w:spacing w:val="0"/>
          <w:w w:val="100"/>
          <w:position w:val="0"/>
        </w:rPr>
        <w:t>中国注册会计师：胡健</w:t>
      </w:r>
    </w:p>
    <w:p>
      <w:pPr>
        <w:pStyle w:val="Style22"/>
        <w:keepNext w:val="0"/>
        <w:keepLines w:val="0"/>
        <w:widowControl w:val="0"/>
        <w:shd w:val="clear" w:color="auto" w:fill="auto"/>
        <w:bidi w:val="0"/>
        <w:spacing w:before="0" w:after="700" w:line="240" w:lineRule="auto"/>
        <w:ind w:left="712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项目合伙人</w:t>
      </w:r>
      <w:r>
        <w:rPr>
          <w:color w:val="000000"/>
          <w:spacing w:val="0"/>
          <w:w w:val="100"/>
          <w:position w:val="0"/>
          <w:sz w:val="18"/>
          <w:szCs w:val="18"/>
        </w:rPr>
        <w:t>）</w:t>
      </w:r>
    </w:p>
    <w:p>
      <w:pPr>
        <w:pStyle w:val="Style22"/>
        <w:keepNext w:val="0"/>
        <w:keepLines w:val="0"/>
        <w:widowControl w:val="0"/>
        <w:shd w:val="clear" w:color="auto" w:fill="auto"/>
        <w:tabs>
          <w:tab w:pos="5410" w:val="left"/>
        </w:tabs>
        <w:bidi w:val="0"/>
        <w:spacing w:before="0" w:after="70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tab/>
        <w:t>中国注册会计师：高丹丹</w:t>
      </w:r>
    </w:p>
    <w:p>
      <w:pPr>
        <w:pStyle w:val="Style22"/>
        <w:keepNext w:val="0"/>
        <w:keepLines w:val="0"/>
        <w:widowControl w:val="0"/>
        <w:shd w:val="clear" w:color="auto" w:fill="auto"/>
        <w:bidi w:val="0"/>
        <w:spacing w:before="0" w:after="700" w:line="240" w:lineRule="auto"/>
        <w:ind w:left="7120" w:right="0" w:firstLine="0"/>
        <w:jc w:val="left"/>
      </w:pPr>
      <w:r>
        <w:rPr>
          <w:color w:val="000000"/>
          <w:spacing w:val="0"/>
          <w:w w:val="100"/>
          <w:position w:val="0"/>
        </w:rPr>
        <w:t>报告日期：</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7"/>
        <w:keepNext/>
        <w:keepLines/>
        <w:widowControl w:val="0"/>
        <w:shd w:val="clear" w:color="auto" w:fill="auto"/>
        <w:bidi w:val="0"/>
        <w:spacing w:before="0" w:after="380" w:line="240" w:lineRule="auto"/>
        <w:ind w:left="0" w:right="0" w:firstLine="0"/>
        <w:jc w:val="left"/>
      </w:pPr>
      <w:bookmarkStart w:id="763" w:name="bookmark763"/>
      <w:bookmarkStart w:id="764" w:name="bookmark764"/>
      <w:bookmarkStart w:id="765" w:name="bookmark765"/>
      <w:r>
        <w:rPr>
          <w:color w:val="000000"/>
          <w:spacing w:val="0"/>
          <w:w w:val="100"/>
          <w:position w:val="0"/>
          <w:sz w:val="24"/>
          <w:szCs w:val="24"/>
        </w:rPr>
        <w:t>二、财务报表</w:t>
      </w:r>
      <w:bookmarkEnd w:id="763"/>
      <w:bookmarkEnd w:id="764"/>
      <w:bookmarkEnd w:id="765"/>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3"/>
        <w:keepNext/>
        <w:keepLines/>
        <w:widowControl w:val="0"/>
        <w:shd w:val="clear" w:color="auto" w:fill="auto"/>
        <w:bidi w:val="0"/>
        <w:spacing w:before="0" w:after="3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color w:val="000000"/>
          <w:spacing w:val="0"/>
          <w:w w:val="100"/>
          <w:position w:val="0"/>
        </w:rPr>
        <w:t>、合并资产负债表</w:t>
      </w:r>
      <w:bookmarkEnd w:id="766"/>
      <w:bookmarkEnd w:id="767"/>
      <w:bookmarkEnd w:id="769"/>
    </w:p>
    <w:p>
      <w:pPr>
        <w:pStyle w:val="Style22"/>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6394450</wp:posOffset>
                </wp:positionH>
                <wp:positionV relativeFrom="paragraph">
                  <wp:posOffset>444500</wp:posOffset>
                </wp:positionV>
                <wp:extent cx="484505" cy="143510"/>
                <wp:wrapSquare wrapText="bothSides"/>
                <wp:docPr id="4" name="Shape 4"/>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0" type="#_x0000_t202" style="position:absolute;margin-left:503.5pt;margin-top:35.pt;width:38.149999999999999pt;height:11.300000000000001pt;z-index:-125829373;mso-wrap-distance-left:0;mso-wrap-distance-right:0;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编制单位：软通动力信息技术（集团）股份有限公司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6048" w:hSpace="10" w:vSpace="629" w:wrap="notBeside" w:vAnchor="text" w:hAnchor="text" w:x="148" w:y="630"/>
              <w:widowControl w:val="0"/>
              <w:rPr>
                <w:sz w:val="10"/>
                <w:szCs w:val="10"/>
              </w:rPr>
            </w:pPr>
          </w:p>
        </w:tc>
        <w:tc>
          <w:tcPr>
            <w:tcBorders>
              <w:top w:val="single" w:sz="4"/>
              <w:left w:val="single" w:sz="4"/>
              <w:right w:val="single" w:sz="4"/>
            </w:tcBorders>
            <w:shd w:val="clear" w:color="auto" w:fill="D3D3D3"/>
            <w:vAlign w:val="top"/>
          </w:tcPr>
          <w:p>
            <w:pPr>
              <w:framePr w:w="9586" w:h="6048" w:hSpace="10" w:vSpace="629" w:wrap="notBeside" w:vAnchor="text" w:hAnchor="text" w:x="14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2,994,819,890.68</w:t>
            </w:r>
          </w:p>
        </w:tc>
        <w:tc>
          <w:tcPr>
            <w:tcBorders>
              <w:top w:val="single" w:sz="4"/>
              <w:left w:val="single" w:sz="4"/>
              <w:right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2,868,947,656.46</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6048"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6048" w:hSpace="10" w:vSpace="629" w:wrap="notBeside" w:vAnchor="text" w:hAnchor="text" w:x="14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6048"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6048" w:hSpace="10" w:vSpace="629" w:wrap="notBeside" w:vAnchor="text" w:hAnchor="text" w:x="14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6048"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6048" w:hSpace="10" w:vSpace="629" w:wrap="notBeside" w:vAnchor="text" w:hAnchor="text" w:x="14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6048"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6048" w:hSpace="10" w:vSpace="629" w:wrap="notBeside" w:vAnchor="text" w:hAnchor="text" w:x="14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14,608,914.19</w:t>
            </w:r>
          </w:p>
        </w:tc>
        <w:tc>
          <w:tcPr>
            <w:tcBorders>
              <w:top w:val="single" w:sz="4"/>
              <w:left w:val="single" w:sz="4"/>
              <w:right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36,837,945.12</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4,646,284,904.85</w:t>
            </w:r>
          </w:p>
        </w:tc>
        <w:tc>
          <w:tcPr>
            <w:tcBorders>
              <w:top w:val="single" w:sz="4"/>
              <w:left w:val="single" w:sz="4"/>
              <w:right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3,307,239,160.97</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169,362,821.25</w:t>
            </w:r>
          </w:p>
        </w:tc>
        <w:tc>
          <w:tcPr>
            <w:tcBorders>
              <w:top w:val="single" w:sz="4"/>
              <w:left w:val="single" w:sz="4"/>
              <w:right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514,606,032.81</w:t>
            </w:r>
          </w:p>
        </w:tc>
      </w:tr>
      <w:tr>
        <w:trPr>
          <w:trHeight w:val="403"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50,898,437.14</w:t>
            </w:r>
          </w:p>
        </w:tc>
        <w:tc>
          <w:tcPr>
            <w:tcBorders>
              <w:top w:val="single" w:sz="4"/>
              <w:left w:val="single" w:sz="4"/>
              <w:right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41,431,513.69</w:t>
            </w:r>
          </w:p>
        </w:tc>
      </w:tr>
      <w:tr>
        <w:trPr>
          <w:trHeight w:val="398"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6048"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6048" w:hSpace="10" w:vSpace="629" w:wrap="notBeside" w:vAnchor="text" w:hAnchor="text" w:x="14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6048"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6048" w:hSpace="10" w:vSpace="629" w:wrap="notBeside" w:vAnchor="text" w:hAnchor="text" w:x="14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6" w:h="6048" w:hSpace="10" w:vSpace="629" w:wrap="notBeside" w:vAnchor="text" w:hAnchor="text" w:x="148" w:y="630"/>
              <w:widowControl w:val="0"/>
              <w:rPr>
                <w:sz w:val="10"/>
                <w:szCs w:val="10"/>
              </w:rPr>
            </w:pPr>
          </w:p>
        </w:tc>
        <w:tc>
          <w:tcPr>
            <w:tcBorders>
              <w:top w:val="single" w:sz="4"/>
              <w:left w:val="single" w:sz="4"/>
              <w:right w:val="single" w:sz="4"/>
            </w:tcBorders>
            <w:shd w:val="clear" w:color="auto" w:fill="FFFFFF"/>
            <w:vAlign w:val="top"/>
          </w:tcPr>
          <w:p>
            <w:pPr>
              <w:framePr w:w="9586" w:h="6048" w:hSpace="10" w:vSpace="629" w:wrap="notBeside" w:vAnchor="text" w:hAnchor="text" w:x="148"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95,083,134.27</w:t>
            </w:r>
          </w:p>
        </w:tc>
        <w:tc>
          <w:tcPr>
            <w:tcBorders>
              <w:top w:val="single" w:sz="4"/>
              <w:left w:val="single" w:sz="4"/>
              <w:bottom w:val="single" w:sz="4"/>
              <w:right w:val="single" w:sz="4"/>
            </w:tcBorders>
            <w:shd w:val="clear" w:color="auto" w:fill="FFFFFF"/>
            <w:vAlign w:val="center"/>
          </w:tcPr>
          <w:p>
            <w:pPr>
              <w:pStyle w:val="Style24"/>
              <w:keepNext w:val="0"/>
              <w:keepLines w:val="0"/>
              <w:framePr w:w="9586" w:h="6048" w:hSpace="10" w:vSpace="629" w:wrap="notBeside" w:vAnchor="text" w:hAnchor="text" w:x="14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122,025,481.13</w:t>
            </w:r>
          </w:p>
        </w:tc>
      </w:tr>
    </w:tbl>
    <w:p>
      <w:pPr>
        <w:pStyle w:val="Style29"/>
        <w:keepNext w:val="0"/>
        <w:keepLines w:val="0"/>
        <w:framePr w:w="9211" w:h="206" w:hSpace="137" w:wrap="notBeside" w:vAnchor="text" w:hAnchor="text" w:x="138"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693,060,205.95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634,309,472.37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41,218,932.07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110,739,594.64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8,708,337,240.40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7,636,136,857.19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201,020,576.10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201,127,678.59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2,548,195.25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8,694,551.96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11,379,553.23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61,979,554.86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730,302,804.96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642,413,087.04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350,703,547.51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286,787,186.93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273,261,933.47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21,689,185.73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9,248,521.93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46,793,102.32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46,793,102.32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144,854,751.48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141,390,713.82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16,740,206.54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17,020,631.26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1,961,810.77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3,195,240.00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1,814,780,920.82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1,405,125,015.25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10,523,118,161.22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9,041,261,872.44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2,343,361,209.21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2,193,277,148.49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19,520,821.00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424,041.00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99,975,686.33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74,250,889.32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342,876,731.06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444,737,342.76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1,058,526,954.26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937,804,469.00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221,652,357.88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138,290,986.72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247,565,767.04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261,694,730.39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479,954,208.25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53,363,231.41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182,225,411.04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126,979,127.27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4,995,659,146.07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4,230,821,966.36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3,323,556.80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584,084,581.08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375,020,007.88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57,947,734.44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81,770,635.19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64,721,921.56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69,563,297.44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501,663,220.68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735,418,513.71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5,497,322,366.75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4,966,240,480.07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2,644,302,046.94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2,644,352,958.54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-17,541,372.40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-16,949,929.15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53,344,973.17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23,417,267.39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2,038,298,773.30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1,106,921,372.44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5,078,404,421.01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4,117,741,669.22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-52,608,626.54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-42,720,276.85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5,025,795,794.47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4,075,021,392.37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10,523,118,161.22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9,041,261,872.44</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3175" distL="114300" distR="5149850" simplePos="0" relativeHeight="125829382" behindDoc="0" locked="0" layoutInCell="1" allowOverlap="1">
                <wp:simplePos x="0" y="0"/>
                <wp:positionH relativeFrom="page">
                  <wp:posOffset>705485</wp:posOffset>
                </wp:positionH>
                <wp:positionV relativeFrom="margin">
                  <wp:posOffset>5120640</wp:posOffset>
                </wp:positionV>
                <wp:extent cx="1051560" cy="149225"/>
                <wp:wrapTopAndBottom/>
                <wp:docPr id="6" name="Shape 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法定代表人：刘天文</w:t>
                            </w:r>
                          </w:p>
                        </w:txbxContent>
                      </wps:txbx>
                      <wps:bodyPr wrap="none" lIns="0" tIns="0" rIns="0" bIns="0">
                        <a:noAutoFit/>
                      </wps:bodyPr>
                    </wps:wsp>
                  </a:graphicData>
                </a:graphic>
              </wp:anchor>
            </w:drawing>
          </mc:Choice>
          <mc:Fallback>
            <w:pict>
              <v:shape id="_x0000_s1032" type="#_x0000_t202" style="position:absolute;margin-left:55.550000000000004pt;margin-top:403.19999999999999pt;width:82.799999999999997pt;height:11.75pt;z-index:-125829371;mso-wrap-distance-left:9.pt;mso-wrap-distance-top:12.pt;mso-wrap-distance-right:405.5pt;mso-wrap-distance-bottom:0.2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法定代表人：刘天文</w:t>
                      </w:r>
                    </w:p>
                  </w:txbxContent>
                </v:textbox>
                <w10:wrap type="topAndBottom" anchorx="page" anchory="margin"/>
              </v:shape>
            </w:pict>
          </mc:Fallback>
        </mc:AlternateContent>
      </w:r>
      <w:r>
        <mc:AlternateContent>
          <mc:Choice Requires="wps">
            <w:drawing>
              <wp:anchor distT="152400" distB="6350" distL="2345690" distR="2574290" simplePos="0" relativeHeight="125829384" behindDoc="0" locked="0" layoutInCell="1" allowOverlap="1">
                <wp:simplePos x="0" y="0"/>
                <wp:positionH relativeFrom="page">
                  <wp:posOffset>2936875</wp:posOffset>
                </wp:positionH>
                <wp:positionV relativeFrom="margin">
                  <wp:posOffset>5120640</wp:posOffset>
                </wp:positionV>
                <wp:extent cx="1395730" cy="146050"/>
                <wp:wrapTopAndBottom/>
                <wp:docPr id="8" name="Shape 8"/>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主管会计工作负责人：张成</w:t>
                            </w:r>
                          </w:p>
                        </w:txbxContent>
                      </wps:txbx>
                      <wps:bodyPr wrap="none" lIns="0" tIns="0" rIns="0" bIns="0">
                        <a:noAutoFit/>
                      </wps:bodyPr>
                    </wps:wsp>
                  </a:graphicData>
                </a:graphic>
              </wp:anchor>
            </w:drawing>
          </mc:Choice>
          <mc:Fallback>
            <w:pict>
              <v:shape id="_x0000_s1034" type="#_x0000_t202" style="position:absolute;margin-left:231.25pt;margin-top:403.19999999999999pt;width:109.90000000000001pt;height:11.5pt;z-index:-125829369;mso-wrap-distance-left:184.70000000000002pt;mso-wrap-distance-top:12.pt;mso-wrap-distance-right:202.70000000000002pt;mso-wrap-distance-bottom:0.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主管会计工作负责人：张成</w:t>
                      </w:r>
                    </w:p>
                  </w:txbxContent>
                </v:textbox>
                <w10:wrap type="topAndBottom" anchorx="page" anchory="margin"/>
              </v:shape>
            </w:pict>
          </mc:Fallback>
        </mc:AlternateContent>
      </w:r>
      <w:r>
        <mc:AlternateContent>
          <mc:Choice Requires="wps">
            <w:drawing>
              <wp:anchor distT="152400" distB="0" distL="4918075" distR="114300" simplePos="0" relativeHeight="125829386" behindDoc="0" locked="0" layoutInCell="1" allowOverlap="1">
                <wp:simplePos x="0" y="0"/>
                <wp:positionH relativeFrom="page">
                  <wp:posOffset>5509260</wp:posOffset>
                </wp:positionH>
                <wp:positionV relativeFrom="margin">
                  <wp:posOffset>5120640</wp:posOffset>
                </wp:positionV>
                <wp:extent cx="1283335" cy="152400"/>
                <wp:wrapTopAndBottom/>
                <wp:docPr id="10" name="Shape 10"/>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会计机构负责人：王艳菲</w:t>
                            </w:r>
                          </w:p>
                        </w:txbxContent>
                      </wps:txbx>
                      <wps:bodyPr wrap="none" lIns="0" tIns="0" rIns="0" bIns="0">
                        <a:noAutoFit/>
                      </wps:bodyPr>
                    </wps:wsp>
                  </a:graphicData>
                </a:graphic>
              </wp:anchor>
            </w:drawing>
          </mc:Choice>
          <mc:Fallback>
            <w:pict>
              <v:shape id="_x0000_s1036" type="#_x0000_t202" style="position:absolute;margin-left:433.80000000000001pt;margin-top:403.19999999999999pt;width:101.05pt;height:12.pt;z-index:-125829367;mso-wrap-distance-left:387.25pt;mso-wrap-distance-top:12.pt;mso-wrap-distance-right: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会计机构负责人：王艳菲</w:t>
                      </w:r>
                    </w:p>
                  </w:txbxContent>
                </v:textbox>
                <w10:wrap type="topAndBottom" anchorx="page" anchory="margin"/>
              </v:shape>
            </w:pict>
          </mc:Fallback>
        </mc:AlternateContent>
      </w: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color w:val="000000"/>
          <w:spacing w:val="0"/>
          <w:w w:val="100"/>
          <w:position w:val="0"/>
        </w:rPr>
        <w:t>、母公司资产负债表</w:t>
      </w:r>
      <w:bookmarkEnd w:id="770"/>
      <w:bookmarkEnd w:id="771"/>
      <w:bookmarkEnd w:id="77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1,205,288,590.57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1,607,095,180.58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14,608,914.19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33,822,934.05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2,250,534,104.63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1,587,785,026.43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12,557,005.69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4,814,558.62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63,026,400.84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103,743,312.20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1,366,505,635.79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1,344,158,710.83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188,006,265.13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414,506,568.40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5,871,064.09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25,410,512.55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5,109,397,980.93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5,121,336,803.66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2,589,520,296.29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2,490,398,565.91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2,548,195.25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8,694,551.96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22,473,465.73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35,446,152.03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21,281,586.70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64,943,546.46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62,287,116.64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21,689,185.73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9,248,521.93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29,981,179.81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47,005,068.45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25,379,468.62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26,124,185.24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2,778,041,924.59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2,682,204,162.16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7,887,439,905.52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7,803,540,965.82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590,769,222.23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961,265,236.12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1,428,314,263.04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1,557,808,467.60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432,077,843.18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517,935,063.75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153,508,125.06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123,881,242.66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40,288,791.03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29,681,617.40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1,617,287,281.53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1,187,472,514.57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478,845,986.65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52,098,978.61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69,343,838.84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33,573,593.62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4,811,845,351.56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4,463,716,714.33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579,028,833.88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20,130,739.10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19,462,064.94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26,178,406.21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995,612.24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3,150,230.30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41,238,416.28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608,357,470.39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4,853,083,767.84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5,072,074,184.72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2,144,694,690.01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2,144,694,690.01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-3,788,284.04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-7,400,582.83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53,344,973.17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23,417,267.39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480,104,758.54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210,755,406.53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3,034,356,137.68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2,731,466,781.10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7,887,439,905.52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7,803,540,965.82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3</w:t>
      </w:r>
      <w:bookmarkEnd w:id="776"/>
      <w:r>
        <w:rPr>
          <w:color w:val="000000"/>
          <w:spacing w:val="0"/>
          <w:w w:val="100"/>
          <w:position w:val="0"/>
        </w:rPr>
        <w:t>、合并利润表</w:t>
      </w:r>
      <w:bookmarkEnd w:id="774"/>
      <w:bookmarkEnd w:id="775"/>
      <w:bookmarkEnd w:id="77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16,623,208,728.13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12,999,294,468.75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16,623,208,728.13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12,999,294,468.75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15,757,898,971.21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11,924,866,475.52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12,522,412,016.57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9,460,253,740.36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112,801,482.63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93,932,429.25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577,501,713.13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372,796,317.39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1,414,454,250.09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1,020,765,051.30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1,001,047,045.37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834,709,119.22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129,682,463.42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142,409,818.00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146,491,452.27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165,114,786.17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21,172,446.83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24,906,362.44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156,112,731.13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209,999,627.63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5,866,007.22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-107,102.55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-872,321.82</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-18,473,212.37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137,395,142.81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9,417,298.30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-62,926,958.98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751,616.72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1,013,011,088.15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1,364,709,307.91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13,776,692.76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25,771,897.47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8,492,974.40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15,195,217.28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1,018,294,806.51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1,375,285,988.10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80,663,468.43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120,316,995.43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937,631,338.08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1,254,968,992.67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937,631,338.08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1,254,968,992.67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944,779,223.35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1,258,631,372.96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-7,147,885.27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-3,662,380.29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17,852,513.22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-9,339,236.90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17,852,513.22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-9,339,236.90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22,056,255.26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-943,429.49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22,056,255.26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-943,429.49</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-4,203,742.04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-8,395,807.41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-4,203,742.04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-8,395,807.41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955,483,851.30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1,245,629,755.77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962,631,736.57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1,249,292,136.06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-7,147,885.27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-3,662,380.29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2"/>
        <w:keepNext w:val="0"/>
        <w:keepLines w:val="0"/>
        <w:widowControl w:val="0"/>
        <w:shd w:val="clear" w:color="auto" w:fill="auto"/>
        <w:tabs>
          <w:tab w:pos="3509" w:val="left"/>
          <w:tab w:pos="7560" w:val="left"/>
        </w:tabs>
        <w:bidi w:val="0"/>
        <w:spacing w:before="0" w:after="400" w:line="240" w:lineRule="auto"/>
        <w:ind w:left="0" w:right="0" w:firstLine="0"/>
        <w:jc w:val="left"/>
      </w:pPr>
      <w:r>
        <w:rPr>
          <w:color w:val="000000"/>
          <w:spacing w:val="0"/>
          <w:w w:val="100"/>
          <w:position w:val="0"/>
        </w:rPr>
        <w:t>法定代表人：刘天文</w:t>
        <w:tab/>
        <w:t>主管会计工作负责人：张成</w:t>
        <w:tab/>
        <w:t>会计机构负责人：王艳菲</w:t>
      </w:r>
    </w:p>
    <w:p>
      <w:pPr>
        <w:pStyle w:val="Style33"/>
        <w:keepNext/>
        <w:keepLines/>
        <w:widowControl w:val="0"/>
        <w:shd w:val="clear" w:color="auto" w:fill="auto"/>
        <w:bidi w:val="0"/>
        <w:spacing w:before="0" w:after="40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4</w:t>
      </w:r>
      <w:bookmarkEnd w:id="780"/>
      <w:r>
        <w:rPr>
          <w:color w:val="000000"/>
          <w:spacing w:val="0"/>
          <w:w w:val="100"/>
          <w:position w:val="0"/>
        </w:rPr>
        <w:t>、母公司利润表</w:t>
      </w:r>
      <w:bookmarkEnd w:id="778"/>
      <w:bookmarkEnd w:id="779"/>
      <w:bookmarkEnd w:id="78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5,563,813,984.79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3,690,844,320.85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4,680,683,730.90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3,001,825,432.08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16,274,602.24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11,218,342.34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61,047,701.15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57,300,062.21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210,468,840.07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148,838,564.20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247,342,902.16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135,377,281.33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57,245,287.94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69,861,596.87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65,201,505.01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83,465,191.39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13,142,315.18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17,494,510.10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27,751,937.31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27,729,899.80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330,354.44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518,159,603.42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330,354.44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162,348.56</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-10,075,029.09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68,430,362.51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4,073,702.01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-10,973,581.24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110,146.06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312,901,283.88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869,879,472.37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2,188,837.19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1,963,261.83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5,976,238.15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513,938.92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309,113,882.92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871,328,795.28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28,379,333.74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31,511,470.29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280,734,549.18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839,817,324.99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280,734,549.18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839,817,324.99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22,056,255.26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-943,429.49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（一）不能重分类进损益的其他 综合收益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22,056,255.26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-943,429.49</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22,056,255.26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-943,429.49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302,790,804.44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838,873,895.50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5</w:t>
      </w:r>
      <w:bookmarkEnd w:id="784"/>
      <w:r>
        <w:rPr>
          <w:color w:val="000000"/>
          <w:spacing w:val="0"/>
          <w:w w:val="100"/>
          <w:position w:val="0"/>
        </w:rPr>
        <w:t>、合并现金流量表</w:t>
      </w:r>
      <w:bookmarkEnd w:id="782"/>
      <w:bookmarkEnd w:id="783"/>
      <w:bookmarkEnd w:id="78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16,612,947,626.62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13,397,937,163.51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934,766.49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1,197,654.24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212,295,336.12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279,659,124.46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16,826,177,729.23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13,678,793,942.21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338,113,131.25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202,543,211.48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13,969,916,355.20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10,218,246,097.99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848,243,600.66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861,974,920.42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1,022,697,800.37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973,280,329.70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16,178,970,887.48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12,256,044,559.59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647,206,841.75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1,422,749,382.62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28,840,076.50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1,664,322.30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1,155,273.69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34,693,090.45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65,197,489.25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1,155,274.69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282,670,056.42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183,030,065.60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2,791,375.94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44,691,214.04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285,464,177.50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229,721,279.64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-220,266,688.25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-228,566,004.95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2,794,901,754.84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269,735,391.23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3,064,637,146.07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2,343,181,369.56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2,865,601,384.84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134,292,989.29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168,815,059.56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154,520,869.52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461,673,608.23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2,631,995,228.37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3,496,090,052.63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-291,995,228.37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-431,452,906.56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-6,117,156.75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-13,550,422.54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128,827,768.38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749,180,048.57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2,845,003,755.12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2,095,823,706.55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2,973,831,523.50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2,845,003,755.12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6</w:t>
      </w:r>
      <w:bookmarkEnd w:id="788"/>
      <w:r>
        <w:rPr>
          <w:color w:val="000000"/>
          <w:spacing w:val="0"/>
          <w:w w:val="100"/>
          <w:position w:val="0"/>
        </w:rPr>
        <w:t>、母公司现金流量表</w:t>
      </w:r>
      <w:bookmarkEnd w:id="786"/>
      <w:bookmarkEnd w:id="787"/>
      <w:bookmarkEnd w:id="78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4,558,747,470.43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3,131,144,207.24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870,630.33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1,174,006.89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70,044,116.87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223,280,420.59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4,629,662,217.63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3,355,598,634.72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2,346,686,628.80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654,389,374.50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1,903,282,326.20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1,302,102,954.64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140,218,745.78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119,651,918.50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299,538,387.45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475,363,197.77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4,689,726,088.23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2,551,507,445.41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-60,063,870.60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804,091,189.31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28,840,076.50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1,543,739,217.43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373,828.16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254,028.38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34,693,090.45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63,906,995.11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1,543,993,245.81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29,238,507.32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26,667,769.48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98,791,375.94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119,500,000.00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44,691,214.04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128,032,628.40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190,858,983.52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-64,125,633.29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1,353,134,262.29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1,190,000,000.00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333,140,000.00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210,394,370.38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923,140,000.00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1,400,394,370.38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1,339,948,630.00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65,760,276.02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90,734,623.55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17,758,248.14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1,373,948,627.33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1,195,518,524.16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2,804,631,880.88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-272,378,524.16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-1,404,237,510.50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-1,863,199.88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-3,734,152.57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-398,431,227.93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749,253,788.53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1,601,779,039.84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852,525,251.31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1,203,347,811.91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1,601,779,039.84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7</w:t>
      </w:r>
      <w:bookmarkEnd w:id="792"/>
      <w:r>
        <w:rPr>
          <w:color w:val="000000"/>
          <w:spacing w:val="0"/>
          <w:w w:val="100"/>
          <w:position w:val="0"/>
        </w:rPr>
        <w:t>、合并所有者权益变动表</w:t>
      </w:r>
      <w:bookmarkEnd w:id="790"/>
      <w:bookmarkEnd w:id="791"/>
      <w:bookmarkEnd w:id="79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352,95</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23,417 </w:t>
            </w:r>
            <w:r>
              <w:rPr>
                <w:rFonts w:ascii="Times New Roman" w:eastAsia="Times New Roman" w:hAnsi="Times New Roman" w:cs="Times New Roman"/>
                <w:color w:val="000000"/>
                <w:spacing w:val="0"/>
                <w:w w:val="100"/>
                <w:position w:val="0"/>
                <w:sz w:val="18"/>
                <w:szCs w:val="18"/>
              </w:rPr>
              <w:t>,267.3</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4,117,</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741,66</w:t>
            </w:r>
          </w:p>
          <w:p>
            <w:pPr>
              <w:pStyle w:val="Style24"/>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-42,72 0,276.</w:t>
            </w:r>
          </w:p>
          <w:p>
            <w:pPr>
              <w:pStyle w:val="Style24"/>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021,39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-1,918, 073.18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-1,918, 073.18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073.18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352,95</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23,417 </w:t>
            </w:r>
            <w:r>
              <w:rPr>
                <w:rFonts w:ascii="Times New Roman" w:eastAsia="Times New Roman" w:hAnsi="Times New Roman" w:cs="Times New Roman"/>
                <w:color w:val="000000"/>
                <w:spacing w:val="0"/>
                <w:w w:val="100"/>
                <w:position w:val="0"/>
                <w:sz w:val="18"/>
                <w:szCs w:val="18"/>
              </w:rPr>
              <w:t>,267.3</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1,105, 003,29</w:t>
            </w:r>
          </w:p>
          <w:p>
            <w:pPr>
              <w:pStyle w:val="Style24"/>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823,59</w:t>
            </w:r>
          </w:p>
          <w:p>
            <w:pPr>
              <w:pStyle w:val="Style24"/>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-42,72 0,276.</w:t>
            </w:r>
          </w:p>
          <w:p>
            <w:pPr>
              <w:pStyle w:val="Style24"/>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29,927 </w:t>
            </w:r>
            <w:r>
              <w:rPr>
                <w:rFonts w:ascii="Times New Roman" w:eastAsia="Times New Roman" w:hAnsi="Times New Roman" w:cs="Times New Roman"/>
                <w:color w:val="000000"/>
                <w:spacing w:val="0"/>
                <w:w w:val="100"/>
                <w:position w:val="0"/>
                <w:sz w:val="18"/>
                <w:szCs w:val="18"/>
              </w:rPr>
              <w:t xml:space="preserve">,705.7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962,58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0,824.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-9,888, 349.69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952,69</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17,852 </w:t>
            </w:r>
            <w:r>
              <w:rPr>
                <w:rFonts w:ascii="Times New Roman" w:eastAsia="Times New Roman" w:hAnsi="Times New Roman" w:cs="Times New Roman"/>
                <w:color w:val="000000"/>
                <w:spacing w:val="0"/>
                <w:w w:val="100"/>
                <w:position w:val="0"/>
                <w:sz w:val="18"/>
                <w:szCs w:val="18"/>
              </w:rPr>
              <w:t xml:space="preserve">,513.2 </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962,63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955,48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-50,91</w:t>
            </w:r>
          </w:p>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-50,91</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623.98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29,927 </w:t>
            </w:r>
            <w:r>
              <w:rPr>
                <w:rFonts w:ascii="Times New Roman" w:eastAsia="Times New Roman" w:hAnsi="Times New Roman" w:cs="Times New Roman"/>
                <w:color w:val="000000"/>
                <w:spacing w:val="0"/>
                <w:w w:val="100"/>
                <w:position w:val="0"/>
                <w:sz w:val="18"/>
                <w:szCs w:val="18"/>
              </w:rPr>
              <w:t xml:space="preserve">,705.7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29,927 </w:t>
            </w:r>
            <w:r>
              <w:rPr>
                <w:rFonts w:ascii="Times New Roman" w:eastAsia="Times New Roman" w:hAnsi="Times New Roman" w:cs="Times New Roman"/>
                <w:color w:val="000000"/>
                <w:spacing w:val="0"/>
                <w:w w:val="100"/>
                <w:position w:val="0"/>
                <w:sz w:val="18"/>
                <w:szCs w:val="18"/>
              </w:rPr>
              <w:t xml:space="preserve">,705.7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18,443 </w:t>
            </w:r>
            <w:r>
              <w:rPr>
                <w:rFonts w:ascii="Times New Roman" w:eastAsia="Times New Roman" w:hAnsi="Times New Roman" w:cs="Times New Roman"/>
                <w:color w:val="000000"/>
                <w:spacing w:val="0"/>
                <w:w w:val="100"/>
                <w:position w:val="0"/>
                <w:sz w:val="18"/>
                <w:szCs w:val="18"/>
              </w:rPr>
              <w:t xml:space="preserve">,956.4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18,443 </w:t>
            </w:r>
            <w:r>
              <w:rPr>
                <w:rFonts w:ascii="Times New Roman" w:eastAsia="Times New Roman" w:hAnsi="Times New Roman" w:cs="Times New Roman"/>
                <w:color w:val="000000"/>
                <w:spacing w:val="0"/>
                <w:w w:val="100"/>
                <w:position w:val="0"/>
                <w:sz w:val="18"/>
                <w:szCs w:val="18"/>
              </w:rPr>
              <w:t xml:space="preserve">,956.4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302,04</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53,344 </w:t>
            </w:r>
            <w:r>
              <w:rPr>
                <w:rFonts w:ascii="Times New Roman" w:eastAsia="Times New Roman" w:hAnsi="Times New Roman" w:cs="Times New Roman"/>
                <w:color w:val="000000"/>
                <w:spacing w:val="0"/>
                <w:w w:val="100"/>
                <w:position w:val="0"/>
                <w:sz w:val="18"/>
                <w:szCs w:val="18"/>
              </w:rPr>
              <w:t>,973.1</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34,99</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690,24</w:t>
            </w:r>
          </w:p>
          <w:p>
            <w:pPr>
              <w:pStyle w:val="Style2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3,317,</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585,66</w:t>
            </w:r>
          </w:p>
          <w:p>
            <w:pPr>
              <w:pStyle w:val="Style24"/>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-39,057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34,99</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3,184,</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690,24</w:t>
            </w:r>
          </w:p>
          <w:p>
            <w:pPr>
              <w:pStyle w:val="Style2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3,317,</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585,66</w:t>
            </w:r>
          </w:p>
          <w:p>
            <w:pPr>
              <w:pStyle w:val="Style24"/>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-39,057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5,009</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37,283</w:t>
            </w:r>
          </w:p>
          <w:p>
            <w:pPr>
              <w:pStyle w:val="Style24"/>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-9,339, 236.90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23,417 </w:t>
            </w:r>
            <w:r>
              <w:rPr>
                <w:rFonts w:ascii="Times New Roman" w:eastAsia="Times New Roman" w:hAnsi="Times New Roman" w:cs="Times New Roman"/>
                <w:color w:val="000000"/>
                <w:spacing w:val="0"/>
                <w:w w:val="100"/>
                <w:position w:val="0"/>
                <w:sz w:val="18"/>
                <w:szCs w:val="18"/>
              </w:rPr>
              <w:t>,267.3</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1,230, 050,25</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800,15 </w:t>
            </w:r>
            <w:r>
              <w:rPr>
                <w:rFonts w:ascii="Times New Roman" w:eastAsia="Times New Roman" w:hAnsi="Times New Roman" w:cs="Times New Roman"/>
                <w:color w:val="000000"/>
                <w:spacing w:val="0"/>
                <w:w w:val="100"/>
                <w:position w:val="0"/>
                <w:sz w:val="18"/>
                <w:szCs w:val="18"/>
              </w:rPr>
              <w:t>6,008.</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796,493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-9,339, 236.90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1,249,</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292,13</w:t>
            </w:r>
          </w:p>
          <w:p>
            <w:pPr>
              <w:pStyle w:val="Style24"/>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-448,8</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53,883</w:t>
            </w:r>
          </w:p>
          <w:p>
            <w:pPr>
              <w:pStyle w:val="Style24"/>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36,127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-448,8</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6,127.3</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23,417 </w:t>
            </w:r>
            <w:r>
              <w:rPr>
                <w:rFonts w:ascii="Times New Roman" w:eastAsia="Times New Roman" w:hAnsi="Times New Roman" w:cs="Times New Roman"/>
                <w:color w:val="000000"/>
                <w:spacing w:val="0"/>
                <w:w w:val="100"/>
                <w:position w:val="0"/>
                <w:sz w:val="18"/>
                <w:szCs w:val="18"/>
              </w:rPr>
              <w:t>,267.3</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23,417 </w:t>
            </w:r>
            <w:r>
              <w:rPr>
                <w:rFonts w:ascii="Times New Roman" w:eastAsia="Times New Roman" w:hAnsi="Times New Roman" w:cs="Times New Roman"/>
                <w:color w:val="000000"/>
                <w:spacing w:val="0"/>
                <w:w w:val="100"/>
                <w:position w:val="0"/>
                <w:sz w:val="18"/>
                <w:szCs w:val="18"/>
              </w:rPr>
              <w:t>,267.3</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-23,41</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7,253</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-91,48</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3,399.</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-5,163, 853.84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7,253</w:t>
            </w:r>
          </w:p>
          <w:p>
            <w:pPr>
              <w:pStyle w:val="Style24"/>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7,253.</w:t>
            </w:r>
          </w:p>
          <w:p>
            <w:pPr>
              <w:pStyle w:val="Style24"/>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-5,163, 853.84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2,644,</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352,95</w:t>
            </w:r>
          </w:p>
          <w:p>
            <w:pPr>
              <w:pStyle w:val="Style24"/>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23,417 </w:t>
            </w:r>
            <w:r>
              <w:rPr>
                <w:rFonts w:ascii="Times New Roman" w:eastAsia="Times New Roman" w:hAnsi="Times New Roman" w:cs="Times New Roman"/>
                <w:color w:val="000000"/>
                <w:spacing w:val="0"/>
                <w:w w:val="100"/>
                <w:position w:val="0"/>
                <w:sz w:val="18"/>
                <w:szCs w:val="18"/>
              </w:rPr>
              <w:t>,267.3</w:t>
            </w:r>
          </w:p>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-42,720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21,392.</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8</w:t>
      </w:r>
      <w:bookmarkEnd w:id="796"/>
      <w:r>
        <w:rPr>
          <w:color w:val="000000"/>
          <w:spacing w:val="0"/>
          <w:w w:val="100"/>
          <w:position w:val="0"/>
        </w:rPr>
        <w:t>、母公司所有者权益变动表</w:t>
      </w:r>
      <w:bookmarkEnd w:id="794"/>
      <w:bookmarkEnd w:id="795"/>
      <w:bookmarkEnd w:id="79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2,144,69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23,417,2</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5,406.5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2,731,466,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781.10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98,552.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98,552.14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4"/>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2,144,69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23,417,2</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3,958.6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2,731,565,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333.24</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3,612,29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29,927,7</w:t>
            </w:r>
          </w:p>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0,799.8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302,790,8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4,549.1</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302,790,8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29,927,7</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-29,927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29,927,7</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-29,927</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18,443,</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18,443,</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2,144,69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53,344,9</w:t>
            </w:r>
          </w:p>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480,10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4,758.5</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3,034,356,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2,685,0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31,973.</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-600,480,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2,341,729,0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2,685,0</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31,973.</w:t>
            </w:r>
          </w:p>
          <w:p>
            <w:pPr>
              <w:pStyle w:val="Style24"/>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-600,480,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2,341,729,0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96,365 </w:t>
            </w:r>
            <w:r>
              <w:rPr>
                <w:rFonts w:ascii="Times New Roman" w:eastAsia="Times New Roman" w:hAnsi="Times New Roman" w:cs="Times New Roman"/>
                <w:color w:val="000000"/>
                <w:spacing w:val="0"/>
                <w:w w:val="100"/>
                <w:position w:val="0"/>
                <w:sz w:val="18"/>
                <w:szCs w:val="18"/>
              </w:rPr>
              <w:t xml:space="preserve">,009.8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-540,33</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7,283.2</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23,417,</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811,236,2</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389,737,76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839,817,3</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838,873,89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-448,85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3,883.4</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-449,136,12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-448,85</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3,883.4</w:t>
            </w:r>
          </w:p>
          <w:p>
            <w:pPr>
              <w:pStyle w:val="Style24"/>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-449,136,12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23,417,</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-23,417,2</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23,417,</w:t>
            </w:r>
          </w:p>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-23,417,2</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96,647 </w:t>
            </w:r>
            <w:r>
              <w:rPr>
                <w:rFonts w:ascii="Times New Roman" w:eastAsia="Times New Roman" w:hAnsi="Times New Roman" w:cs="Times New Roman"/>
                <w:color w:val="000000"/>
                <w:spacing w:val="0"/>
                <w:w w:val="100"/>
                <w:position w:val="0"/>
                <w:sz w:val="18"/>
                <w:szCs w:val="18"/>
              </w:rPr>
              <w:t xml:space="preserve">,253.6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-91,483, 399.85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96,647 </w:t>
            </w:r>
            <w:r>
              <w:rPr>
                <w:rFonts w:ascii="Times New Roman" w:eastAsia="Times New Roman" w:hAnsi="Times New Roman" w:cs="Times New Roman"/>
                <w:color w:val="000000"/>
                <w:spacing w:val="0"/>
                <w:w w:val="100"/>
                <w:position w:val="0"/>
                <w:sz w:val="18"/>
                <w:szCs w:val="18"/>
              </w:rPr>
              <w:t xml:space="preserve">,253.6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-96,647,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5,163,8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-5,163,85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2,144,6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94,690.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210,755,4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2,731,466,7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798" w:name="bookmark798"/>
      <w:bookmarkStart w:id="799" w:name="bookmark799"/>
      <w:bookmarkStart w:id="800" w:name="bookmark800"/>
      <w:r>
        <w:rPr>
          <w:color w:val="000000"/>
          <w:spacing w:val="0"/>
          <w:w w:val="100"/>
          <w:position w:val="0"/>
          <w:sz w:val="24"/>
          <w:szCs w:val="24"/>
        </w:rPr>
        <w:t>三、公司基本情况</w:t>
      </w:r>
      <w:bookmarkEnd w:id="798"/>
      <w:bookmarkEnd w:id="799"/>
      <w:bookmarkEnd w:id="800"/>
    </w:p>
    <w:p>
      <w:pPr>
        <w:pStyle w:val="Style37"/>
        <w:keepNext/>
        <w:keepLines/>
        <w:widowControl w:val="0"/>
        <w:shd w:val="clear" w:color="auto" w:fill="auto"/>
        <w:bidi w:val="0"/>
        <w:spacing w:before="0" w:after="0" w:line="310" w:lineRule="exact"/>
        <w:ind w:left="0" w:right="0" w:firstLine="440"/>
        <w:jc w:val="left"/>
      </w:pPr>
      <w:bookmarkStart w:id="801" w:name="bookmark801"/>
      <w:bookmarkStart w:id="802" w:name="bookmark802"/>
      <w:bookmarkStart w:id="803" w:name="bookmark803"/>
      <w:bookmarkStart w:id="804" w:name="bookmark804"/>
      <w:r>
        <w:rPr>
          <w:color w:val="000000"/>
          <w:spacing w:val="0"/>
          <w:w w:val="100"/>
          <w:position w:val="0"/>
        </w:rPr>
        <w:t>（</w:t>
      </w:r>
      <w:bookmarkEnd w:id="803"/>
      <w:r>
        <w:rPr>
          <w:color w:val="000000"/>
          <w:spacing w:val="0"/>
          <w:w w:val="100"/>
          <w:position w:val="0"/>
        </w:rPr>
        <w:t>一）公司概况</w:t>
      </w:r>
      <w:bookmarkEnd w:id="801"/>
      <w:bookmarkEnd w:id="802"/>
      <w:bookmarkEnd w:id="804"/>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软通动力信息技术（集团）股份有限公司（以下简称公司或本公司）前身系原软通动力信息技术（集团）有限公司（以下简 称软通动力公司），软通动力公司以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日为基准日，采用整体变更方式设立本公司。本公司于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日在北 京市海淀区市场监督管理局登记注册，取得统一社会信用代码为</w:t>
      </w:r>
      <w:r>
        <w:rPr>
          <w:color w:val="000000"/>
          <w:spacing w:val="0"/>
          <w:w w:val="100"/>
          <w:position w:val="0"/>
          <w:sz w:val="18"/>
          <w:szCs w:val="18"/>
        </w:rPr>
        <w:t>91110108781703664R</w:t>
      </w:r>
      <w:r>
        <w:rPr>
          <w:color w:val="000000"/>
          <w:spacing w:val="0"/>
          <w:w w:val="100"/>
          <w:position w:val="0"/>
        </w:rPr>
        <w:t>的《企业法人营业执照》</w:t>
      </w:r>
      <w:r>
        <w:rPr>
          <w:color w:val="000000"/>
          <w:spacing w:val="0"/>
          <w:w w:val="100"/>
          <w:position w:val="0"/>
          <w:sz w:val="18"/>
          <w:szCs w:val="18"/>
        </w:rPr>
        <w:t>，</w:t>
      </w:r>
      <w:r>
        <w:rPr>
          <w:color w:val="000000"/>
          <w:spacing w:val="0"/>
          <w:w w:val="100"/>
          <w:position w:val="0"/>
        </w:rPr>
        <w:t>注册资本为 人民币</w:t>
      </w:r>
      <w:r>
        <w:rPr>
          <w:color w:val="000000"/>
          <w:spacing w:val="0"/>
          <w:w w:val="100"/>
          <w:position w:val="0"/>
          <w:sz w:val="18"/>
          <w:szCs w:val="18"/>
        </w:rPr>
        <w:t xml:space="preserve">36,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万元，总股本为</w:t>
      </w:r>
      <w:r>
        <w:rPr>
          <w:color w:val="000000"/>
          <w:spacing w:val="0"/>
          <w:w w:val="100"/>
          <w:position w:val="0"/>
          <w:sz w:val="18"/>
          <w:szCs w:val="18"/>
        </w:rPr>
        <w:t>36,000</w:t>
      </w:r>
      <w:r>
        <w:rPr>
          <w:color w:val="000000"/>
          <w:spacing w:val="0"/>
          <w:w w:val="100"/>
          <w:position w:val="0"/>
        </w:rPr>
        <w:t>万股（每股面值人民币</w:t>
      </w:r>
      <w:r>
        <w:rPr>
          <w:color w:val="000000"/>
          <w:spacing w:val="0"/>
          <w:w w:val="100"/>
          <w:position w:val="0"/>
          <w:sz w:val="18"/>
          <w:szCs w:val="18"/>
        </w:rPr>
        <w:t>1</w:t>
      </w:r>
      <w:r>
        <w:rPr>
          <w:color w:val="000000"/>
          <w:spacing w:val="0"/>
          <w:w w:val="100"/>
          <w:position w:val="0"/>
        </w:rPr>
        <w:t>元）。公司注册地：北京市海淀区西北旺东路</w:t>
      </w:r>
      <w:r>
        <w:rPr>
          <w:color w:val="000000"/>
          <w:spacing w:val="0"/>
          <w:w w:val="100"/>
          <w:position w:val="0"/>
          <w:sz w:val="18"/>
          <w:szCs w:val="18"/>
        </w:rPr>
        <w:t>10</w:t>
      </w:r>
      <w:r>
        <w:rPr>
          <w:color w:val="000000"/>
          <w:spacing w:val="0"/>
          <w:w w:val="100"/>
          <w:position w:val="0"/>
        </w:rPr>
        <w:t>号院东区</w:t>
      </w:r>
      <w:r>
        <w:rPr>
          <w:color w:val="000000"/>
          <w:spacing w:val="0"/>
          <w:w w:val="100"/>
          <w:position w:val="0"/>
          <w:sz w:val="18"/>
          <w:szCs w:val="18"/>
        </w:rPr>
        <w:t xml:space="preserve">16 </w:t>
      </w:r>
      <w:r>
        <w:rPr>
          <w:color w:val="000000"/>
          <w:spacing w:val="0"/>
          <w:w w:val="100"/>
          <w:position w:val="0"/>
        </w:rPr>
        <w:t>号楼</w:t>
      </w:r>
      <w:r>
        <w:rPr>
          <w:color w:val="000000"/>
          <w:spacing w:val="0"/>
          <w:w w:val="100"/>
          <w:position w:val="0"/>
          <w:sz w:val="18"/>
          <w:szCs w:val="18"/>
        </w:rPr>
        <w:t>5</w:t>
      </w:r>
      <w:r>
        <w:rPr>
          <w:color w:val="000000"/>
          <w:spacing w:val="0"/>
          <w:w w:val="100"/>
          <w:position w:val="0"/>
        </w:rPr>
        <w:t>层</w:t>
      </w:r>
      <w:r>
        <w:rPr>
          <w:color w:val="000000"/>
          <w:spacing w:val="0"/>
          <w:w w:val="100"/>
          <w:position w:val="0"/>
          <w:sz w:val="18"/>
          <w:szCs w:val="18"/>
        </w:rPr>
        <w:t>502</w:t>
      </w:r>
      <w:r>
        <w:rPr>
          <w:color w:val="000000"/>
          <w:spacing w:val="0"/>
          <w:w w:val="100"/>
          <w:position w:val="0"/>
        </w:rPr>
        <w:t>。法定代表人：刘天文。</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本公司的基本组织架构：根据国家法律法规和公司章程的规定，建立了由股东大会、董事会、监事会及经营管理层组 成的规范的多层次治理结构。</w:t>
      </w:r>
    </w:p>
    <w:p>
      <w:pPr>
        <w:pStyle w:val="Style22"/>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 xml:space="preserve">本公司属软件与信息技术服务行业。经营范围为：计算机技术开发、技术服务、技术培训、技术咨询、计算机软硬件 开发和批发（涉及配额许可证管理、专项规定管理的商品按照国家有关规定办理）；货物进出口、技术进出口、代理进出口 （国家限定公司经营或禁止进出口的商品和技术除外）；计算机系统服务；承办展览展示活动；旅游信息咨询；安全技术防 </w:t>
      </w:r>
      <w:r>
        <w:rPr>
          <w:color w:val="000000"/>
          <w:spacing w:val="0"/>
          <w:w w:val="100"/>
          <w:position w:val="0"/>
        </w:rPr>
        <w:t>范产品设计；出租办公用房；出租商业用房；销售医疗器械</w:t>
      </w:r>
      <w:r>
        <w:rPr>
          <w:color w:val="000000"/>
          <w:spacing w:val="0"/>
          <w:w w:val="100"/>
          <w:position w:val="0"/>
          <w:sz w:val="18"/>
          <w:szCs w:val="18"/>
        </w:rPr>
        <w:t>II</w:t>
      </w:r>
      <w:r>
        <w:rPr>
          <w:color w:val="000000"/>
          <w:spacing w:val="0"/>
          <w:w w:val="100"/>
          <w:position w:val="0"/>
        </w:rPr>
        <w:t>类。（市场主体依法自主选择经营项目，开展经营活动；依法 须经批准的项目，经相关部门批准后依批准的内容开展经营活动；不得从事国家和本市产业政策禁止和限制类项目的经营活 动。）</w:t>
      </w:r>
    </w:p>
    <w:p>
      <w:pPr>
        <w:pStyle w:val="Style37"/>
        <w:keepNext/>
        <w:keepLines/>
        <w:widowControl w:val="0"/>
        <w:shd w:val="clear" w:color="auto" w:fill="auto"/>
        <w:bidi w:val="0"/>
        <w:spacing w:before="0" w:after="0" w:line="314" w:lineRule="exact"/>
        <w:ind w:left="0" w:right="0" w:firstLine="44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color w:val="000000"/>
          <w:spacing w:val="0"/>
          <w:w w:val="100"/>
          <w:position w:val="0"/>
        </w:rPr>
        <w:t>二）公司历史沿革</w:t>
      </w:r>
      <w:bookmarkEnd w:id="805"/>
      <w:bookmarkEnd w:id="806"/>
      <w:bookmarkEnd w:id="808"/>
    </w:p>
    <w:p>
      <w:pPr>
        <w:pStyle w:val="Style22"/>
        <w:keepNext w:val="0"/>
        <w:keepLines w:val="0"/>
        <w:widowControl w:val="0"/>
        <w:shd w:val="clear" w:color="auto" w:fill="auto"/>
        <w:bidi w:val="0"/>
        <w:spacing w:before="0" w:after="0" w:line="314" w:lineRule="exact"/>
        <w:ind w:left="0" w:right="0" w:firstLine="440"/>
        <w:jc w:val="left"/>
      </w:pPr>
      <w:r>
        <w:rPr>
          <w:color w:val="000000"/>
          <w:spacing w:val="0"/>
          <w:w w:val="100"/>
          <w:position w:val="0"/>
          <w:sz w:val="18"/>
          <w:szCs w:val="18"/>
        </w:rPr>
        <w:t>1</w:t>
      </w:r>
      <w:r>
        <w:rPr>
          <w:color w:val="000000"/>
          <w:spacing w:val="0"/>
          <w:w w:val="100"/>
          <w:position w:val="0"/>
        </w:rPr>
        <w:t>.软通动力公司设立情况</w:t>
      </w:r>
    </w:p>
    <w:p>
      <w:pPr>
        <w:pStyle w:val="Style22"/>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本公司原名北京软通动力信息技术有限公司，系由在开曼群岛注册的软通动力控股有限公司（英文名称</w:t>
      </w:r>
      <w:r>
        <w:rPr>
          <w:color w:val="000000"/>
          <w:spacing w:val="0"/>
          <w:w w:val="100"/>
          <w:position w:val="0"/>
          <w:sz w:val="18"/>
          <w:szCs w:val="18"/>
        </w:rPr>
        <w:t>“iSoftStone Holdings Limited”，</w:t>
      </w:r>
      <w:r>
        <w:rPr>
          <w:color w:val="000000"/>
          <w:spacing w:val="0"/>
          <w:w w:val="100"/>
          <w:position w:val="0"/>
        </w:rPr>
        <w:t>以下简称软通开曼）出资设立的外商独资企业，于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日，取得北京市人民政府核发的“商外 资京资字</w:t>
      </w:r>
      <w:r>
        <w:rPr>
          <w:color w:val="000000"/>
          <w:spacing w:val="0"/>
          <w:w w:val="100"/>
          <w:position w:val="0"/>
          <w:sz w:val="18"/>
          <w:szCs w:val="18"/>
        </w:rPr>
        <w:t>［2005］17300</w:t>
      </w:r>
      <w:r>
        <w:rPr>
          <w:color w:val="000000"/>
          <w:spacing w:val="0"/>
          <w:w w:val="100"/>
          <w:position w:val="0"/>
        </w:rPr>
        <w:t>号”《中华人民共和国外商投资企业批准证书》，</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4</w:t>
      </w:r>
      <w:r>
        <w:rPr>
          <w:color w:val="000000"/>
          <w:spacing w:val="0"/>
          <w:w w:val="100"/>
          <w:position w:val="0"/>
        </w:rPr>
        <w:t>日在北京市工商行政管理局登记注册， 取得注册号为“企独京总字第</w:t>
      </w:r>
      <w:r>
        <w:rPr>
          <w:color w:val="000000"/>
          <w:spacing w:val="0"/>
          <w:w w:val="100"/>
          <w:position w:val="0"/>
          <w:sz w:val="18"/>
          <w:szCs w:val="18"/>
        </w:rPr>
        <w:t>027643</w:t>
      </w:r>
      <w:r>
        <w:rPr>
          <w:color w:val="000000"/>
          <w:spacing w:val="0"/>
          <w:w w:val="100"/>
          <w:position w:val="0"/>
        </w:rPr>
        <w:t>号”《企业法人营业执照》，成立时注册资本</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万美元，</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日软通开曼 缴纳出资</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万美元，业经北京心田祥会计师事务所有限公司于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日出具“京心田祥验字</w:t>
      </w:r>
      <w:r>
        <w:rPr>
          <w:color w:val="000000"/>
          <w:spacing w:val="0"/>
          <w:w w:val="100"/>
          <w:position w:val="0"/>
          <w:sz w:val="18"/>
          <w:szCs w:val="18"/>
        </w:rPr>
        <w:t>［2005</w:t>
      </w:r>
      <w:r>
        <w:rPr>
          <w:color w:val="000000"/>
          <w:spacing w:val="0"/>
          <w:w w:val="100"/>
          <w:position w:val="0"/>
        </w:rPr>
        <w:t>］第</w:t>
      </w:r>
      <w:r>
        <w:rPr>
          <w:color w:val="000000"/>
          <w:spacing w:val="0"/>
          <w:w w:val="100"/>
          <w:position w:val="0"/>
          <w:sz w:val="18"/>
          <w:szCs w:val="18"/>
        </w:rPr>
        <w:t>12-4</w:t>
      </w:r>
      <w:r>
        <w:rPr>
          <w:color w:val="000000"/>
          <w:spacing w:val="0"/>
          <w:w w:val="100"/>
          <w:position w:val="0"/>
        </w:rPr>
        <w:t>号”验 资报告予以验证。公司成立时各股东出资情况如下：</w:t>
      </w:r>
    </w:p>
    <w:tbl>
      <w:tblPr>
        <w:tblOverlap w:val="never"/>
        <w:jc w:val="center"/>
        <w:tblLayout w:type="fixed"/>
      </w:tblPr>
      <w:tblGrid>
        <w:gridCol w:w="854"/>
        <w:gridCol w:w="1651"/>
        <w:gridCol w:w="3259"/>
        <w:gridCol w:w="1651"/>
        <w:gridCol w:w="2261"/>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出资比例（%）</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软通开曼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sz w:val="18"/>
          <w:szCs w:val="18"/>
        </w:rPr>
        <w:t>2</w:t>
      </w:r>
      <w:r>
        <w:rPr>
          <w:color w:val="000000"/>
          <w:spacing w:val="0"/>
          <w:w w:val="100"/>
          <w:position w:val="0"/>
        </w:rPr>
        <w:t>.软通动力公司第一次增资情况</w:t>
      </w:r>
    </w:p>
    <w:p>
      <w:pPr>
        <w:widowControl w:val="0"/>
        <w:spacing w:line="1" w:lineRule="exact"/>
      </w:pPr>
    </w:p>
    <w:p>
      <w:pPr>
        <w:pStyle w:val="Style29"/>
        <w:keepNext w:val="0"/>
        <w:keepLines w:val="0"/>
        <w:widowControl w:val="0"/>
        <w:shd w:val="clear" w:color="auto" w:fill="auto"/>
        <w:bidi w:val="0"/>
        <w:spacing w:before="0" w:after="0" w:line="312" w:lineRule="exact"/>
        <w:ind w:left="0" w:right="0" w:firstLine="0"/>
        <w:jc w:val="distribute"/>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29</w:t>
      </w:r>
      <w:r>
        <w:rPr>
          <w:color w:val="000000"/>
          <w:spacing w:val="0"/>
          <w:w w:val="100"/>
          <w:position w:val="0"/>
        </w:rPr>
        <w:t>日，中关村科技园区海淀园管理委员会出具“海园发</w:t>
      </w:r>
      <w:r>
        <w:rPr>
          <w:color w:val="000000"/>
          <w:spacing w:val="0"/>
          <w:w w:val="100"/>
          <w:position w:val="0"/>
          <w:sz w:val="18"/>
          <w:szCs w:val="18"/>
        </w:rPr>
        <w:t>［2006］1328</w:t>
      </w:r>
      <w:r>
        <w:rPr>
          <w:color w:val="000000"/>
          <w:spacing w:val="0"/>
          <w:w w:val="100"/>
          <w:position w:val="0"/>
        </w:rPr>
        <w:t>号”《关于外资企业“北京软通动力信息 技术有限公司”增资的批复》</w:t>
      </w:r>
      <w:r>
        <w:rPr>
          <w:color w:val="000000"/>
          <w:spacing w:val="0"/>
          <w:w w:val="100"/>
          <w:position w:val="0"/>
          <w:sz w:val="18"/>
          <w:szCs w:val="18"/>
        </w:rPr>
        <w:t>，</w:t>
      </w:r>
      <w:r>
        <w:rPr>
          <w:color w:val="000000"/>
          <w:spacing w:val="0"/>
          <w:w w:val="100"/>
          <w:position w:val="0"/>
        </w:rPr>
        <w:t>同意软通动力公司注册资本由</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万美元增至</w:t>
      </w:r>
      <w:r>
        <w:rPr>
          <w:color w:val="000000"/>
          <w:spacing w:val="0"/>
          <w:w w:val="100"/>
          <w:position w:val="0"/>
          <w:sz w:val="18"/>
          <w:szCs w:val="18"/>
        </w:rPr>
        <w:t>1,000.00</w:t>
      </w:r>
      <w:r>
        <w:rPr>
          <w:color w:val="000000"/>
          <w:spacing w:val="0"/>
          <w:w w:val="100"/>
          <w:position w:val="0"/>
        </w:rPr>
        <w:t>万美元。新增出资</w:t>
      </w:r>
      <w:r>
        <w:rPr>
          <w:color w:val="000000"/>
          <w:spacing w:val="0"/>
          <w:w w:val="100"/>
          <w:position w:val="0"/>
          <w:sz w:val="18"/>
          <w:szCs w:val="18"/>
        </w:rPr>
        <w:t>200.00</w:t>
      </w:r>
      <w:r>
        <w:rPr>
          <w:color w:val="000000"/>
          <w:spacing w:val="0"/>
          <w:w w:val="100"/>
          <w:position w:val="0"/>
        </w:rPr>
        <w:t>万美元由 软通开曼于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7</w:t>
      </w:r>
      <w:r>
        <w:rPr>
          <w:color w:val="000000"/>
          <w:spacing w:val="0"/>
          <w:w w:val="100"/>
          <w:position w:val="0"/>
        </w:rPr>
        <w:t>日以美元现汇缴存，业经天华正信（北京）会计师事务所有限公司于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日出具“天华正信 验字</w:t>
      </w:r>
      <w:r>
        <w:rPr>
          <w:color w:val="000000"/>
          <w:spacing w:val="0"/>
          <w:w w:val="100"/>
          <w:position w:val="0"/>
          <w:sz w:val="18"/>
          <w:szCs w:val="18"/>
        </w:rPr>
        <w:t>［2007］</w:t>
      </w:r>
      <w:r>
        <w:rPr>
          <w:color w:val="000000"/>
          <w:spacing w:val="0"/>
          <w:w w:val="100"/>
          <w:position w:val="0"/>
        </w:rPr>
        <w:t>第</w:t>
      </w:r>
      <w:r>
        <w:rPr>
          <w:color w:val="000000"/>
          <w:spacing w:val="0"/>
          <w:w w:val="100"/>
          <w:position w:val="0"/>
          <w:sz w:val="18"/>
          <w:szCs w:val="18"/>
        </w:rPr>
        <w:t>03-26</w:t>
      </w:r>
      <w:r>
        <w:rPr>
          <w:color w:val="000000"/>
          <w:spacing w:val="0"/>
          <w:w w:val="100"/>
          <w:position w:val="0"/>
        </w:rPr>
        <w:t>号”验资报告予以验证。</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10</w:t>
      </w:r>
      <w:r>
        <w:rPr>
          <w:color w:val="000000"/>
          <w:spacing w:val="0"/>
          <w:w w:val="100"/>
          <w:position w:val="0"/>
        </w:rPr>
        <w:t>日，经北京市人民政府批准，换发“商外资京资字</w:t>
      </w:r>
      <w:r>
        <w:rPr>
          <w:color w:val="000000"/>
          <w:spacing w:val="0"/>
          <w:w w:val="100"/>
          <w:position w:val="0"/>
          <w:sz w:val="18"/>
          <w:szCs w:val="18"/>
        </w:rPr>
        <w:t xml:space="preserve">［2005］17300 </w:t>
      </w:r>
      <w:r>
        <w:rPr>
          <w:color w:val="000000"/>
          <w:spacing w:val="0"/>
          <w:w w:val="100"/>
          <w:position w:val="0"/>
        </w:rPr>
        <w:t>号”《中华人民共和国外商投资企业批准证书》。</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日完成工商变更登记，增资后各股东出资情况如下：</w:t>
      </w:r>
    </w:p>
    <w:tbl>
      <w:tblPr>
        <w:tblOverlap w:val="never"/>
        <w:jc w:val="center"/>
        <w:tblLayout w:type="fixed"/>
      </w:tblPr>
      <w:tblGrid>
        <w:gridCol w:w="835"/>
        <w:gridCol w:w="2472"/>
        <w:gridCol w:w="2496"/>
        <w:gridCol w:w="1934"/>
        <w:gridCol w:w="1939"/>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出资比例（%）</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软通开曼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sz w:val="18"/>
          <w:szCs w:val="18"/>
        </w:rPr>
        <w:t>3</w:t>
      </w:r>
      <w:r>
        <w:rPr>
          <w:color w:val="000000"/>
          <w:spacing w:val="0"/>
          <w:w w:val="100"/>
          <w:position w:val="0"/>
        </w:rPr>
        <w:t>.软通动力公司第二次增资情况</w:t>
      </w:r>
    </w:p>
    <w:p>
      <w:pPr>
        <w:widowControl w:val="0"/>
        <w:spacing w:line="1" w:lineRule="exact"/>
      </w:pPr>
    </w:p>
    <w:p>
      <w:pPr>
        <w:pStyle w:val="Style29"/>
        <w:keepNext w:val="0"/>
        <w:keepLines w:val="0"/>
        <w:widowControl w:val="0"/>
        <w:shd w:val="clear" w:color="auto" w:fill="auto"/>
        <w:bidi w:val="0"/>
        <w:spacing w:before="0" w:after="0" w:line="312" w:lineRule="exact"/>
        <w:ind w:left="0" w:right="0" w:firstLine="0"/>
        <w:jc w:val="distribute"/>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日，中关村科技园区海淀园管理委员会出具“海园发</w:t>
      </w:r>
      <w:r>
        <w:rPr>
          <w:color w:val="000000"/>
          <w:spacing w:val="0"/>
          <w:w w:val="100"/>
          <w:position w:val="0"/>
          <w:sz w:val="18"/>
          <w:szCs w:val="18"/>
        </w:rPr>
        <w:t>［2007］326</w:t>
      </w:r>
      <w:r>
        <w:rPr>
          <w:color w:val="000000"/>
          <w:spacing w:val="0"/>
          <w:w w:val="100"/>
          <w:position w:val="0"/>
        </w:rPr>
        <w:t>号”《关于外资企业“北京软通动力信息技 术有限公司</w:t>
      </w:r>
      <w:r>
        <w:rPr>
          <w:color w:val="000000"/>
          <w:spacing w:val="0"/>
          <w:w w:val="100"/>
          <w:position w:val="0"/>
          <w:sz w:val="18"/>
          <w:szCs w:val="18"/>
        </w:rPr>
        <w:t>”</w:t>
      </w:r>
      <w:r>
        <w:rPr>
          <w:color w:val="000000"/>
          <w:spacing w:val="0"/>
          <w:w w:val="100"/>
          <w:position w:val="0"/>
        </w:rPr>
        <w:t>增资的批复》</w:t>
      </w:r>
      <w:r>
        <w:rPr>
          <w:color w:val="000000"/>
          <w:spacing w:val="0"/>
          <w:w w:val="100"/>
          <w:position w:val="0"/>
          <w:sz w:val="18"/>
          <w:szCs w:val="18"/>
        </w:rPr>
        <w:t>，</w:t>
      </w:r>
      <w:r>
        <w:rPr>
          <w:color w:val="000000"/>
          <w:spacing w:val="0"/>
          <w:w w:val="100"/>
          <w:position w:val="0"/>
        </w:rPr>
        <w:t>同意软通动力公司注册资本由</w:t>
      </w: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万美元增至</w:t>
      </w:r>
      <w:r>
        <w:rPr>
          <w:color w:val="000000"/>
          <w:spacing w:val="0"/>
          <w:w w:val="100"/>
          <w:position w:val="0"/>
          <w:sz w:val="18"/>
          <w:szCs w:val="18"/>
        </w:rPr>
        <w:t xml:space="preserve">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万美元。新增出资</w:t>
      </w: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万美元 由软通开曼于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日以美元现汇缴存，业经天华正信（北京）会计师事务所有限公司于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日出具“天华正 信验字</w:t>
      </w:r>
      <w:r>
        <w:rPr>
          <w:color w:val="000000"/>
          <w:spacing w:val="0"/>
          <w:w w:val="100"/>
          <w:position w:val="0"/>
          <w:sz w:val="18"/>
          <w:szCs w:val="18"/>
        </w:rPr>
        <w:t>［2007］</w:t>
      </w:r>
      <w:r>
        <w:rPr>
          <w:color w:val="000000"/>
          <w:spacing w:val="0"/>
          <w:w w:val="100"/>
          <w:position w:val="0"/>
        </w:rPr>
        <w:t>第</w:t>
      </w:r>
      <w:r>
        <w:rPr>
          <w:color w:val="000000"/>
          <w:spacing w:val="0"/>
          <w:w w:val="100"/>
          <w:position w:val="0"/>
          <w:sz w:val="18"/>
          <w:szCs w:val="18"/>
        </w:rPr>
        <w:t>5-43</w:t>
      </w:r>
      <w:r>
        <w:rPr>
          <w:color w:val="000000"/>
          <w:spacing w:val="0"/>
          <w:w w:val="100"/>
          <w:position w:val="0"/>
        </w:rPr>
        <w:t>号”验资报告予以验证。</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日，经北京市人民政府批准，换发“商外资京资字</w:t>
      </w:r>
      <w:r>
        <w:rPr>
          <w:color w:val="000000"/>
          <w:spacing w:val="0"/>
          <w:w w:val="100"/>
          <w:position w:val="0"/>
          <w:sz w:val="18"/>
          <w:szCs w:val="18"/>
        </w:rPr>
        <w:t xml:space="preserve">［2005］17300 </w:t>
      </w:r>
      <w:r>
        <w:rPr>
          <w:color w:val="000000"/>
          <w:spacing w:val="0"/>
          <w:w w:val="100"/>
          <w:position w:val="0"/>
        </w:rPr>
        <w:t>号”《中华人民共和国外商投资企业批准证书》。</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日完成工商变更登记，增资后各股东出资情况如下：</w:t>
      </w:r>
    </w:p>
    <w:tbl>
      <w:tblPr>
        <w:tblOverlap w:val="never"/>
        <w:jc w:val="center"/>
        <w:tblLayout w:type="fixed"/>
      </w:tblPr>
      <w:tblGrid>
        <w:gridCol w:w="835"/>
        <w:gridCol w:w="2472"/>
        <w:gridCol w:w="2496"/>
        <w:gridCol w:w="1934"/>
        <w:gridCol w:w="1939"/>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出资比例（%）</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软通开曼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18" w:right="0" w:firstLine="0"/>
        <w:jc w:val="left"/>
      </w:pPr>
      <w:r>
        <w:rPr>
          <w:color w:val="000000"/>
          <w:spacing w:val="0"/>
          <w:w w:val="100"/>
          <w:position w:val="0"/>
          <w:sz w:val="18"/>
          <w:szCs w:val="18"/>
        </w:rPr>
        <w:t>4</w:t>
      </w:r>
      <w:r>
        <w:rPr>
          <w:color w:val="000000"/>
          <w:spacing w:val="0"/>
          <w:w w:val="100"/>
          <w:position w:val="0"/>
        </w:rPr>
        <w:t>.软通动力公司第三次增资情况</w:t>
      </w:r>
    </w:p>
    <w:p>
      <w:pPr>
        <w:pStyle w:val="Style22"/>
        <w:keepNext w:val="0"/>
        <w:keepLines w:val="0"/>
        <w:widowControl w:val="0"/>
        <w:shd w:val="clear" w:color="auto" w:fill="auto"/>
        <w:bidi w:val="0"/>
        <w:spacing w:before="0" w:after="60" w:line="312" w:lineRule="exact"/>
        <w:ind w:left="0" w:right="0" w:firstLine="440"/>
        <w:jc w:val="left"/>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日，中关村科技园区海淀园管理委员会出具“海园发</w:t>
      </w:r>
      <w:r>
        <w:rPr>
          <w:color w:val="000000"/>
          <w:spacing w:val="0"/>
          <w:w w:val="100"/>
          <w:position w:val="0"/>
          <w:sz w:val="18"/>
          <w:szCs w:val="18"/>
        </w:rPr>
        <w:t>［2007］685</w:t>
      </w:r>
      <w:r>
        <w:rPr>
          <w:color w:val="000000"/>
          <w:spacing w:val="0"/>
          <w:w w:val="100"/>
          <w:position w:val="0"/>
        </w:rPr>
        <w:t>号”《关于外资企业“北京软通动力信息 技术有限公司”增资的批复》</w:t>
      </w:r>
      <w:r>
        <w:rPr>
          <w:color w:val="000000"/>
          <w:spacing w:val="0"/>
          <w:w w:val="100"/>
          <w:position w:val="0"/>
          <w:sz w:val="18"/>
          <w:szCs w:val="18"/>
        </w:rPr>
        <w:t>，</w:t>
      </w:r>
      <w:r>
        <w:rPr>
          <w:color w:val="000000"/>
          <w:spacing w:val="0"/>
          <w:w w:val="100"/>
          <w:position w:val="0"/>
        </w:rPr>
        <w:t>同意软通动力公司注册资本由</w:t>
      </w:r>
      <w:r>
        <w:rPr>
          <w:color w:val="000000"/>
          <w:spacing w:val="0"/>
          <w:w w:val="100"/>
          <w:position w:val="0"/>
          <w:sz w:val="18"/>
          <w:szCs w:val="18"/>
        </w:rPr>
        <w:t>2,000.00</w:t>
      </w:r>
      <w:r>
        <w:rPr>
          <w:color w:val="000000"/>
          <w:spacing w:val="0"/>
          <w:w w:val="100"/>
          <w:position w:val="0"/>
        </w:rPr>
        <w:t>万美元增至</w:t>
      </w:r>
      <w:r>
        <w:rPr>
          <w:color w:val="000000"/>
          <w:spacing w:val="0"/>
          <w:w w:val="100"/>
          <w:position w:val="0"/>
          <w:sz w:val="18"/>
          <w:szCs w:val="18"/>
        </w:rPr>
        <w:t>2,600.00</w:t>
      </w:r>
      <w:r>
        <w:rPr>
          <w:color w:val="000000"/>
          <w:spacing w:val="0"/>
          <w:w w:val="100"/>
          <w:position w:val="0"/>
        </w:rPr>
        <w:t>万美元。新增出资</w:t>
      </w:r>
      <w:r>
        <w:rPr>
          <w:color w:val="000000"/>
          <w:spacing w:val="0"/>
          <w:w w:val="100"/>
          <w:position w:val="0"/>
          <w:sz w:val="18"/>
          <w:szCs w:val="18"/>
        </w:rPr>
        <w:t xml:space="preserve">600. </w:t>
      </w:r>
      <w:r>
        <w:rPr>
          <w:color w:val="000000"/>
          <w:spacing w:val="0"/>
          <w:w w:val="100"/>
          <w:position w:val="0"/>
          <w:sz w:val="18"/>
          <w:szCs w:val="18"/>
        </w:rPr>
        <w:t>00</w:t>
      </w:r>
      <w:r>
        <w:rPr>
          <w:color w:val="000000"/>
          <w:spacing w:val="0"/>
          <w:w w:val="100"/>
          <w:position w:val="0"/>
        </w:rPr>
        <w:t>万美元 由软通开曼于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日分三期以美元现汇缴存，业经天华正信（北京）会计师事务 所有限公司于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日出具“天华正信验字</w:t>
      </w:r>
      <w:r>
        <w:rPr>
          <w:color w:val="000000"/>
          <w:spacing w:val="0"/>
          <w:w w:val="100"/>
          <w:position w:val="0"/>
          <w:sz w:val="18"/>
          <w:szCs w:val="18"/>
        </w:rPr>
        <w:t>［2008</w:t>
      </w:r>
      <w:r>
        <w:rPr>
          <w:color w:val="000000"/>
          <w:spacing w:val="0"/>
          <w:w w:val="100"/>
          <w:position w:val="0"/>
        </w:rPr>
        <w:t>］第</w:t>
      </w:r>
      <w:r>
        <w:rPr>
          <w:color w:val="000000"/>
          <w:spacing w:val="0"/>
          <w:w w:val="100"/>
          <w:position w:val="0"/>
          <w:sz w:val="18"/>
          <w:szCs w:val="18"/>
        </w:rPr>
        <w:t>1-47</w:t>
      </w:r>
      <w:r>
        <w:rPr>
          <w:color w:val="000000"/>
          <w:spacing w:val="0"/>
          <w:w w:val="100"/>
          <w:position w:val="0"/>
        </w:rPr>
        <w:t>号”验资报告予以验证。</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日，经北京市人民政府 批准，换发“商外资京资字</w:t>
      </w:r>
      <w:r>
        <w:rPr>
          <w:color w:val="000000"/>
          <w:spacing w:val="0"/>
          <w:w w:val="100"/>
          <w:position w:val="0"/>
          <w:sz w:val="18"/>
          <w:szCs w:val="18"/>
        </w:rPr>
        <w:t>［2005］17300</w:t>
      </w:r>
      <w:r>
        <w:rPr>
          <w:color w:val="000000"/>
          <w:spacing w:val="0"/>
          <w:w w:val="100"/>
          <w:position w:val="0"/>
        </w:rPr>
        <w:t>号”《中华人民共和国外商投资企业批准证书》。</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3</w:t>
      </w:r>
      <w:r>
        <w:rPr>
          <w:color w:val="000000"/>
          <w:spacing w:val="0"/>
          <w:w w:val="100"/>
          <w:position w:val="0"/>
        </w:rPr>
        <w:t>日完成工商变更登记， 增资后各股东出资情况如下：</w:t>
      </w:r>
    </w:p>
    <w:tbl>
      <w:tblPr>
        <w:tblOverlap w:val="never"/>
        <w:jc w:val="center"/>
        <w:tblLayout w:type="fixed"/>
      </w:tblPr>
      <w:tblGrid>
        <w:gridCol w:w="835"/>
        <w:gridCol w:w="2472"/>
        <w:gridCol w:w="2496"/>
        <w:gridCol w:w="1934"/>
        <w:gridCol w:w="1939"/>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出资比例（%）</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软通开曼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600.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sz w:val="18"/>
          <w:szCs w:val="18"/>
        </w:rPr>
        <w:t>5</w:t>
      </w:r>
      <w:r>
        <w:rPr>
          <w:color w:val="000000"/>
          <w:spacing w:val="0"/>
          <w:w w:val="100"/>
          <w:position w:val="0"/>
        </w:rPr>
        <w:t>.软通动力公司第四次增资情况</w:t>
      </w:r>
    </w:p>
    <w:p>
      <w:pPr>
        <w:pStyle w:val="Style22"/>
        <w:keepNext w:val="0"/>
        <w:keepLines w:val="0"/>
        <w:widowControl w:val="0"/>
        <w:shd w:val="clear" w:color="auto" w:fill="auto"/>
        <w:bidi w:val="0"/>
        <w:spacing w:before="0" w:after="0" w:line="312" w:lineRule="exact"/>
        <w:ind w:left="0" w:right="0" w:firstLine="440"/>
        <w:jc w:val="left"/>
        <w:rPr>
          <w:sz w:val="18"/>
          <w:szCs w:val="18"/>
        </w:rPr>
      </w:pPr>
      <w:r>
        <w:rPr>
          <w:color w:val="000000"/>
          <w:spacing w:val="0"/>
          <w:w w:val="100"/>
          <w:position w:val="0"/>
          <w:sz w:val="18"/>
          <w:szCs w:val="18"/>
        </w:rPr>
        <w:t>2008</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日，北京市商务局出具“京商资字</w:t>
      </w:r>
      <w:r>
        <w:rPr>
          <w:color w:val="000000"/>
          <w:spacing w:val="0"/>
          <w:w w:val="100"/>
          <w:position w:val="0"/>
          <w:sz w:val="18"/>
          <w:szCs w:val="18"/>
        </w:rPr>
        <w:t>［2008］476</w:t>
      </w:r>
      <w:r>
        <w:rPr>
          <w:color w:val="000000"/>
          <w:spacing w:val="0"/>
          <w:w w:val="100"/>
          <w:position w:val="0"/>
          <w:sz w:val="17"/>
          <w:szCs w:val="17"/>
        </w:rPr>
        <w:t>号”《北京市商务局关于北京软通动力信息技术有限公司修 改章程的批复》</w:t>
      </w:r>
      <w:r>
        <w:rPr>
          <w:color w:val="000000"/>
          <w:spacing w:val="0"/>
          <w:w w:val="100"/>
          <w:position w:val="0"/>
          <w:sz w:val="18"/>
          <w:szCs w:val="18"/>
        </w:rPr>
        <w:t>，</w:t>
      </w:r>
      <w:r>
        <w:rPr>
          <w:color w:val="000000"/>
          <w:spacing w:val="0"/>
          <w:w w:val="100"/>
          <w:position w:val="0"/>
          <w:sz w:val="17"/>
          <w:szCs w:val="17"/>
        </w:rPr>
        <w:t>同意软通动力公司注册资本由</w:t>
      </w:r>
      <w:r>
        <w:rPr>
          <w:color w:val="000000"/>
          <w:spacing w:val="0"/>
          <w:w w:val="100"/>
          <w:position w:val="0"/>
          <w:sz w:val="18"/>
          <w:szCs w:val="18"/>
        </w:rPr>
        <w:t>2,600.00</w:t>
      </w:r>
      <w:r>
        <w:rPr>
          <w:color w:val="000000"/>
          <w:spacing w:val="0"/>
          <w:w w:val="100"/>
          <w:position w:val="0"/>
          <w:sz w:val="17"/>
          <w:szCs w:val="17"/>
        </w:rPr>
        <w:t>万美元增至</w:t>
      </w:r>
      <w:r>
        <w:rPr>
          <w:color w:val="000000"/>
          <w:spacing w:val="0"/>
          <w:w w:val="100"/>
          <w:position w:val="0"/>
          <w:sz w:val="18"/>
          <w:szCs w:val="18"/>
        </w:rPr>
        <w:t xml:space="preserve">3, </w:t>
      </w:r>
      <w:r>
        <w:rPr>
          <w:color w:val="000000"/>
          <w:spacing w:val="0"/>
          <w:w w:val="100"/>
          <w:position w:val="0"/>
          <w:sz w:val="18"/>
          <w:szCs w:val="18"/>
        </w:rPr>
        <w:t xml:space="preserve">080. </w:t>
      </w:r>
      <w:r>
        <w:rPr>
          <w:color w:val="000000"/>
          <w:spacing w:val="0"/>
          <w:w w:val="100"/>
          <w:position w:val="0"/>
          <w:sz w:val="18"/>
          <w:szCs w:val="18"/>
        </w:rPr>
        <w:t>00</w:t>
      </w:r>
      <w:r>
        <w:rPr>
          <w:color w:val="000000"/>
          <w:spacing w:val="0"/>
          <w:w w:val="100"/>
          <w:position w:val="0"/>
          <w:sz w:val="17"/>
          <w:szCs w:val="17"/>
        </w:rPr>
        <w:t>万美元。新增出资</w:t>
      </w:r>
      <w:r>
        <w:rPr>
          <w:color w:val="000000"/>
          <w:spacing w:val="0"/>
          <w:w w:val="100"/>
          <w:position w:val="0"/>
          <w:sz w:val="18"/>
          <w:szCs w:val="18"/>
        </w:rPr>
        <w:t xml:space="preserve">480. </w:t>
      </w:r>
      <w:r>
        <w:rPr>
          <w:color w:val="000000"/>
          <w:spacing w:val="0"/>
          <w:w w:val="100"/>
          <w:position w:val="0"/>
          <w:sz w:val="18"/>
          <w:szCs w:val="18"/>
        </w:rPr>
        <w:t>00</w:t>
      </w:r>
      <w:r>
        <w:rPr>
          <w:color w:val="000000"/>
          <w:spacing w:val="0"/>
          <w:w w:val="100"/>
          <w:position w:val="0"/>
          <w:sz w:val="17"/>
          <w:szCs w:val="17"/>
        </w:rPr>
        <w:t xml:space="preserve">万美元由软通开曼于 </w:t>
      </w:r>
      <w:r>
        <w:rPr>
          <w:color w:val="000000"/>
          <w:spacing w:val="0"/>
          <w:w w:val="100"/>
          <w:position w:val="0"/>
          <w:sz w:val="18"/>
          <w:szCs w:val="18"/>
        </w:rPr>
        <w:t>2008</w:t>
      </w:r>
      <w:r>
        <w:rPr>
          <w:color w:val="000000"/>
          <w:spacing w:val="0"/>
          <w:w w:val="100"/>
          <w:position w:val="0"/>
          <w:sz w:val="17"/>
          <w:szCs w:val="17"/>
        </w:rPr>
        <w:t>年</w:t>
      </w:r>
      <w:r>
        <w:rPr>
          <w:color w:val="000000"/>
          <w:spacing w:val="0"/>
          <w:w w:val="100"/>
          <w:position w:val="0"/>
          <w:sz w:val="18"/>
          <w:szCs w:val="18"/>
        </w:rPr>
        <w:t>4</w:t>
      </w:r>
      <w:r>
        <w:rPr>
          <w:color w:val="000000"/>
          <w:spacing w:val="0"/>
          <w:w w:val="100"/>
          <w:position w:val="0"/>
          <w:sz w:val="17"/>
          <w:szCs w:val="17"/>
        </w:rPr>
        <w:t>月</w:t>
      </w:r>
      <w:r>
        <w:rPr>
          <w:color w:val="000000"/>
          <w:spacing w:val="0"/>
          <w:w w:val="100"/>
          <w:position w:val="0"/>
          <w:sz w:val="18"/>
          <w:szCs w:val="18"/>
        </w:rPr>
        <w:t>30</w:t>
      </w:r>
      <w:r>
        <w:rPr>
          <w:color w:val="000000"/>
          <w:spacing w:val="0"/>
          <w:w w:val="100"/>
          <w:position w:val="0"/>
          <w:sz w:val="17"/>
          <w:szCs w:val="17"/>
        </w:rPr>
        <w:t>日以美元现汇缴存，业经天华正信（北京）会计师事务所有限公司于</w:t>
      </w:r>
      <w:r>
        <w:rPr>
          <w:color w:val="000000"/>
          <w:spacing w:val="0"/>
          <w:w w:val="100"/>
          <w:position w:val="0"/>
          <w:sz w:val="18"/>
          <w:szCs w:val="18"/>
        </w:rPr>
        <w:t>2008</w:t>
      </w:r>
      <w:r>
        <w:rPr>
          <w:color w:val="000000"/>
          <w:spacing w:val="0"/>
          <w:w w:val="100"/>
          <w:position w:val="0"/>
          <w:sz w:val="17"/>
          <w:szCs w:val="17"/>
        </w:rPr>
        <w:t>年</w:t>
      </w:r>
      <w:r>
        <w:rPr>
          <w:color w:val="000000"/>
          <w:spacing w:val="0"/>
          <w:w w:val="100"/>
          <w:position w:val="0"/>
          <w:sz w:val="18"/>
          <w:szCs w:val="18"/>
        </w:rPr>
        <w:t>6</w:t>
      </w:r>
      <w:r>
        <w:rPr>
          <w:color w:val="000000"/>
          <w:spacing w:val="0"/>
          <w:w w:val="100"/>
          <w:position w:val="0"/>
          <w:sz w:val="17"/>
          <w:szCs w:val="17"/>
        </w:rPr>
        <w:t>月</w:t>
      </w:r>
      <w:r>
        <w:rPr>
          <w:color w:val="000000"/>
          <w:spacing w:val="0"/>
          <w:w w:val="100"/>
          <w:position w:val="0"/>
          <w:sz w:val="18"/>
          <w:szCs w:val="18"/>
        </w:rPr>
        <w:t>2</w:t>
      </w:r>
      <w:r>
        <w:rPr>
          <w:color w:val="000000"/>
          <w:spacing w:val="0"/>
          <w:w w:val="100"/>
          <w:position w:val="0"/>
          <w:sz w:val="17"/>
          <w:szCs w:val="17"/>
        </w:rPr>
        <w:t>日出具“天华正信验字</w:t>
      </w:r>
      <w:r>
        <w:rPr>
          <w:color w:val="000000"/>
          <w:spacing w:val="0"/>
          <w:w w:val="100"/>
          <w:position w:val="0"/>
          <w:sz w:val="18"/>
          <w:szCs w:val="18"/>
        </w:rPr>
        <w:t>［2008］</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w:t>
      </w:r>
      <w:r>
        <w:rPr>
          <w:color w:val="000000"/>
          <w:spacing w:val="0"/>
          <w:w w:val="100"/>
          <w:position w:val="0"/>
          <w:sz w:val="18"/>
          <w:szCs w:val="18"/>
        </w:rPr>
        <w:t>6-1</w:t>
      </w:r>
      <w:r>
        <w:rPr>
          <w:color w:val="000000"/>
          <w:spacing w:val="0"/>
          <w:w w:val="100"/>
          <w:position w:val="0"/>
        </w:rPr>
        <w:t>号”验资报告予以验证。</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6</w:t>
      </w:r>
      <w:r>
        <w:rPr>
          <w:color w:val="000000"/>
          <w:spacing w:val="0"/>
          <w:w w:val="100"/>
          <w:position w:val="0"/>
        </w:rPr>
        <w:t>日，经北京市人民政府批准，换发“商外资京资字</w:t>
      </w:r>
      <w:r>
        <w:rPr>
          <w:color w:val="000000"/>
          <w:spacing w:val="0"/>
          <w:w w:val="100"/>
          <w:position w:val="0"/>
          <w:sz w:val="18"/>
          <w:szCs w:val="18"/>
        </w:rPr>
        <w:t>[2005]17300</w:t>
      </w:r>
      <w:r>
        <w:rPr>
          <w:color w:val="000000"/>
          <w:spacing w:val="0"/>
          <w:w w:val="100"/>
          <w:position w:val="0"/>
        </w:rPr>
        <w:t>号”《中华人民共 和国外商投资企业批准证书》。</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日完成工商变更登记，增资后各股东出资情况如下：</w:t>
      </w:r>
    </w:p>
    <w:tbl>
      <w:tblPr>
        <w:tblOverlap w:val="never"/>
        <w:jc w:val="center"/>
        <w:tblLayout w:type="fixed"/>
      </w:tblPr>
      <w:tblGrid>
        <w:gridCol w:w="835"/>
        <w:gridCol w:w="2472"/>
        <w:gridCol w:w="2496"/>
        <w:gridCol w:w="1934"/>
        <w:gridCol w:w="1939"/>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出资比例（%）</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软通开曼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080.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sz w:val="18"/>
          <w:szCs w:val="18"/>
        </w:rPr>
        <w:t>6</w:t>
      </w:r>
      <w:r>
        <w:rPr>
          <w:color w:val="000000"/>
          <w:spacing w:val="0"/>
          <w:w w:val="100"/>
          <w:position w:val="0"/>
        </w:rPr>
        <w:t>.软通动力公司第一次名称变更情况</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日，经股东会决议修改公司章程，决定软通动力公司名称变更为“软通动力信息技术（集团）有限公司”， 并于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日完成工商变更登记。</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sz w:val="18"/>
          <w:szCs w:val="18"/>
        </w:rPr>
        <w:t>7</w:t>
      </w:r>
      <w:r>
        <w:rPr>
          <w:color w:val="000000"/>
          <w:spacing w:val="0"/>
          <w:w w:val="100"/>
          <w:position w:val="0"/>
        </w:rPr>
        <w:t>.软通动力公司第五次增资情况</w:t>
      </w:r>
    </w:p>
    <w:p>
      <w:pPr>
        <w:pStyle w:val="Style22"/>
        <w:keepNext w:val="0"/>
        <w:keepLines w:val="0"/>
        <w:widowControl w:val="0"/>
        <w:shd w:val="clear" w:color="auto" w:fill="auto"/>
        <w:bidi w:val="0"/>
        <w:spacing w:before="0" w:after="60" w:line="311" w:lineRule="exact"/>
        <w:ind w:left="0" w:right="0" w:firstLine="44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日，中关村科技园区海淀园管理委员会出具</w:t>
      </w:r>
      <w:r>
        <w:rPr>
          <w:color w:val="000000"/>
          <w:spacing w:val="0"/>
          <w:w w:val="100"/>
          <w:position w:val="0"/>
          <w:sz w:val="18"/>
          <w:szCs w:val="18"/>
        </w:rPr>
        <w:t>“</w:t>
      </w:r>
      <w:r>
        <w:rPr>
          <w:color w:val="000000"/>
          <w:spacing w:val="0"/>
          <w:w w:val="100"/>
          <w:position w:val="0"/>
        </w:rPr>
        <w:t>海园发</w:t>
      </w:r>
      <w:r>
        <w:rPr>
          <w:color w:val="000000"/>
          <w:spacing w:val="0"/>
          <w:w w:val="100"/>
          <w:position w:val="0"/>
          <w:sz w:val="18"/>
          <w:szCs w:val="18"/>
        </w:rPr>
        <w:t>[2010]326</w:t>
      </w:r>
      <w:r>
        <w:rPr>
          <w:color w:val="000000"/>
          <w:spacing w:val="0"/>
          <w:w w:val="100"/>
          <w:position w:val="0"/>
        </w:rPr>
        <w:t>号”《关于</w:t>
      </w:r>
      <w:r>
        <w:rPr>
          <w:color w:val="000000"/>
          <w:spacing w:val="0"/>
          <w:w w:val="100"/>
          <w:position w:val="0"/>
          <w:sz w:val="18"/>
          <w:szCs w:val="18"/>
        </w:rPr>
        <w:t>“</w:t>
      </w:r>
      <w:r>
        <w:rPr>
          <w:color w:val="000000"/>
          <w:spacing w:val="0"/>
          <w:w w:val="100"/>
          <w:position w:val="0"/>
        </w:rPr>
        <w:t>软通动力信息技术（集团） 有限公司”增资的批复》</w:t>
      </w:r>
      <w:r>
        <w:rPr>
          <w:color w:val="000000"/>
          <w:spacing w:val="0"/>
          <w:w w:val="100"/>
          <w:position w:val="0"/>
          <w:sz w:val="18"/>
          <w:szCs w:val="18"/>
        </w:rPr>
        <w:t>，</w:t>
      </w:r>
      <w:r>
        <w:rPr>
          <w:color w:val="000000"/>
          <w:spacing w:val="0"/>
          <w:w w:val="100"/>
          <w:position w:val="0"/>
        </w:rPr>
        <w:t>同意软通动力公司注册资本由</w:t>
      </w:r>
      <w:r>
        <w:rPr>
          <w:color w:val="000000"/>
          <w:spacing w:val="0"/>
          <w:w w:val="100"/>
          <w:position w:val="0"/>
          <w:sz w:val="18"/>
          <w:szCs w:val="18"/>
        </w:rPr>
        <w:t xml:space="preserve">3, </w:t>
      </w:r>
      <w:r>
        <w:rPr>
          <w:color w:val="000000"/>
          <w:spacing w:val="0"/>
          <w:w w:val="100"/>
          <w:position w:val="0"/>
          <w:sz w:val="18"/>
          <w:szCs w:val="18"/>
        </w:rPr>
        <w:t xml:space="preserve">080. </w:t>
      </w:r>
      <w:r>
        <w:rPr>
          <w:color w:val="000000"/>
          <w:spacing w:val="0"/>
          <w:w w:val="100"/>
          <w:position w:val="0"/>
          <w:sz w:val="18"/>
          <w:szCs w:val="18"/>
        </w:rPr>
        <w:t>00</w:t>
      </w:r>
      <w:r>
        <w:rPr>
          <w:color w:val="000000"/>
          <w:spacing w:val="0"/>
          <w:w w:val="100"/>
          <w:position w:val="0"/>
        </w:rPr>
        <w:t>万美元增至</w:t>
      </w:r>
      <w:r>
        <w:rPr>
          <w:color w:val="000000"/>
          <w:spacing w:val="0"/>
          <w:w w:val="100"/>
          <w:position w:val="0"/>
          <w:sz w:val="18"/>
          <w:szCs w:val="18"/>
        </w:rPr>
        <w:t xml:space="preserve">4, </w:t>
      </w:r>
      <w:r>
        <w:rPr>
          <w:color w:val="000000"/>
          <w:spacing w:val="0"/>
          <w:w w:val="100"/>
          <w:position w:val="0"/>
          <w:sz w:val="18"/>
          <w:szCs w:val="18"/>
        </w:rPr>
        <w:t xml:space="preserve">080. </w:t>
      </w:r>
      <w:r>
        <w:rPr>
          <w:color w:val="000000"/>
          <w:spacing w:val="0"/>
          <w:w w:val="100"/>
          <w:position w:val="0"/>
          <w:sz w:val="18"/>
          <w:szCs w:val="18"/>
        </w:rPr>
        <w:t>00</w:t>
      </w:r>
      <w:r>
        <w:rPr>
          <w:color w:val="000000"/>
          <w:spacing w:val="0"/>
          <w:w w:val="100"/>
          <w:position w:val="0"/>
        </w:rPr>
        <w:t>万美元。新增出资</w:t>
      </w:r>
      <w:r>
        <w:rPr>
          <w:color w:val="000000"/>
          <w:spacing w:val="0"/>
          <w:w w:val="100"/>
          <w:position w:val="0"/>
          <w:sz w:val="18"/>
          <w:szCs w:val="18"/>
        </w:rPr>
        <w:t>1,000.00</w:t>
      </w:r>
      <w:r>
        <w:rPr>
          <w:color w:val="000000"/>
          <w:spacing w:val="0"/>
          <w:w w:val="100"/>
          <w:position w:val="0"/>
        </w:rPr>
        <w:t>万美元由 软通开曼于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w:t>
      </w:r>
      <w:r>
        <w:rPr>
          <w:color w:val="000000"/>
          <w:spacing w:val="0"/>
          <w:w w:val="100"/>
          <w:position w:val="0"/>
        </w:rPr>
        <w:t>日以美元现汇缴存，业经北京明光会计师事务所于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日出具</w:t>
      </w:r>
      <w:r>
        <w:rPr>
          <w:color w:val="000000"/>
          <w:spacing w:val="0"/>
          <w:w w:val="100"/>
          <w:position w:val="0"/>
          <w:sz w:val="18"/>
          <w:szCs w:val="18"/>
        </w:rPr>
        <w:t>“（2010）</w:t>
      </w:r>
      <w:r>
        <w:rPr>
          <w:color w:val="000000"/>
          <w:spacing w:val="0"/>
          <w:w w:val="100"/>
          <w:position w:val="0"/>
        </w:rPr>
        <w:t>明光验字</w:t>
      </w:r>
      <w:r>
        <w:rPr>
          <w:color w:val="000000"/>
          <w:spacing w:val="0"/>
          <w:w w:val="100"/>
          <w:position w:val="0"/>
          <w:sz w:val="18"/>
          <w:szCs w:val="18"/>
        </w:rPr>
        <w:t>1281</w:t>
      </w:r>
      <w:r>
        <w:rPr>
          <w:color w:val="000000"/>
          <w:spacing w:val="0"/>
          <w:w w:val="100"/>
          <w:position w:val="0"/>
        </w:rPr>
        <w:t>号” 验资报告予以验证。</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日，经北京市人民政府批准，换发“商外资京资字</w:t>
      </w:r>
      <w:r>
        <w:rPr>
          <w:color w:val="000000"/>
          <w:spacing w:val="0"/>
          <w:w w:val="100"/>
          <w:position w:val="0"/>
          <w:sz w:val="18"/>
          <w:szCs w:val="18"/>
        </w:rPr>
        <w:t>[2005]20331</w:t>
      </w:r>
      <w:r>
        <w:rPr>
          <w:color w:val="000000"/>
          <w:spacing w:val="0"/>
          <w:w w:val="100"/>
          <w:position w:val="0"/>
        </w:rPr>
        <w:t>号”《中华人民共和国外商 投资企业批准证书》。</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日完成工商变更登记，增资后各股东出资情况如下：</w:t>
      </w:r>
    </w:p>
    <w:tbl>
      <w:tblPr>
        <w:tblOverlap w:val="never"/>
        <w:jc w:val="center"/>
        <w:tblLayout w:type="fixed"/>
      </w:tblPr>
      <w:tblGrid>
        <w:gridCol w:w="835"/>
        <w:gridCol w:w="2472"/>
        <w:gridCol w:w="2496"/>
        <w:gridCol w:w="1934"/>
        <w:gridCol w:w="1939"/>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出资比例（%）</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软通开曼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080.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sz w:val="18"/>
          <w:szCs w:val="18"/>
        </w:rPr>
        <w:t>8</w:t>
      </w:r>
      <w:r>
        <w:rPr>
          <w:color w:val="000000"/>
          <w:spacing w:val="0"/>
          <w:w w:val="100"/>
          <w:position w:val="0"/>
        </w:rPr>
        <w:t>.软通动力公司第六次增资情况</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日，北京市海淀区商务委员会出具“海商审字</w:t>
      </w:r>
      <w:r>
        <w:rPr>
          <w:color w:val="000000"/>
          <w:spacing w:val="0"/>
          <w:w w:val="100"/>
          <w:position w:val="0"/>
          <w:sz w:val="18"/>
          <w:szCs w:val="18"/>
        </w:rPr>
        <w:t>[2011]7</w:t>
      </w:r>
      <w:r>
        <w:rPr>
          <w:color w:val="000000"/>
          <w:spacing w:val="0"/>
          <w:w w:val="100"/>
          <w:position w:val="0"/>
        </w:rPr>
        <w:t>号”《关于“软通动力信息技术（集团）有限公司” 增资的批复》</w:t>
      </w:r>
      <w:r>
        <w:rPr>
          <w:i/>
          <w:iCs/>
          <w:color w:val="000000"/>
          <w:spacing w:val="0"/>
          <w:w w:val="100"/>
          <w:position w:val="0"/>
        </w:rPr>
        <w:t>，</w:t>
      </w:r>
      <w:r>
        <w:rPr>
          <w:color w:val="000000"/>
          <w:spacing w:val="0"/>
          <w:w w:val="100"/>
          <w:position w:val="0"/>
        </w:rPr>
        <w:t>同意软通动力公司注册资本由</w:t>
      </w:r>
      <w:r>
        <w:rPr>
          <w:color w:val="000000"/>
          <w:spacing w:val="0"/>
          <w:w w:val="100"/>
          <w:position w:val="0"/>
          <w:sz w:val="18"/>
          <w:szCs w:val="18"/>
        </w:rPr>
        <w:t xml:space="preserve">4, </w:t>
      </w:r>
      <w:r>
        <w:rPr>
          <w:color w:val="000000"/>
          <w:spacing w:val="0"/>
          <w:w w:val="100"/>
          <w:position w:val="0"/>
          <w:sz w:val="18"/>
          <w:szCs w:val="18"/>
        </w:rPr>
        <w:t xml:space="preserve">080. </w:t>
      </w:r>
      <w:r>
        <w:rPr>
          <w:color w:val="000000"/>
          <w:spacing w:val="0"/>
          <w:w w:val="100"/>
          <w:position w:val="0"/>
          <w:sz w:val="18"/>
          <w:szCs w:val="18"/>
        </w:rPr>
        <w:t>00</w:t>
      </w:r>
      <w:r>
        <w:rPr>
          <w:color w:val="000000"/>
          <w:spacing w:val="0"/>
          <w:w w:val="100"/>
          <w:position w:val="0"/>
        </w:rPr>
        <w:t>万美元增加至</w:t>
      </w:r>
      <w:r>
        <w:rPr>
          <w:color w:val="000000"/>
          <w:spacing w:val="0"/>
          <w:w w:val="100"/>
          <w:position w:val="0"/>
          <w:sz w:val="18"/>
          <w:szCs w:val="18"/>
        </w:rPr>
        <w:t>9,715.00</w:t>
      </w:r>
      <w:r>
        <w:rPr>
          <w:color w:val="000000"/>
          <w:spacing w:val="0"/>
          <w:w w:val="100"/>
          <w:position w:val="0"/>
        </w:rPr>
        <w:t>万美元，新增第一期出资</w:t>
      </w:r>
      <w:r>
        <w:rPr>
          <w:color w:val="000000"/>
          <w:spacing w:val="0"/>
          <w:w w:val="100"/>
          <w:position w:val="0"/>
          <w:sz w:val="18"/>
          <w:szCs w:val="18"/>
        </w:rPr>
        <w:t>1,500.00</w:t>
      </w:r>
      <w:r>
        <w:rPr>
          <w:color w:val="000000"/>
          <w:spacing w:val="0"/>
          <w:w w:val="100"/>
          <w:position w:val="0"/>
        </w:rPr>
        <w:t>万美元由软 通开曼于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w:t>
      </w:r>
      <w:r>
        <w:rPr>
          <w:color w:val="000000"/>
          <w:spacing w:val="0"/>
          <w:w w:val="100"/>
          <w:position w:val="0"/>
        </w:rPr>
        <w:t>日以美元现汇缴存，业经北京恒诚永信会计师事务所（普通合伙）于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日出具“恒诚永信验 字</w:t>
      </w:r>
      <w:r>
        <w:rPr>
          <w:color w:val="000000"/>
          <w:spacing w:val="0"/>
          <w:w w:val="100"/>
          <w:position w:val="0"/>
          <w:sz w:val="18"/>
          <w:szCs w:val="18"/>
        </w:rPr>
        <w:t>[2011]</w:t>
      </w:r>
      <w:r>
        <w:rPr>
          <w:color w:val="000000"/>
          <w:spacing w:val="0"/>
          <w:w w:val="100"/>
          <w:position w:val="0"/>
        </w:rPr>
        <w:t>第</w:t>
      </w:r>
      <w:r>
        <w:rPr>
          <w:color w:val="000000"/>
          <w:spacing w:val="0"/>
          <w:w w:val="100"/>
          <w:position w:val="0"/>
          <w:sz w:val="18"/>
          <w:szCs w:val="18"/>
        </w:rPr>
        <w:t>035</w:t>
      </w:r>
      <w:r>
        <w:rPr>
          <w:color w:val="000000"/>
          <w:spacing w:val="0"/>
          <w:w w:val="100"/>
          <w:position w:val="0"/>
        </w:rPr>
        <w:t>号”验资报告予以验证。</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6</w:t>
      </w:r>
      <w:r>
        <w:rPr>
          <w:color w:val="000000"/>
          <w:spacing w:val="0"/>
          <w:w w:val="100"/>
          <w:position w:val="0"/>
        </w:rPr>
        <w:t>日，经北京市人民政府批准，换发“商外资京资字</w:t>
      </w:r>
      <w:r>
        <w:rPr>
          <w:color w:val="000000"/>
          <w:spacing w:val="0"/>
          <w:w w:val="100"/>
          <w:position w:val="0"/>
          <w:sz w:val="18"/>
          <w:szCs w:val="18"/>
        </w:rPr>
        <w:t>[2005]20331</w:t>
      </w:r>
      <w:r>
        <w:rPr>
          <w:color w:val="000000"/>
          <w:spacing w:val="0"/>
          <w:w w:val="100"/>
          <w:position w:val="0"/>
        </w:rPr>
        <w:t>号”《中 华人民共和国外商投资企业批准证书》，并于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日完成工商变更登记。新增第二期出资</w:t>
      </w:r>
      <w:r>
        <w:rPr>
          <w:color w:val="000000"/>
          <w:spacing w:val="0"/>
          <w:w w:val="100"/>
          <w:position w:val="0"/>
          <w:sz w:val="18"/>
          <w:szCs w:val="18"/>
        </w:rPr>
        <w:t>4,135.00</w:t>
      </w:r>
      <w:r>
        <w:rPr>
          <w:color w:val="000000"/>
          <w:spacing w:val="0"/>
          <w:w w:val="100"/>
          <w:position w:val="0"/>
        </w:rPr>
        <w:t>万美元由软通开 曼于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6</w:t>
      </w:r>
      <w:r>
        <w:rPr>
          <w:color w:val="000000"/>
          <w:spacing w:val="0"/>
          <w:w w:val="100"/>
          <w:position w:val="0"/>
        </w:rPr>
        <w:t>日以美元现汇缴存，业经北京中天华茂会计师事务所（普通合伙）于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 xml:space="preserve">日出具“中天华茂验字 </w:t>
      </w:r>
      <w:r>
        <w:rPr>
          <w:color w:val="000000"/>
          <w:spacing w:val="0"/>
          <w:w w:val="100"/>
          <w:position w:val="0"/>
          <w:sz w:val="18"/>
          <w:szCs w:val="18"/>
        </w:rPr>
        <w:t>[2011]004</w:t>
      </w:r>
      <w:r>
        <w:rPr>
          <w:color w:val="000000"/>
          <w:spacing w:val="0"/>
          <w:w w:val="100"/>
          <w:position w:val="0"/>
        </w:rPr>
        <w:t>号”验资报告予以验证。</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18</w:t>
      </w:r>
      <w:r>
        <w:rPr>
          <w:color w:val="000000"/>
          <w:spacing w:val="0"/>
          <w:w w:val="100"/>
          <w:position w:val="0"/>
        </w:rPr>
        <w:t>日完成工商变更登记，增资后各股东出资情况如下：</w:t>
      </w:r>
    </w:p>
    <w:tbl>
      <w:tblPr>
        <w:tblOverlap w:val="never"/>
        <w:jc w:val="center"/>
        <w:tblLayout w:type="fixed"/>
      </w:tblPr>
      <w:tblGrid>
        <w:gridCol w:w="835"/>
        <w:gridCol w:w="2472"/>
        <w:gridCol w:w="2496"/>
        <w:gridCol w:w="1934"/>
        <w:gridCol w:w="1939"/>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出资比例（%）</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软通开曼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9,715.00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sz w:val="18"/>
          <w:szCs w:val="18"/>
        </w:rPr>
        <w:t>9</w:t>
      </w:r>
      <w:r>
        <w:rPr>
          <w:color w:val="000000"/>
          <w:spacing w:val="0"/>
          <w:w w:val="100"/>
          <w:position w:val="0"/>
        </w:rPr>
        <w:t>.软通动力公司第一次减资情况</w:t>
      </w:r>
    </w:p>
    <w:p>
      <w:pPr>
        <w:widowControl w:val="0"/>
        <w:spacing w:line="1" w:lineRule="exact"/>
      </w:pPr>
    </w:p>
    <w:p>
      <w:pPr>
        <w:pStyle w:val="Style29"/>
        <w:keepNext w:val="0"/>
        <w:keepLines w:val="0"/>
        <w:widowControl w:val="0"/>
        <w:shd w:val="clear" w:color="auto" w:fill="auto"/>
        <w:bidi w:val="0"/>
        <w:spacing w:before="0" w:after="0" w:line="312" w:lineRule="exact"/>
        <w:ind w:left="0" w:right="0" w:firstLine="0"/>
        <w:jc w:val="distribute"/>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日，北京市海淀区商务委员会出具“海商审字</w:t>
      </w:r>
      <w:r>
        <w:rPr>
          <w:color w:val="000000"/>
          <w:spacing w:val="0"/>
          <w:w w:val="100"/>
          <w:position w:val="0"/>
          <w:sz w:val="18"/>
          <w:szCs w:val="18"/>
        </w:rPr>
        <w:t>[2015]461</w:t>
      </w:r>
      <w:r>
        <w:rPr>
          <w:color w:val="000000"/>
          <w:spacing w:val="0"/>
          <w:w w:val="100"/>
          <w:position w:val="0"/>
        </w:rPr>
        <w:t>号”《关于软通动力信息技术（集团）有限公司减 资的批复》，同意软通动力公司注册资本由</w:t>
      </w:r>
      <w:r>
        <w:rPr>
          <w:color w:val="000000"/>
          <w:spacing w:val="0"/>
          <w:w w:val="100"/>
          <w:position w:val="0"/>
          <w:sz w:val="18"/>
          <w:szCs w:val="18"/>
        </w:rPr>
        <w:t xml:space="preserve">9,715. </w:t>
      </w:r>
      <w:r>
        <w:rPr>
          <w:color w:val="000000"/>
          <w:spacing w:val="0"/>
          <w:w w:val="100"/>
          <w:position w:val="0"/>
          <w:sz w:val="18"/>
          <w:szCs w:val="18"/>
        </w:rPr>
        <w:t>00</w:t>
      </w:r>
      <w:r>
        <w:rPr>
          <w:color w:val="000000"/>
          <w:spacing w:val="0"/>
          <w:w w:val="100"/>
          <w:position w:val="0"/>
        </w:rPr>
        <w:t>万美元减至</w:t>
      </w:r>
      <w:r>
        <w:rPr>
          <w:color w:val="000000"/>
          <w:spacing w:val="0"/>
          <w:w w:val="100"/>
          <w:position w:val="0"/>
          <w:sz w:val="18"/>
          <w:szCs w:val="18"/>
        </w:rPr>
        <w:t>2,815.00</w:t>
      </w:r>
      <w:r>
        <w:rPr>
          <w:color w:val="000000"/>
          <w:spacing w:val="0"/>
          <w:w w:val="100"/>
          <w:position w:val="0"/>
        </w:rPr>
        <w:t>万美元，减少的注册资本</w:t>
      </w:r>
      <w:r>
        <w:rPr>
          <w:color w:val="000000"/>
          <w:spacing w:val="0"/>
          <w:w w:val="100"/>
          <w:position w:val="0"/>
          <w:sz w:val="18"/>
          <w:szCs w:val="18"/>
        </w:rPr>
        <w:t>6,900.00</w:t>
      </w:r>
      <w:r>
        <w:rPr>
          <w:color w:val="000000"/>
          <w:spacing w:val="0"/>
          <w:w w:val="100"/>
          <w:position w:val="0"/>
        </w:rPr>
        <w:t>万美元，于</w:t>
      </w:r>
      <w:r>
        <w:rPr>
          <w:color w:val="000000"/>
          <w:spacing w:val="0"/>
          <w:w w:val="100"/>
          <w:position w:val="0"/>
          <w:sz w:val="18"/>
          <w:szCs w:val="18"/>
        </w:rPr>
        <w:t xml:space="preserve">2015 </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日分</w:t>
      </w:r>
      <w:r>
        <w:rPr>
          <w:color w:val="000000"/>
          <w:spacing w:val="0"/>
          <w:w w:val="100"/>
          <w:position w:val="0"/>
          <w:sz w:val="18"/>
          <w:szCs w:val="18"/>
        </w:rPr>
        <w:t>5</w:t>
      </w:r>
      <w:r>
        <w:rPr>
          <w:color w:val="000000"/>
          <w:spacing w:val="0"/>
          <w:w w:val="100"/>
          <w:position w:val="0"/>
        </w:rPr>
        <w:t>笔归还软通开曼，业经北京中天华茂会计师事务所（普通合伙）于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19</w:t>
      </w:r>
      <w:r>
        <w:rPr>
          <w:color w:val="000000"/>
          <w:spacing w:val="0"/>
          <w:w w:val="100"/>
          <w:position w:val="0"/>
        </w:rPr>
        <w:t>日出具“中 天华茂验字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008</w:t>
      </w:r>
      <w:r>
        <w:rPr>
          <w:color w:val="000000"/>
          <w:spacing w:val="0"/>
          <w:w w:val="100"/>
          <w:position w:val="0"/>
        </w:rPr>
        <w:t>号”验资报告予以验证。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日，经北京市人民政府批准，换发“商外资京资字</w:t>
      </w:r>
      <w:r>
        <w:rPr>
          <w:color w:val="000000"/>
          <w:spacing w:val="0"/>
          <w:w w:val="100"/>
          <w:position w:val="0"/>
          <w:sz w:val="18"/>
          <w:szCs w:val="18"/>
        </w:rPr>
        <w:t xml:space="preserve">[2005]20331 </w:t>
      </w:r>
      <w:r>
        <w:rPr>
          <w:color w:val="000000"/>
          <w:spacing w:val="0"/>
          <w:w w:val="100"/>
          <w:position w:val="0"/>
        </w:rPr>
        <w:t>号”《中华人民共和国外商投资企业批准证书》。</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日完成工商变更登记，减资后各股东出资情况如下：</w:t>
      </w:r>
    </w:p>
    <w:tbl>
      <w:tblPr>
        <w:tblOverlap w:val="never"/>
        <w:jc w:val="center"/>
        <w:tblLayout w:type="fixed"/>
      </w:tblPr>
      <w:tblGrid>
        <w:gridCol w:w="835"/>
        <w:gridCol w:w="2472"/>
        <w:gridCol w:w="2496"/>
        <w:gridCol w:w="1934"/>
        <w:gridCol w:w="1939"/>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出资比例（%）</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软通开曼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2,815.00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32" w:right="0" w:firstLine="0"/>
        <w:jc w:val="left"/>
      </w:pPr>
      <w:r>
        <w:rPr>
          <w:color w:val="000000"/>
          <w:spacing w:val="0"/>
          <w:w w:val="100"/>
          <w:position w:val="0"/>
          <w:sz w:val="18"/>
          <w:szCs w:val="18"/>
        </w:rPr>
        <w:t>10</w:t>
      </w:r>
      <w:r>
        <w:rPr>
          <w:color w:val="000000"/>
          <w:spacing w:val="0"/>
          <w:w w:val="100"/>
          <w:position w:val="0"/>
        </w:rPr>
        <w:t>.软通动力公司第一次股权转让情况</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日，北京市海淀区商务委员会出具“海商审字</w:t>
      </w:r>
      <w:r>
        <w:rPr>
          <w:color w:val="000000"/>
          <w:spacing w:val="0"/>
          <w:w w:val="100"/>
          <w:position w:val="0"/>
          <w:sz w:val="18"/>
          <w:szCs w:val="18"/>
        </w:rPr>
        <w:t>[2015]911</w:t>
      </w:r>
      <w:r>
        <w:rPr>
          <w:color w:val="000000"/>
          <w:spacing w:val="0"/>
          <w:w w:val="100"/>
          <w:position w:val="0"/>
        </w:rPr>
        <w:t>号”《关于软通动力信息技术（集团）有限公司 股权转让等事项的批复》</w:t>
      </w:r>
      <w:r>
        <w:rPr>
          <w:color w:val="000000"/>
          <w:spacing w:val="0"/>
          <w:w w:val="100"/>
          <w:position w:val="0"/>
          <w:sz w:val="18"/>
          <w:szCs w:val="18"/>
        </w:rPr>
        <w:t>，</w:t>
      </w:r>
      <w:r>
        <w:rPr>
          <w:color w:val="000000"/>
          <w:spacing w:val="0"/>
          <w:w w:val="100"/>
          <w:position w:val="0"/>
        </w:rPr>
        <w:t>同意软通动力公司原股东软通开曼将持有的</w:t>
      </w:r>
      <w:r>
        <w:rPr>
          <w:color w:val="000000"/>
          <w:spacing w:val="0"/>
          <w:w w:val="100"/>
          <w:position w:val="0"/>
          <w:sz w:val="18"/>
          <w:szCs w:val="18"/>
        </w:rPr>
        <w:t xml:space="preserve">3. </w:t>
      </w:r>
      <w:r>
        <w:rPr>
          <w:color w:val="000000"/>
          <w:spacing w:val="0"/>
          <w:w w:val="100"/>
          <w:position w:val="0"/>
          <w:sz w:val="18"/>
          <w:szCs w:val="18"/>
        </w:rPr>
        <w:t>47%</w:t>
      </w:r>
      <w:r>
        <w:rPr>
          <w:color w:val="000000"/>
          <w:spacing w:val="0"/>
          <w:w w:val="100"/>
          <w:position w:val="0"/>
        </w:rPr>
        <w:t>、</w:t>
      </w:r>
      <w:r>
        <w:rPr>
          <w:color w:val="000000"/>
          <w:spacing w:val="0"/>
          <w:w w:val="100"/>
          <w:position w:val="0"/>
          <w:sz w:val="18"/>
          <w:szCs w:val="18"/>
        </w:rPr>
        <w:t>1.21%</w:t>
      </w:r>
      <w:r>
        <w:rPr>
          <w:color w:val="000000"/>
          <w:spacing w:val="0"/>
          <w:w w:val="100"/>
          <w:position w:val="0"/>
        </w:rPr>
        <w:t>、</w:t>
      </w:r>
      <w:r>
        <w:rPr>
          <w:color w:val="000000"/>
          <w:spacing w:val="0"/>
          <w:w w:val="100"/>
          <w:position w:val="0"/>
          <w:sz w:val="18"/>
          <w:szCs w:val="18"/>
        </w:rPr>
        <w:t>1.28%</w:t>
      </w:r>
      <w:r>
        <w:rPr>
          <w:color w:val="000000"/>
          <w:spacing w:val="0"/>
          <w:w w:val="100"/>
          <w:position w:val="0"/>
        </w:rPr>
        <w:t>、</w:t>
      </w:r>
      <w:r>
        <w:rPr>
          <w:color w:val="000000"/>
          <w:spacing w:val="0"/>
          <w:w w:val="100"/>
          <w:position w:val="0"/>
          <w:sz w:val="18"/>
          <w:szCs w:val="18"/>
        </w:rPr>
        <w:t xml:space="preserve">1. </w:t>
      </w:r>
      <w:r>
        <w:rPr>
          <w:color w:val="000000"/>
          <w:spacing w:val="0"/>
          <w:w w:val="100"/>
          <w:position w:val="0"/>
          <w:sz w:val="18"/>
          <w:szCs w:val="18"/>
        </w:rPr>
        <w:t>13%</w:t>
      </w:r>
      <w:r>
        <w:rPr>
          <w:color w:val="000000"/>
          <w:spacing w:val="0"/>
          <w:w w:val="100"/>
          <w:position w:val="0"/>
        </w:rPr>
        <w:t>、</w:t>
      </w:r>
      <w:r>
        <w:rPr>
          <w:color w:val="000000"/>
          <w:spacing w:val="0"/>
          <w:w w:val="100"/>
          <w:position w:val="0"/>
          <w:sz w:val="18"/>
          <w:szCs w:val="18"/>
        </w:rPr>
        <w:t>20.18%</w:t>
      </w:r>
      <w:r>
        <w:rPr>
          <w:color w:val="000000"/>
          <w:spacing w:val="0"/>
          <w:w w:val="100"/>
          <w:position w:val="0"/>
        </w:rPr>
        <w:t>、</w:t>
      </w:r>
      <w:r>
        <w:rPr>
          <w:color w:val="000000"/>
          <w:spacing w:val="0"/>
          <w:w w:val="100"/>
          <w:position w:val="0"/>
          <w:sz w:val="18"/>
          <w:szCs w:val="18"/>
        </w:rPr>
        <w:t xml:space="preserve">9. </w:t>
      </w:r>
      <w:r>
        <w:rPr>
          <w:color w:val="000000"/>
          <w:spacing w:val="0"/>
          <w:w w:val="100"/>
          <w:position w:val="0"/>
          <w:sz w:val="18"/>
          <w:szCs w:val="18"/>
        </w:rPr>
        <w:t>93%</w:t>
      </w:r>
      <w:r>
        <w:rPr>
          <w:color w:val="000000"/>
          <w:spacing w:val="0"/>
          <w:w w:val="100"/>
          <w:position w:val="0"/>
        </w:rPr>
        <w:t>、</w:t>
      </w:r>
      <w:r>
        <w:rPr>
          <w:color w:val="000000"/>
          <w:spacing w:val="0"/>
          <w:w w:val="100"/>
          <w:position w:val="0"/>
          <w:sz w:val="18"/>
          <w:szCs w:val="18"/>
        </w:rPr>
        <w:t xml:space="preserve">8. </w:t>
      </w:r>
      <w:r>
        <w:rPr>
          <w:color w:val="000000"/>
          <w:spacing w:val="0"/>
          <w:w w:val="100"/>
          <w:position w:val="0"/>
          <w:sz w:val="18"/>
          <w:szCs w:val="18"/>
        </w:rPr>
        <w:t>60%</w:t>
      </w:r>
      <w:r>
        <w:rPr>
          <w:color w:val="000000"/>
          <w:spacing w:val="0"/>
          <w:w w:val="100"/>
          <w:position w:val="0"/>
        </w:rPr>
        <w:t xml:space="preserve">、 </w:t>
      </w:r>
      <w:r>
        <w:rPr>
          <w:color w:val="000000"/>
          <w:spacing w:val="0"/>
          <w:w w:val="100"/>
          <w:position w:val="0"/>
          <w:sz w:val="18"/>
          <w:szCs w:val="18"/>
        </w:rPr>
        <w:t>2.85%</w:t>
      </w:r>
      <w:r>
        <w:rPr>
          <w:color w:val="000000"/>
          <w:spacing w:val="0"/>
          <w:w w:val="100"/>
          <w:position w:val="0"/>
        </w:rPr>
        <w:t>、</w:t>
      </w:r>
      <w:r>
        <w:rPr>
          <w:color w:val="000000"/>
          <w:spacing w:val="0"/>
          <w:w w:val="100"/>
          <w:position w:val="0"/>
          <w:sz w:val="18"/>
          <w:szCs w:val="18"/>
        </w:rPr>
        <w:t>35.00%</w:t>
      </w:r>
      <w:r>
        <w:rPr>
          <w:color w:val="000000"/>
          <w:spacing w:val="0"/>
          <w:w w:val="100"/>
          <w:position w:val="0"/>
        </w:rPr>
        <w:t>、</w:t>
      </w:r>
      <w:r>
        <w:rPr>
          <w:color w:val="000000"/>
          <w:spacing w:val="0"/>
          <w:w w:val="100"/>
          <w:position w:val="0"/>
          <w:sz w:val="18"/>
          <w:szCs w:val="18"/>
        </w:rPr>
        <w:t>3.18%</w:t>
      </w:r>
      <w:r>
        <w:rPr>
          <w:color w:val="000000"/>
          <w:spacing w:val="0"/>
          <w:w w:val="100"/>
          <w:position w:val="0"/>
        </w:rPr>
        <w:t>、</w:t>
      </w:r>
      <w:r>
        <w:rPr>
          <w:color w:val="000000"/>
          <w:spacing w:val="0"/>
          <w:w w:val="100"/>
          <w:position w:val="0"/>
          <w:sz w:val="18"/>
          <w:szCs w:val="18"/>
        </w:rPr>
        <w:t>8.42%</w:t>
      </w:r>
      <w:r>
        <w:rPr>
          <w:color w:val="000000"/>
          <w:spacing w:val="0"/>
          <w:w w:val="100"/>
          <w:position w:val="0"/>
        </w:rPr>
        <w:t>、</w:t>
      </w:r>
      <w:r>
        <w:rPr>
          <w:color w:val="000000"/>
          <w:spacing w:val="0"/>
          <w:w w:val="100"/>
          <w:position w:val="0"/>
          <w:sz w:val="18"/>
          <w:szCs w:val="18"/>
        </w:rPr>
        <w:t>4.75%</w:t>
      </w:r>
      <w:r>
        <w:rPr>
          <w:color w:val="000000"/>
          <w:spacing w:val="0"/>
          <w:w w:val="100"/>
          <w:position w:val="0"/>
        </w:rPr>
        <w:t>股权分别转让给睿团（香港）有限公司、班诺（香港）有限公司、境外合伙人（香港） 有限公司、</w:t>
      </w:r>
      <w:r>
        <w:rPr>
          <w:color w:val="000000"/>
          <w:spacing w:val="0"/>
          <w:w w:val="100"/>
          <w:position w:val="0"/>
          <w:sz w:val="18"/>
          <w:szCs w:val="18"/>
        </w:rPr>
        <w:t>VENTUROUS LIMITED. CEL Bravo Limited. FNOF Easynet（HK）Limited</w:t>
      </w:r>
      <w:r>
        <w:rPr>
          <w:color w:val="000000"/>
          <w:spacing w:val="0"/>
          <w:w w:val="100"/>
          <w:position w:val="0"/>
        </w:rPr>
        <w:t>、</w:t>
      </w:r>
      <w:r>
        <w:rPr>
          <w:color w:val="000000"/>
          <w:spacing w:val="0"/>
          <w:w w:val="100"/>
          <w:position w:val="0"/>
        </w:rPr>
        <w:t>晋汇国际（香港）有限公司、</w:t>
      </w:r>
      <w:r>
        <w:rPr>
          <w:color w:val="000000"/>
          <w:spacing w:val="0"/>
          <w:w w:val="100"/>
          <w:position w:val="0"/>
          <w:sz w:val="18"/>
          <w:szCs w:val="18"/>
        </w:rPr>
        <w:t>CEL Cherish Limited</w:t>
      </w:r>
      <w:r>
        <w:rPr>
          <w:color w:val="000000"/>
          <w:spacing w:val="0"/>
          <w:w w:val="100"/>
          <w:position w:val="0"/>
        </w:rPr>
        <w:t>、</w:t>
      </w:r>
      <w:r>
        <w:rPr>
          <w:color w:val="000000"/>
          <w:spacing w:val="0"/>
          <w:w w:val="100"/>
          <w:position w:val="0"/>
        </w:rPr>
        <w:t>自然人刘天文、自然人刘天星、无锡软石智动资产管理企业（有限合伙）、无锡软石创新六号资产管理企业（有 限合伙）。</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18</w:t>
      </w:r>
      <w:r>
        <w:rPr>
          <w:color w:val="000000"/>
          <w:spacing w:val="0"/>
          <w:w w:val="100"/>
          <w:position w:val="0"/>
        </w:rPr>
        <w:t>日，软通开曼与上述受让方分别签定股权转让协议并转让其所持有的软通动力公司股权，转让完成 后软通动力公司由外商独资企业变更为中外合资企业。</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 xml:space="preserve">日，取得北京市人民政府批准换发的“商外资京资字 </w:t>
      </w:r>
      <w:r>
        <w:rPr>
          <w:color w:val="000000"/>
          <w:spacing w:val="0"/>
          <w:w w:val="100"/>
          <w:position w:val="0"/>
          <w:sz w:val="18"/>
          <w:szCs w:val="18"/>
        </w:rPr>
        <w:t>[2005]20331</w:t>
      </w:r>
      <w:r>
        <w:rPr>
          <w:color w:val="000000"/>
          <w:spacing w:val="0"/>
          <w:w w:val="100"/>
          <w:position w:val="0"/>
        </w:rPr>
        <w:t>号”《中华人民共和国台港澳侨投资企业批准证书》。</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日完成工商变更登记，变更后的股权结构如 下：</w:t>
      </w:r>
      <w:r>
        <w:br w:type="page"/>
      </w:r>
    </w:p>
    <w:tbl>
      <w:tblPr>
        <w:tblOverlap w:val="never"/>
        <w:jc w:val="center"/>
        <w:tblLayout w:type="fixed"/>
      </w:tblPr>
      <w:tblGrid>
        <w:gridCol w:w="778"/>
        <w:gridCol w:w="4171"/>
        <w:gridCol w:w="2083"/>
        <w:gridCol w:w="1219"/>
        <w:gridCol w:w="1426"/>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985.</w:t>
            </w: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568.</w:t>
            </w:r>
            <w:r>
              <w:rPr>
                <w:color w:val="000000"/>
                <w:spacing w:val="0"/>
                <w:w w:val="100"/>
                <w:position w:val="0"/>
                <w:sz w:val="18"/>
                <w:szCs w:val="18"/>
              </w:rPr>
              <w:t>0670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 </w:t>
            </w:r>
            <w:r>
              <w:rPr>
                <w:color w:val="000000"/>
                <w:spacing w:val="0"/>
                <w:w w:val="100"/>
                <w:position w:val="0"/>
                <w:sz w:val="18"/>
                <w:szCs w:val="18"/>
              </w:rPr>
              <w:t>18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Easynet(HK)Limited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279.</w:t>
            </w:r>
            <w:r>
              <w:rPr>
                <w:color w:val="000000"/>
                <w:spacing w:val="0"/>
                <w:w w:val="100"/>
                <w:position w:val="0"/>
                <w:sz w:val="18"/>
                <w:szCs w:val="18"/>
              </w:rPr>
              <w:t>5295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93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242. </w:t>
            </w:r>
            <w:r>
              <w:rPr>
                <w:color w:val="000000"/>
                <w:spacing w:val="0"/>
                <w:w w:val="100"/>
                <w:position w:val="0"/>
                <w:sz w:val="18"/>
                <w:szCs w:val="18"/>
              </w:rPr>
              <w:t>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60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237.</w:t>
            </w:r>
            <w:r>
              <w:rPr>
                <w:color w:val="000000"/>
                <w:spacing w:val="0"/>
                <w:w w:val="100"/>
                <w:position w:val="0"/>
                <w:sz w:val="18"/>
                <w:szCs w:val="18"/>
              </w:rPr>
              <w:t>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133. </w:t>
            </w:r>
            <w:r>
              <w:rPr>
                <w:color w:val="000000"/>
                <w:spacing w:val="0"/>
                <w:w w:val="100"/>
                <w:position w:val="0"/>
                <w:sz w:val="18"/>
                <w:szCs w:val="18"/>
              </w:rPr>
              <w:t>7125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75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睿团（香港）有限公司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97.6805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89.5170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18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Cherish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80.2275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85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34. </w:t>
            </w:r>
            <w:r>
              <w:rPr>
                <w:color w:val="000000"/>
                <w:spacing w:val="0"/>
                <w:w w:val="100"/>
                <w:position w:val="0"/>
                <w:sz w:val="18"/>
                <w:szCs w:val="18"/>
              </w:rPr>
              <w:t>0615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21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36.0320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28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31.8095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13</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2,815.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32" w:right="0" w:firstLine="0"/>
        <w:jc w:val="left"/>
      </w:pPr>
      <w:r>
        <w:rPr>
          <w:color w:val="000000"/>
          <w:spacing w:val="0"/>
          <w:w w:val="100"/>
          <w:position w:val="0"/>
          <w:sz w:val="18"/>
          <w:szCs w:val="18"/>
        </w:rPr>
        <w:t>11</w:t>
      </w:r>
      <w:r>
        <w:rPr>
          <w:color w:val="000000"/>
          <w:spacing w:val="0"/>
          <w:w w:val="100"/>
          <w:position w:val="0"/>
        </w:rPr>
        <w:t>.软通动力公司第七次增资情况</w:t>
      </w:r>
    </w:p>
    <w:p>
      <w:pPr>
        <w:pStyle w:val="Style22"/>
        <w:keepNext w:val="0"/>
        <w:keepLines w:val="0"/>
        <w:widowControl w:val="0"/>
        <w:shd w:val="clear" w:color="auto" w:fill="auto"/>
        <w:bidi w:val="0"/>
        <w:spacing w:before="0" w:line="313" w:lineRule="exact"/>
        <w:ind w:left="0" w:right="0" w:firstLine="44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日，北京市海淀区商务委员会出具“海商审字</w:t>
      </w:r>
      <w:r>
        <w:rPr>
          <w:color w:val="000000"/>
          <w:spacing w:val="0"/>
          <w:w w:val="100"/>
          <w:position w:val="0"/>
          <w:sz w:val="18"/>
          <w:szCs w:val="18"/>
        </w:rPr>
        <w:t>［2015］1068</w:t>
      </w:r>
      <w:r>
        <w:rPr>
          <w:color w:val="000000"/>
          <w:spacing w:val="0"/>
          <w:w w:val="100"/>
          <w:position w:val="0"/>
        </w:rPr>
        <w:t>号”《关于软通动力信息技术（集团）有限公司 增资扩股的批复》</w:t>
      </w:r>
      <w:r>
        <w:rPr>
          <w:color w:val="000000"/>
          <w:spacing w:val="0"/>
          <w:w w:val="100"/>
          <w:position w:val="0"/>
          <w:sz w:val="18"/>
          <w:szCs w:val="18"/>
        </w:rPr>
        <w:t>，</w:t>
      </w:r>
      <w:r>
        <w:rPr>
          <w:color w:val="000000"/>
          <w:spacing w:val="0"/>
          <w:w w:val="100"/>
          <w:position w:val="0"/>
        </w:rPr>
        <w:t>同意软通动力公司注册资本由</w:t>
      </w:r>
      <w:r>
        <w:rPr>
          <w:color w:val="000000"/>
          <w:spacing w:val="0"/>
          <w:w w:val="100"/>
          <w:position w:val="0"/>
          <w:sz w:val="18"/>
          <w:szCs w:val="18"/>
        </w:rPr>
        <w:t>2,815.00</w:t>
      </w:r>
      <w:r>
        <w:rPr>
          <w:color w:val="000000"/>
          <w:spacing w:val="0"/>
          <w:w w:val="100"/>
          <w:position w:val="0"/>
        </w:rPr>
        <w:t>万美元增至</w:t>
      </w:r>
      <w:r>
        <w:rPr>
          <w:color w:val="000000"/>
          <w:spacing w:val="0"/>
          <w:w w:val="100"/>
          <w:position w:val="0"/>
          <w:sz w:val="18"/>
          <w:szCs w:val="18"/>
        </w:rPr>
        <w:t xml:space="preserve">3, </w:t>
      </w:r>
      <w:r>
        <w:rPr>
          <w:color w:val="000000"/>
          <w:spacing w:val="0"/>
          <w:w w:val="100"/>
          <w:position w:val="0"/>
          <w:sz w:val="18"/>
          <w:szCs w:val="18"/>
        </w:rPr>
        <w:t xml:space="preserve">140. </w:t>
      </w:r>
      <w:r>
        <w:rPr>
          <w:color w:val="000000"/>
          <w:spacing w:val="0"/>
          <w:w w:val="100"/>
          <w:position w:val="0"/>
          <w:sz w:val="18"/>
          <w:szCs w:val="18"/>
        </w:rPr>
        <w:t>2887</w:t>
      </w:r>
      <w:r>
        <w:rPr>
          <w:color w:val="000000"/>
          <w:spacing w:val="0"/>
          <w:w w:val="100"/>
          <w:position w:val="0"/>
        </w:rPr>
        <w:t>万美元，增资部分由新股东春华秋实（天 津）股权投资合伙企业（有限合伙）以折合</w:t>
      </w:r>
      <w:r>
        <w:rPr>
          <w:color w:val="000000"/>
          <w:spacing w:val="0"/>
          <w:w w:val="100"/>
          <w:position w:val="0"/>
          <w:sz w:val="18"/>
          <w:szCs w:val="18"/>
        </w:rPr>
        <w:t xml:space="preserve">3, </w:t>
      </w:r>
      <w:r>
        <w:rPr>
          <w:color w:val="000000"/>
          <w:spacing w:val="0"/>
          <w:w w:val="100"/>
          <w:position w:val="0"/>
          <w:sz w:val="18"/>
          <w:szCs w:val="18"/>
        </w:rPr>
        <w:t xml:space="preserve">126. </w:t>
      </w:r>
      <w:r>
        <w:rPr>
          <w:color w:val="000000"/>
          <w:spacing w:val="0"/>
          <w:w w:val="100"/>
          <w:position w:val="0"/>
          <w:sz w:val="18"/>
          <w:szCs w:val="18"/>
        </w:rPr>
        <w:t>771</w:t>
      </w:r>
      <w:r>
        <w:rPr>
          <w:color w:val="000000"/>
          <w:spacing w:val="0"/>
          <w:w w:val="100"/>
          <w:position w:val="0"/>
        </w:rPr>
        <w:t>万美元的人民币现金认缴，其中</w:t>
      </w:r>
      <w:r>
        <w:rPr>
          <w:color w:val="000000"/>
          <w:spacing w:val="0"/>
          <w:w w:val="100"/>
          <w:position w:val="0"/>
          <w:sz w:val="18"/>
          <w:szCs w:val="18"/>
        </w:rPr>
        <w:t>1OO.0889</w:t>
      </w:r>
      <w:r>
        <w:rPr>
          <w:color w:val="000000"/>
          <w:spacing w:val="0"/>
          <w:w w:val="100"/>
          <w:position w:val="0"/>
        </w:rPr>
        <w:t>万美元作为注册资本，其余计 入资本公积；新股东上海易方达合臻投资中心（有限合伙）以折合</w:t>
      </w:r>
      <w:r>
        <w:rPr>
          <w:color w:val="000000"/>
          <w:spacing w:val="0"/>
          <w:w w:val="100"/>
          <w:position w:val="0"/>
          <w:sz w:val="18"/>
          <w:szCs w:val="18"/>
        </w:rPr>
        <w:t>1,563.3871</w:t>
      </w:r>
      <w:r>
        <w:rPr>
          <w:color w:val="000000"/>
          <w:spacing w:val="0"/>
          <w:w w:val="100"/>
          <w:position w:val="0"/>
        </w:rPr>
        <w:t>万美元的人民币现金认缴，其中</w:t>
      </w:r>
      <w:r>
        <w:rPr>
          <w:color w:val="000000"/>
          <w:spacing w:val="0"/>
          <w:w w:val="100"/>
          <w:position w:val="0"/>
          <w:sz w:val="18"/>
          <w:szCs w:val="18"/>
        </w:rPr>
        <w:t xml:space="preserve">50. </w:t>
      </w:r>
      <w:r>
        <w:rPr>
          <w:color w:val="000000"/>
          <w:spacing w:val="0"/>
          <w:w w:val="100"/>
          <w:position w:val="0"/>
          <w:sz w:val="18"/>
          <w:szCs w:val="18"/>
        </w:rPr>
        <w:t>0444</w:t>
      </w:r>
      <w:r>
        <w:rPr>
          <w:color w:val="000000"/>
          <w:spacing w:val="0"/>
          <w:w w:val="100"/>
          <w:position w:val="0"/>
        </w:rPr>
        <w:t>万美元 作为注册资本，其余计入资本公积；新股东上海华晟领势创业投资合伙企业（有限合伙）以折合</w:t>
      </w:r>
      <w:r>
        <w:rPr>
          <w:color w:val="000000"/>
          <w:spacing w:val="0"/>
          <w:w w:val="100"/>
          <w:position w:val="0"/>
          <w:sz w:val="18"/>
          <w:szCs w:val="18"/>
        </w:rPr>
        <w:t>1,563.3871</w:t>
      </w:r>
      <w:r>
        <w:rPr>
          <w:color w:val="000000"/>
          <w:spacing w:val="0"/>
          <w:w w:val="100"/>
          <w:position w:val="0"/>
        </w:rPr>
        <w:t>万美元的人民币 现金认缴，其中</w:t>
      </w:r>
      <w:r>
        <w:rPr>
          <w:color w:val="000000"/>
          <w:spacing w:val="0"/>
          <w:w w:val="100"/>
          <w:position w:val="0"/>
          <w:sz w:val="18"/>
          <w:szCs w:val="18"/>
        </w:rPr>
        <w:t xml:space="preserve">50. </w:t>
      </w:r>
      <w:r>
        <w:rPr>
          <w:color w:val="000000"/>
          <w:spacing w:val="0"/>
          <w:w w:val="100"/>
          <w:position w:val="0"/>
          <w:sz w:val="18"/>
          <w:szCs w:val="18"/>
        </w:rPr>
        <w:t>0444</w:t>
      </w:r>
      <w:r>
        <w:rPr>
          <w:color w:val="000000"/>
          <w:spacing w:val="0"/>
          <w:w w:val="100"/>
          <w:position w:val="0"/>
        </w:rPr>
        <w:t>万美元作为注册资本，其余计入资本公积；新股东北京渤海通新股权投资基金管理合伙企业（有限合 伙）以折合</w:t>
      </w:r>
      <w:r>
        <w:rPr>
          <w:color w:val="000000"/>
          <w:spacing w:val="0"/>
          <w:w w:val="100"/>
          <w:position w:val="0"/>
          <w:sz w:val="18"/>
          <w:szCs w:val="18"/>
        </w:rPr>
        <w:t xml:space="preserve">1, </w:t>
      </w:r>
      <w:r>
        <w:rPr>
          <w:color w:val="000000"/>
          <w:spacing w:val="0"/>
          <w:w w:val="100"/>
          <w:position w:val="0"/>
          <w:sz w:val="18"/>
          <w:szCs w:val="18"/>
        </w:rPr>
        <w:t xml:space="preserve">563. </w:t>
      </w:r>
      <w:r>
        <w:rPr>
          <w:color w:val="000000"/>
          <w:spacing w:val="0"/>
          <w:w w:val="100"/>
          <w:position w:val="0"/>
          <w:sz w:val="18"/>
          <w:szCs w:val="18"/>
        </w:rPr>
        <w:t>3871</w:t>
      </w:r>
      <w:r>
        <w:rPr>
          <w:color w:val="000000"/>
          <w:spacing w:val="0"/>
          <w:w w:val="100"/>
          <w:position w:val="0"/>
        </w:rPr>
        <w:t>万美元的人民币现金认缴，其中</w:t>
      </w:r>
      <w:r>
        <w:rPr>
          <w:color w:val="000000"/>
          <w:spacing w:val="0"/>
          <w:w w:val="100"/>
          <w:position w:val="0"/>
          <w:sz w:val="18"/>
          <w:szCs w:val="18"/>
        </w:rPr>
        <w:t xml:space="preserve">50. </w:t>
      </w:r>
      <w:r>
        <w:rPr>
          <w:color w:val="000000"/>
          <w:spacing w:val="0"/>
          <w:w w:val="100"/>
          <w:position w:val="0"/>
          <w:sz w:val="18"/>
          <w:szCs w:val="18"/>
        </w:rPr>
        <w:t>0444</w:t>
      </w:r>
      <w:r>
        <w:rPr>
          <w:color w:val="000000"/>
          <w:spacing w:val="0"/>
          <w:w w:val="100"/>
          <w:position w:val="0"/>
        </w:rPr>
        <w:t>万美元作为注册资本，其余计入资本公积；新股东北京渤海华 盖股权投资合伙企业（有限合伙）以折合</w:t>
      </w:r>
      <w:r>
        <w:rPr>
          <w:color w:val="000000"/>
          <w:spacing w:val="0"/>
          <w:w w:val="100"/>
          <w:position w:val="0"/>
          <w:sz w:val="18"/>
          <w:szCs w:val="18"/>
        </w:rPr>
        <w:t xml:space="preserve">1, </w:t>
      </w:r>
      <w:r>
        <w:rPr>
          <w:color w:val="000000"/>
          <w:spacing w:val="0"/>
          <w:w w:val="100"/>
          <w:position w:val="0"/>
          <w:sz w:val="18"/>
          <w:szCs w:val="18"/>
        </w:rPr>
        <w:t>563.3871</w:t>
      </w:r>
      <w:r>
        <w:rPr>
          <w:color w:val="000000"/>
          <w:spacing w:val="0"/>
          <w:w w:val="100"/>
          <w:position w:val="0"/>
        </w:rPr>
        <w:t>万美元的人民币现金认缴，其中</w:t>
      </w:r>
      <w:r>
        <w:rPr>
          <w:color w:val="000000"/>
          <w:spacing w:val="0"/>
          <w:w w:val="100"/>
          <w:position w:val="0"/>
          <w:sz w:val="18"/>
          <w:szCs w:val="18"/>
        </w:rPr>
        <w:t xml:space="preserve">50. </w:t>
      </w:r>
      <w:r>
        <w:rPr>
          <w:color w:val="000000"/>
          <w:spacing w:val="0"/>
          <w:w w:val="100"/>
          <w:position w:val="0"/>
          <w:sz w:val="18"/>
          <w:szCs w:val="18"/>
        </w:rPr>
        <w:t>0444</w:t>
      </w:r>
      <w:r>
        <w:rPr>
          <w:color w:val="000000"/>
          <w:spacing w:val="0"/>
          <w:w w:val="100"/>
          <w:position w:val="0"/>
        </w:rPr>
        <w:t>万美元作为注册资本，其余计入资 本公积；新股东北京红杉信远股权投资中心（有限合伙）以折合</w:t>
      </w:r>
      <w:r>
        <w:rPr>
          <w:color w:val="000000"/>
          <w:spacing w:val="0"/>
          <w:w w:val="100"/>
          <w:position w:val="0"/>
          <w:sz w:val="18"/>
          <w:szCs w:val="18"/>
        </w:rPr>
        <w:t>781.6934</w:t>
      </w:r>
      <w:r>
        <w:rPr>
          <w:color w:val="000000"/>
          <w:spacing w:val="0"/>
          <w:w w:val="100"/>
          <w:position w:val="0"/>
        </w:rPr>
        <w:t>万美元的人民币现金认缴，其中</w:t>
      </w:r>
      <w:r>
        <w:rPr>
          <w:color w:val="000000"/>
          <w:spacing w:val="0"/>
          <w:w w:val="100"/>
          <w:position w:val="0"/>
          <w:sz w:val="18"/>
          <w:szCs w:val="18"/>
        </w:rPr>
        <w:t>25.022</w:t>
      </w:r>
      <w:r>
        <w:rPr>
          <w:color w:val="000000"/>
          <w:spacing w:val="0"/>
          <w:w w:val="100"/>
          <w:position w:val="0"/>
          <w:sz w:val="18"/>
          <w:szCs w:val="18"/>
        </w:rPr>
        <w:t>2</w:t>
      </w:r>
      <w:r>
        <w:rPr>
          <w:color w:val="000000"/>
          <w:spacing w:val="0"/>
          <w:w w:val="100"/>
          <w:position w:val="0"/>
        </w:rPr>
        <w:t>万美元作为 注册资本,其余计入资本公积。新增出资共计人民币</w:t>
      </w:r>
      <w:r>
        <w:rPr>
          <w:color w:val="000000"/>
          <w:spacing w:val="0"/>
          <w:w w:val="100"/>
          <w:position w:val="0"/>
          <w:sz w:val="18"/>
          <w:szCs w:val="18"/>
        </w:rPr>
        <w:t xml:space="preserve">65,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万元由上述新股东于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日前以人民币现金缴存，其 中</w:t>
      </w:r>
      <w:r>
        <w:rPr>
          <w:color w:val="000000"/>
          <w:spacing w:val="0"/>
          <w:w w:val="100"/>
          <w:position w:val="0"/>
          <w:sz w:val="18"/>
          <w:szCs w:val="18"/>
        </w:rPr>
        <w:t>2,101.00</w:t>
      </w:r>
      <w:r>
        <w:rPr>
          <w:color w:val="000000"/>
          <w:spacing w:val="0"/>
          <w:w w:val="100"/>
          <w:position w:val="0"/>
        </w:rPr>
        <w:t>万元人民币现金出资按当日汇率折合</w:t>
      </w:r>
      <w:r>
        <w:rPr>
          <w:color w:val="000000"/>
          <w:spacing w:val="0"/>
          <w:w w:val="100"/>
          <w:position w:val="0"/>
          <w:sz w:val="18"/>
          <w:szCs w:val="18"/>
        </w:rPr>
        <w:t xml:space="preserve">325. </w:t>
      </w:r>
      <w:r>
        <w:rPr>
          <w:color w:val="000000"/>
          <w:spacing w:val="0"/>
          <w:w w:val="100"/>
          <w:position w:val="0"/>
          <w:sz w:val="18"/>
          <w:szCs w:val="18"/>
        </w:rPr>
        <w:t>2887</w:t>
      </w:r>
      <w:r>
        <w:rPr>
          <w:color w:val="000000"/>
          <w:spacing w:val="0"/>
          <w:w w:val="100"/>
          <w:position w:val="0"/>
        </w:rPr>
        <w:t>万美元增加注册资本</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日当日美元对人民币汇率 </w:t>
      </w:r>
      <w:r>
        <w:rPr>
          <w:color w:val="000000"/>
          <w:spacing w:val="0"/>
          <w:w w:val="100"/>
          <w:position w:val="0"/>
          <w:sz w:val="18"/>
          <w:szCs w:val="18"/>
        </w:rPr>
        <w:t xml:space="preserve">6. </w:t>
      </w:r>
      <w:r>
        <w:rPr>
          <w:color w:val="000000"/>
          <w:spacing w:val="0"/>
          <w:w w:val="100"/>
          <w:position w:val="0"/>
          <w:sz w:val="18"/>
          <w:szCs w:val="18"/>
        </w:rPr>
        <w:t>4588）,</w:t>
      </w:r>
      <w:r>
        <w:rPr>
          <w:color w:val="000000"/>
          <w:spacing w:val="0"/>
          <w:w w:val="100"/>
          <w:position w:val="0"/>
        </w:rPr>
        <w:t>其余人民币现金出资</w:t>
      </w:r>
      <w:r>
        <w:rPr>
          <w:color w:val="000000"/>
          <w:spacing w:val="0"/>
          <w:w w:val="100"/>
          <w:position w:val="0"/>
          <w:sz w:val="18"/>
          <w:szCs w:val="18"/>
        </w:rPr>
        <w:t xml:space="preserve">62, </w:t>
      </w:r>
      <w:r>
        <w:rPr>
          <w:color w:val="000000"/>
          <w:spacing w:val="0"/>
          <w:w w:val="100"/>
          <w:position w:val="0"/>
          <w:sz w:val="18"/>
          <w:szCs w:val="18"/>
        </w:rPr>
        <w:t xml:space="preserve">899. </w:t>
      </w:r>
      <w:r>
        <w:rPr>
          <w:color w:val="000000"/>
          <w:spacing w:val="0"/>
          <w:w w:val="100"/>
          <w:position w:val="0"/>
          <w:sz w:val="18"/>
          <w:szCs w:val="18"/>
        </w:rPr>
        <w:t>00</w:t>
      </w:r>
      <w:r>
        <w:rPr>
          <w:color w:val="000000"/>
          <w:spacing w:val="0"/>
          <w:w w:val="100"/>
          <w:position w:val="0"/>
        </w:rPr>
        <w:t xml:space="preserve">万元计入资本公积，本次增资业经北京中诺宜华会计师事务所有限公司审验，并于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15</w:t>
      </w:r>
      <w:r>
        <w:rPr>
          <w:color w:val="000000"/>
          <w:spacing w:val="0"/>
          <w:w w:val="100"/>
          <w:position w:val="0"/>
        </w:rPr>
        <w:t>日出具“中诺宜华验字</w:t>
      </w:r>
      <w:r>
        <w:rPr>
          <w:color w:val="000000"/>
          <w:spacing w:val="0"/>
          <w:w w:val="100"/>
          <w:position w:val="0"/>
          <w:sz w:val="18"/>
          <w:szCs w:val="18"/>
        </w:rPr>
        <w:t>［2015</w:t>
      </w:r>
      <w:r>
        <w:rPr>
          <w:color w:val="000000"/>
          <w:spacing w:val="0"/>
          <w:w w:val="100"/>
          <w:position w:val="0"/>
        </w:rPr>
        <w:t>］第</w:t>
      </w:r>
      <w:r>
        <w:rPr>
          <w:color w:val="000000"/>
          <w:spacing w:val="0"/>
          <w:w w:val="100"/>
          <w:position w:val="0"/>
          <w:sz w:val="18"/>
          <w:szCs w:val="18"/>
        </w:rPr>
        <w:t>NS273</w:t>
      </w:r>
      <w:r>
        <w:rPr>
          <w:color w:val="000000"/>
          <w:spacing w:val="0"/>
          <w:w w:val="100"/>
          <w:position w:val="0"/>
        </w:rPr>
        <w:t>号”验资报告。</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日，取得北京市人民政府批准换发的“商外 资京资字</w:t>
      </w:r>
      <w:r>
        <w:rPr>
          <w:color w:val="000000"/>
          <w:spacing w:val="0"/>
          <w:w w:val="100"/>
          <w:position w:val="0"/>
          <w:sz w:val="18"/>
          <w:szCs w:val="18"/>
        </w:rPr>
        <w:t>［2005］20331</w:t>
      </w:r>
      <w:r>
        <w:rPr>
          <w:color w:val="000000"/>
          <w:spacing w:val="0"/>
          <w:w w:val="100"/>
          <w:position w:val="0"/>
        </w:rPr>
        <w:t>号”《中华人民共和国台港澳侨投资企业批准证书》。</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14</w:t>
      </w:r>
      <w:r>
        <w:rPr>
          <w:color w:val="000000"/>
          <w:spacing w:val="0"/>
          <w:w w:val="100"/>
          <w:position w:val="0"/>
        </w:rPr>
        <w:t>日完成工商变更登记，变更后的 股权结构如下：</w:t>
      </w:r>
    </w:p>
    <w:tbl>
      <w:tblPr>
        <w:tblOverlap w:val="never"/>
        <w:jc w:val="center"/>
        <w:tblLayout w:type="fixed"/>
      </w:tblPr>
      <w:tblGrid>
        <w:gridCol w:w="830"/>
        <w:gridCol w:w="4118"/>
        <w:gridCol w:w="2083"/>
        <w:gridCol w:w="1219"/>
        <w:gridCol w:w="1426"/>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985.</w:t>
            </w: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 </w:t>
            </w:r>
            <w:r>
              <w:rPr>
                <w:color w:val="000000"/>
                <w:spacing w:val="0"/>
                <w:w w:val="100"/>
                <w:position w:val="0"/>
                <w:sz w:val="18"/>
                <w:szCs w:val="18"/>
              </w:rPr>
              <w:t>3745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568.</w:t>
            </w:r>
            <w:r>
              <w:rPr>
                <w:color w:val="000000"/>
                <w:spacing w:val="0"/>
                <w:w w:val="100"/>
                <w:position w:val="0"/>
                <w:sz w:val="18"/>
                <w:szCs w:val="18"/>
              </w:rPr>
              <w:t>0670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 </w:t>
            </w:r>
            <w:r>
              <w:rPr>
                <w:color w:val="000000"/>
                <w:spacing w:val="0"/>
                <w:w w:val="100"/>
                <w:position w:val="0"/>
                <w:sz w:val="18"/>
                <w:szCs w:val="18"/>
              </w:rPr>
              <w:t>0896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 (HK)Limited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279.</w:t>
            </w:r>
            <w:r>
              <w:rPr>
                <w:color w:val="000000"/>
                <w:spacing w:val="0"/>
                <w:w w:val="100"/>
                <w:position w:val="0"/>
                <w:sz w:val="18"/>
                <w:szCs w:val="18"/>
              </w:rPr>
              <w:t>5295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 </w:t>
            </w:r>
            <w:r>
              <w:rPr>
                <w:color w:val="000000"/>
                <w:spacing w:val="0"/>
                <w:w w:val="100"/>
                <w:position w:val="0"/>
                <w:sz w:val="18"/>
                <w:szCs w:val="18"/>
              </w:rPr>
              <w:t>9014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242. </w:t>
            </w:r>
            <w:r>
              <w:rPr>
                <w:color w:val="000000"/>
                <w:spacing w:val="0"/>
                <w:w w:val="100"/>
                <w:position w:val="0"/>
                <w:sz w:val="18"/>
                <w:szCs w:val="18"/>
              </w:rPr>
              <w:t>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7. </w:t>
            </w:r>
            <w:r>
              <w:rPr>
                <w:color w:val="000000"/>
                <w:spacing w:val="0"/>
                <w:w w:val="100"/>
                <w:position w:val="0"/>
                <w:sz w:val="18"/>
                <w:szCs w:val="18"/>
              </w:rPr>
              <w:t>7092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237.</w:t>
            </w:r>
            <w:r>
              <w:rPr>
                <w:color w:val="000000"/>
                <w:spacing w:val="0"/>
                <w:w w:val="100"/>
                <w:position w:val="0"/>
                <w:sz w:val="18"/>
                <w:szCs w:val="18"/>
              </w:rPr>
              <w:t>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7. </w:t>
            </w:r>
            <w:r>
              <w:rPr>
                <w:color w:val="000000"/>
                <w:spacing w:val="0"/>
                <w:w w:val="100"/>
                <w:position w:val="0"/>
                <w:sz w:val="18"/>
                <w:szCs w:val="18"/>
              </w:rPr>
              <w:t>5478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133. </w:t>
            </w:r>
            <w:r>
              <w:rPr>
                <w:color w:val="000000"/>
                <w:spacing w:val="0"/>
                <w:w w:val="100"/>
                <w:position w:val="0"/>
                <w:sz w:val="18"/>
                <w:szCs w:val="18"/>
              </w:rPr>
              <w:t>7125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 </w:t>
            </w:r>
            <w:r>
              <w:rPr>
                <w:color w:val="000000"/>
                <w:spacing w:val="0"/>
                <w:w w:val="100"/>
                <w:position w:val="0"/>
                <w:sz w:val="18"/>
                <w:szCs w:val="18"/>
              </w:rPr>
              <w:t>2580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100.</w:t>
            </w:r>
            <w:r>
              <w:rPr>
                <w:color w:val="000000"/>
                <w:spacing w:val="0"/>
                <w:w w:val="100"/>
                <w:position w:val="0"/>
                <w:sz w:val="18"/>
                <w:szCs w:val="18"/>
              </w:rPr>
              <w:t>0889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 </w:t>
            </w:r>
            <w:r>
              <w:rPr>
                <w:color w:val="000000"/>
                <w:spacing w:val="0"/>
                <w:w w:val="100"/>
                <w:position w:val="0"/>
                <w:sz w:val="18"/>
                <w:szCs w:val="18"/>
              </w:rPr>
              <w:t>1873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睿团（香港）有限公司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97.6805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 </w:t>
            </w:r>
            <w:r>
              <w:rPr>
                <w:color w:val="000000"/>
                <w:spacing w:val="0"/>
                <w:w w:val="100"/>
                <w:position w:val="0"/>
                <w:sz w:val="18"/>
                <w:szCs w:val="18"/>
              </w:rPr>
              <w:t>1106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89.5170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 </w:t>
            </w:r>
            <w:r>
              <w:rPr>
                <w:color w:val="000000"/>
                <w:spacing w:val="0"/>
                <w:w w:val="100"/>
                <w:position w:val="0"/>
                <w:sz w:val="18"/>
                <w:szCs w:val="18"/>
              </w:rPr>
              <w:t>8506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Cherish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80.2275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 </w:t>
            </w:r>
            <w:r>
              <w:rPr>
                <w:color w:val="000000"/>
                <w:spacing w:val="0"/>
                <w:w w:val="100"/>
                <w:position w:val="0"/>
                <w:sz w:val="18"/>
                <w:szCs w:val="18"/>
              </w:rPr>
              <w:t>5548</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5936</w:t>
            </w:r>
          </w:p>
        </w:tc>
      </w:tr>
    </w:tbl>
    <w:p>
      <w:pPr>
        <w:widowControl w:val="0"/>
        <w:spacing w:line="1" w:lineRule="exact"/>
      </w:pPr>
      <w:r>
        <w:br w:type="page"/>
      </w:r>
    </w:p>
    <w:tbl>
      <w:tblPr>
        <w:tblOverlap w:val="never"/>
        <w:jc w:val="center"/>
        <w:tblLayout w:type="fixed"/>
      </w:tblPr>
      <w:tblGrid>
        <w:gridCol w:w="830"/>
        <w:gridCol w:w="4118"/>
        <w:gridCol w:w="2083"/>
        <w:gridCol w:w="1219"/>
        <w:gridCol w:w="1426"/>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5936</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北京渤海通新股权投资基金管理合伙企业（有限合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5936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北京渤海华盖股权投资合伙企业（有限合伙）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5936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34. </w:t>
            </w:r>
            <w:r>
              <w:rPr>
                <w:color w:val="000000"/>
                <w:spacing w:val="0"/>
                <w:w w:val="100"/>
                <w:position w:val="0"/>
                <w:sz w:val="18"/>
                <w:szCs w:val="18"/>
              </w:rPr>
              <w:t>0615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0847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36.0320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1474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31.8095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0129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北京红杉信远股权投资中心（有限合伙）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25.0222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7968</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140. </w:t>
            </w:r>
            <w:r>
              <w:rPr>
                <w:color w:val="000000"/>
                <w:spacing w:val="0"/>
                <w:w w:val="100"/>
                <w:position w:val="0"/>
                <w:sz w:val="18"/>
                <w:szCs w:val="18"/>
              </w:rPr>
              <w:t>2887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［注］北京华盖创新机遇股权投资合伙企业（有限合伙）于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日变更为北京渤海华盖股权投资合伙企业（有限 合伙）。</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sz w:val="18"/>
          <w:szCs w:val="18"/>
        </w:rPr>
        <w:t>12.</w:t>
      </w:r>
      <w:r>
        <w:rPr>
          <w:color w:val="000000"/>
          <w:spacing w:val="0"/>
          <w:w w:val="100"/>
          <w:position w:val="0"/>
        </w:rPr>
        <w:t>软通动力公司第八次增资情况</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日，北京市海淀区商务委员会出具“海商审字</w:t>
      </w:r>
      <w:r>
        <w:rPr>
          <w:color w:val="000000"/>
          <w:spacing w:val="0"/>
          <w:w w:val="100"/>
          <w:position w:val="0"/>
          <w:sz w:val="18"/>
          <w:szCs w:val="18"/>
        </w:rPr>
        <w:t>［2015］1164</w:t>
      </w:r>
      <w:r>
        <w:rPr>
          <w:color w:val="000000"/>
          <w:spacing w:val="0"/>
          <w:w w:val="100"/>
          <w:position w:val="0"/>
        </w:rPr>
        <w:t>号”《关于软通动力信息技术（集团）有限公 司增资扩股的批复》</w:t>
      </w:r>
      <w:r>
        <w:rPr>
          <w:color w:val="000000"/>
          <w:spacing w:val="0"/>
          <w:w w:val="100"/>
          <w:position w:val="0"/>
          <w:sz w:val="18"/>
          <w:szCs w:val="18"/>
        </w:rPr>
        <w:t>，</w:t>
      </w:r>
      <w:r>
        <w:rPr>
          <w:color w:val="000000"/>
          <w:spacing w:val="0"/>
          <w:w w:val="100"/>
          <w:position w:val="0"/>
        </w:rPr>
        <w:t>同意软通动力公司注册资本由</w:t>
      </w:r>
      <w:r>
        <w:rPr>
          <w:color w:val="000000"/>
          <w:spacing w:val="0"/>
          <w:w w:val="100"/>
          <w:position w:val="0"/>
          <w:sz w:val="18"/>
          <w:szCs w:val="18"/>
        </w:rPr>
        <w:t xml:space="preserve">3, </w:t>
      </w:r>
      <w:r>
        <w:rPr>
          <w:color w:val="000000"/>
          <w:spacing w:val="0"/>
          <w:w w:val="100"/>
          <w:position w:val="0"/>
          <w:sz w:val="18"/>
          <w:szCs w:val="18"/>
        </w:rPr>
        <w:t xml:space="preserve">140. </w:t>
      </w:r>
      <w:r>
        <w:rPr>
          <w:color w:val="000000"/>
          <w:spacing w:val="0"/>
          <w:w w:val="100"/>
          <w:position w:val="0"/>
          <w:sz w:val="18"/>
          <w:szCs w:val="18"/>
        </w:rPr>
        <w:t>2887</w:t>
      </w:r>
      <w:r>
        <w:rPr>
          <w:color w:val="000000"/>
          <w:spacing w:val="0"/>
          <w:w w:val="100"/>
          <w:position w:val="0"/>
        </w:rPr>
        <w:t>万美元增至</w:t>
      </w:r>
      <w:r>
        <w:rPr>
          <w:color w:val="000000"/>
          <w:spacing w:val="0"/>
          <w:w w:val="100"/>
          <w:position w:val="0"/>
          <w:sz w:val="18"/>
          <w:szCs w:val="18"/>
        </w:rPr>
        <w:t>3,403.125</w:t>
      </w:r>
      <w:r>
        <w:rPr>
          <w:color w:val="000000"/>
          <w:spacing w:val="0"/>
          <w:w w:val="100"/>
          <w:position w:val="0"/>
          <w:sz w:val="18"/>
          <w:szCs w:val="18"/>
        </w:rPr>
        <w:t>7</w:t>
      </w:r>
      <w:r>
        <w:rPr>
          <w:color w:val="000000"/>
          <w:spacing w:val="0"/>
          <w:w w:val="100"/>
          <w:position w:val="0"/>
        </w:rPr>
        <w:t>万美元。增资部分由新股东北京华盖 创富壹号股权投资合伙企业（有限合伙）以折合</w:t>
      </w:r>
      <w:r>
        <w:rPr>
          <w:color w:val="000000"/>
          <w:spacing w:val="0"/>
          <w:w w:val="100"/>
          <w:position w:val="0"/>
          <w:sz w:val="18"/>
          <w:szCs w:val="18"/>
        </w:rPr>
        <w:t xml:space="preserve">3, </w:t>
      </w:r>
      <w:r>
        <w:rPr>
          <w:color w:val="000000"/>
          <w:spacing w:val="0"/>
          <w:w w:val="100"/>
          <w:position w:val="0"/>
          <w:sz w:val="18"/>
          <w:szCs w:val="18"/>
        </w:rPr>
        <w:t xml:space="preserve">094. </w:t>
      </w:r>
      <w:r>
        <w:rPr>
          <w:color w:val="000000"/>
          <w:spacing w:val="0"/>
          <w:w w:val="100"/>
          <w:position w:val="0"/>
          <w:sz w:val="18"/>
          <w:szCs w:val="18"/>
        </w:rPr>
        <w:t>7297</w:t>
      </w:r>
      <w:r>
        <w:rPr>
          <w:color w:val="000000"/>
          <w:spacing w:val="0"/>
          <w:w w:val="100"/>
          <w:position w:val="0"/>
        </w:rPr>
        <w:t>万美元的人民币现金认缴，其中</w:t>
      </w:r>
      <w:r>
        <w:rPr>
          <w:color w:val="000000"/>
          <w:spacing w:val="0"/>
          <w:w w:val="100"/>
          <w:position w:val="0"/>
          <w:sz w:val="18"/>
          <w:szCs w:val="18"/>
        </w:rPr>
        <w:t xml:space="preserve">76. </w:t>
      </w:r>
      <w:r>
        <w:rPr>
          <w:color w:val="000000"/>
          <w:spacing w:val="0"/>
          <w:w w:val="100"/>
          <w:position w:val="0"/>
          <w:sz w:val="18"/>
          <w:szCs w:val="18"/>
        </w:rPr>
        <w:t>5924</w:t>
      </w:r>
      <w:r>
        <w:rPr>
          <w:color w:val="000000"/>
          <w:spacing w:val="0"/>
          <w:w w:val="100"/>
          <w:position w:val="0"/>
        </w:rPr>
        <w:t>万美元作为注册资本，其 余计入资本公积；新股东湖南文化旅游投资基金企业（有限合伙）以折合</w:t>
      </w:r>
      <w:r>
        <w:rPr>
          <w:color w:val="000000"/>
          <w:spacing w:val="0"/>
          <w:w w:val="100"/>
          <w:position w:val="0"/>
          <w:sz w:val="18"/>
          <w:szCs w:val="18"/>
        </w:rPr>
        <w:t xml:space="preserve">3, </w:t>
      </w:r>
      <w:r>
        <w:rPr>
          <w:color w:val="000000"/>
          <w:spacing w:val="0"/>
          <w:w w:val="100"/>
          <w:position w:val="0"/>
          <w:sz w:val="18"/>
          <w:szCs w:val="18"/>
        </w:rPr>
        <w:t xml:space="preserve">094. </w:t>
      </w:r>
      <w:r>
        <w:rPr>
          <w:color w:val="000000"/>
          <w:spacing w:val="0"/>
          <w:w w:val="100"/>
          <w:position w:val="0"/>
          <w:sz w:val="18"/>
          <w:szCs w:val="18"/>
        </w:rPr>
        <w:t>7297</w:t>
      </w:r>
      <w:r>
        <w:rPr>
          <w:color w:val="000000"/>
          <w:spacing w:val="0"/>
          <w:w w:val="100"/>
          <w:position w:val="0"/>
        </w:rPr>
        <w:t>万美元的人民币现金认缴，其中</w:t>
      </w:r>
      <w:r>
        <w:rPr>
          <w:color w:val="000000"/>
          <w:spacing w:val="0"/>
          <w:w w:val="100"/>
          <w:position w:val="0"/>
          <w:sz w:val="18"/>
          <w:szCs w:val="18"/>
        </w:rPr>
        <w:t xml:space="preserve">76.5924 </w:t>
      </w:r>
      <w:r>
        <w:rPr>
          <w:color w:val="000000"/>
          <w:spacing w:val="0"/>
          <w:w w:val="100"/>
          <w:position w:val="0"/>
        </w:rPr>
        <w:t>万美元作为注册资本，其余计入资本公积；新股东新余市鹏汇君晖投资中心（有限合伙）以折合</w:t>
      </w:r>
      <w:r>
        <w:rPr>
          <w:color w:val="000000"/>
          <w:spacing w:val="0"/>
          <w:w w:val="100"/>
          <w:position w:val="0"/>
          <w:sz w:val="18"/>
          <w:szCs w:val="18"/>
        </w:rPr>
        <w:t>2,630.5202</w:t>
      </w:r>
      <w:r>
        <w:rPr>
          <w:color w:val="000000"/>
          <w:spacing w:val="0"/>
          <w:w w:val="100"/>
          <w:position w:val="0"/>
        </w:rPr>
        <w:t>万美元的人民币 现金认缴，其中</w:t>
      </w:r>
      <w:r>
        <w:rPr>
          <w:color w:val="000000"/>
          <w:spacing w:val="0"/>
          <w:w w:val="100"/>
          <w:position w:val="0"/>
          <w:sz w:val="18"/>
          <w:szCs w:val="18"/>
        </w:rPr>
        <w:t xml:space="preserve">65. </w:t>
      </w:r>
      <w:r>
        <w:rPr>
          <w:color w:val="000000"/>
          <w:spacing w:val="0"/>
          <w:w w:val="100"/>
          <w:position w:val="0"/>
          <w:sz w:val="18"/>
          <w:szCs w:val="18"/>
        </w:rPr>
        <w:t>1035</w:t>
      </w:r>
      <w:r>
        <w:rPr>
          <w:color w:val="000000"/>
          <w:spacing w:val="0"/>
          <w:w w:val="100"/>
          <w:position w:val="0"/>
        </w:rPr>
        <w:t>万美元作为注册资本，其余计入资本公积;新股东领富中国投资有限公司以</w:t>
      </w:r>
      <w:r>
        <w:rPr>
          <w:color w:val="000000"/>
          <w:spacing w:val="0"/>
          <w:w w:val="100"/>
          <w:position w:val="0"/>
          <w:sz w:val="18"/>
          <w:szCs w:val="18"/>
        </w:rPr>
        <w:t xml:space="preserve">1, </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万美元现汇认缴, 其中</w:t>
      </w:r>
      <w:r>
        <w:rPr>
          <w:color w:val="000000"/>
          <w:spacing w:val="0"/>
          <w:w w:val="100"/>
          <w:position w:val="0"/>
          <w:sz w:val="18"/>
          <w:szCs w:val="18"/>
        </w:rPr>
        <w:t xml:space="preserve">44. </w:t>
      </w:r>
      <w:r>
        <w:rPr>
          <w:color w:val="000000"/>
          <w:spacing w:val="0"/>
          <w:w w:val="100"/>
          <w:position w:val="0"/>
          <w:sz w:val="18"/>
          <w:szCs w:val="18"/>
        </w:rPr>
        <w:t>5487</w:t>
      </w:r>
      <w:r>
        <w:rPr>
          <w:color w:val="000000"/>
          <w:spacing w:val="0"/>
          <w:w w:val="100"/>
          <w:position w:val="0"/>
        </w:rPr>
        <w:t>万美元作为注册资本，其余计入资本公积。本次增资业经北京中诺宜华会计师事务所有限公司审验，并于</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日出具“北京中诺宜华验字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NY24</w:t>
      </w:r>
      <w:r>
        <w:rPr>
          <w:color w:val="000000"/>
          <w:spacing w:val="0"/>
          <w:w w:val="100"/>
          <w:position w:val="0"/>
        </w:rPr>
        <w:t>号”验资报告。本次增资实收资本增加</w:t>
      </w:r>
      <w:r>
        <w:rPr>
          <w:color w:val="000000"/>
          <w:spacing w:val="0"/>
          <w:w w:val="100"/>
          <w:position w:val="0"/>
          <w:sz w:val="18"/>
          <w:szCs w:val="18"/>
        </w:rPr>
        <w:t>262.8370</w:t>
      </w:r>
      <w:r>
        <w:rPr>
          <w:color w:val="000000"/>
          <w:spacing w:val="0"/>
          <w:w w:val="100"/>
          <w:position w:val="0"/>
        </w:rPr>
        <w:t xml:space="preserve">万美元，资本公积增加 </w:t>
      </w:r>
      <w:r>
        <w:rPr>
          <w:color w:val="000000"/>
          <w:spacing w:val="0"/>
          <w:w w:val="100"/>
          <w:position w:val="0"/>
          <w:sz w:val="18"/>
          <w:szCs w:val="18"/>
        </w:rPr>
        <w:t xml:space="preserve">10, </w:t>
      </w:r>
      <w:r>
        <w:rPr>
          <w:color w:val="000000"/>
          <w:spacing w:val="0"/>
          <w:w w:val="100"/>
          <w:position w:val="0"/>
          <w:sz w:val="18"/>
          <w:szCs w:val="18"/>
        </w:rPr>
        <w:t xml:space="preserve">357. </w:t>
      </w:r>
      <w:r>
        <w:rPr>
          <w:color w:val="000000"/>
          <w:spacing w:val="0"/>
          <w:w w:val="100"/>
          <w:position w:val="0"/>
          <w:sz w:val="18"/>
          <w:szCs w:val="18"/>
        </w:rPr>
        <w:t>1426</w:t>
      </w:r>
      <w:r>
        <w:rPr>
          <w:color w:val="000000"/>
          <w:spacing w:val="0"/>
          <w:w w:val="100"/>
          <w:position w:val="0"/>
        </w:rPr>
        <w:t>万美元。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日，取得北京市人民政府批准换发的“商外资京资字</w:t>
      </w:r>
      <w:r>
        <w:rPr>
          <w:color w:val="000000"/>
          <w:spacing w:val="0"/>
          <w:w w:val="100"/>
          <w:position w:val="0"/>
          <w:sz w:val="18"/>
          <w:szCs w:val="18"/>
        </w:rPr>
        <w:t>［2005］20331</w:t>
      </w:r>
      <w:r>
        <w:rPr>
          <w:color w:val="000000"/>
          <w:spacing w:val="0"/>
          <w:w w:val="100"/>
          <w:position w:val="0"/>
        </w:rPr>
        <w:t>号”《中华人民共和国 台港澳侨投资企业批准证书》。</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日完成工商变更登记，变更后的股权结构如下：</w:t>
      </w:r>
    </w:p>
    <w:tbl>
      <w:tblPr>
        <w:tblOverlap w:val="never"/>
        <w:jc w:val="center"/>
        <w:tblLayout w:type="fixed"/>
      </w:tblPr>
      <w:tblGrid>
        <w:gridCol w:w="797"/>
        <w:gridCol w:w="4310"/>
        <w:gridCol w:w="1925"/>
        <w:gridCol w:w="1128"/>
        <w:gridCol w:w="1517"/>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985. </w:t>
            </w: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r>
              <w:rPr>
                <w:color w:val="000000"/>
                <w:spacing w:val="0"/>
                <w:w w:val="100"/>
                <w:position w:val="0"/>
                <w:sz w:val="18"/>
                <w:szCs w:val="18"/>
              </w:rPr>
              <w:t>9514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568. </w:t>
            </w:r>
            <w:r>
              <w:rPr>
                <w:color w:val="000000"/>
                <w:spacing w:val="0"/>
                <w:w w:val="100"/>
                <w:position w:val="0"/>
                <w:sz w:val="18"/>
                <w:szCs w:val="18"/>
              </w:rPr>
              <w:t>0670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 </w:t>
            </w:r>
            <w:r>
              <w:rPr>
                <w:color w:val="000000"/>
                <w:spacing w:val="0"/>
                <w:w w:val="100"/>
                <w:position w:val="0"/>
                <w:sz w:val="18"/>
                <w:szCs w:val="18"/>
              </w:rPr>
              <w:t>6925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Easynet(HK)Limited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279. </w:t>
            </w:r>
            <w:r>
              <w:rPr>
                <w:color w:val="000000"/>
                <w:spacing w:val="0"/>
                <w:w w:val="100"/>
                <w:position w:val="0"/>
                <w:sz w:val="18"/>
                <w:szCs w:val="18"/>
              </w:rPr>
              <w:t>5295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2139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242. </w:t>
            </w:r>
            <w:r>
              <w:rPr>
                <w:color w:val="000000"/>
                <w:spacing w:val="0"/>
                <w:w w:val="100"/>
                <w:position w:val="0"/>
                <w:sz w:val="18"/>
                <w:szCs w:val="18"/>
              </w:rPr>
              <w:t>0900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1138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237. </w:t>
            </w:r>
            <w:r>
              <w:rPr>
                <w:color w:val="000000"/>
                <w:spacing w:val="0"/>
                <w:w w:val="100"/>
                <w:position w:val="0"/>
                <w:sz w:val="18"/>
                <w:szCs w:val="18"/>
              </w:rPr>
              <w:t>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9649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133. </w:t>
            </w:r>
            <w:r>
              <w:rPr>
                <w:color w:val="000000"/>
                <w:spacing w:val="0"/>
                <w:w w:val="100"/>
                <w:position w:val="0"/>
                <w:sz w:val="18"/>
                <w:szCs w:val="18"/>
              </w:rPr>
              <w:t>7125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9291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9411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睿团（香港）有限公司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97.</w:t>
            </w:r>
            <w:r>
              <w:rPr>
                <w:color w:val="000000"/>
                <w:spacing w:val="0"/>
                <w:w w:val="100"/>
                <w:position w:val="0"/>
                <w:sz w:val="18"/>
                <w:szCs w:val="18"/>
              </w:rPr>
              <w:t>6805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8703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89.</w:t>
            </w:r>
            <w:r>
              <w:rPr>
                <w:color w:val="000000"/>
                <w:spacing w:val="0"/>
                <w:w w:val="100"/>
                <w:position w:val="0"/>
                <w:sz w:val="18"/>
                <w:szCs w:val="18"/>
              </w:rPr>
              <w:t>5170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6304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Cherish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80.</w:t>
            </w:r>
            <w:r>
              <w:rPr>
                <w:color w:val="000000"/>
                <w:spacing w:val="0"/>
                <w:w w:val="100"/>
                <w:position w:val="0"/>
                <w:sz w:val="18"/>
                <w:szCs w:val="18"/>
              </w:rPr>
              <w:t>2275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3575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北京华盖创富壹号股权投资合伙企业（有限合伙）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2506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湖南文化旅游投资基金企业（有限合伙）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2506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新余市鹏汇君晖投资中心（有限合伙）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65. </w:t>
            </w:r>
            <w:r>
              <w:rPr>
                <w:color w:val="000000"/>
                <w:spacing w:val="0"/>
                <w:w w:val="100"/>
                <w:position w:val="0"/>
                <w:sz w:val="18"/>
                <w:szCs w:val="18"/>
              </w:rPr>
              <w:t>1035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9131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50. </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北京渤海通新股权投资基金管理合伙企业（有限合伙）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北京渤海华盖股权投资合伙企业（有限合伙）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1.4705</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领富中国投资有限公司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44.</w:t>
            </w:r>
            <w:r>
              <w:rPr>
                <w:color w:val="000000"/>
                <w:spacing w:val="0"/>
                <w:w w:val="100"/>
                <w:position w:val="0"/>
                <w:sz w:val="18"/>
                <w:szCs w:val="18"/>
              </w:rPr>
              <w:t>5487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3091</w:t>
            </w:r>
          </w:p>
        </w:tc>
      </w:tr>
    </w:tbl>
    <w:p>
      <w:pPr>
        <w:widowControl w:val="0"/>
        <w:spacing w:line="1" w:lineRule="exact"/>
      </w:pPr>
      <w:r>
        <w:br w:type="page"/>
      </w:r>
    </w:p>
    <w:tbl>
      <w:tblPr>
        <w:tblOverlap w:val="never"/>
        <w:jc w:val="center"/>
        <w:tblLayout w:type="fixed"/>
      </w:tblPr>
      <w:tblGrid>
        <w:gridCol w:w="797"/>
        <w:gridCol w:w="4310"/>
        <w:gridCol w:w="1925"/>
        <w:gridCol w:w="1128"/>
        <w:gridCol w:w="1517"/>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36.</w:t>
            </w:r>
            <w:r>
              <w:rPr>
                <w:color w:val="000000"/>
                <w:spacing w:val="0"/>
                <w:w w:val="100"/>
                <w:position w:val="0"/>
                <w:sz w:val="18"/>
                <w:szCs w:val="18"/>
              </w:rPr>
              <w:t>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0588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34. </w:t>
            </w:r>
            <w:r>
              <w:rPr>
                <w:color w:val="000000"/>
                <w:spacing w:val="0"/>
                <w:w w:val="100"/>
                <w:position w:val="0"/>
                <w:sz w:val="18"/>
                <w:szCs w:val="18"/>
              </w:rPr>
              <w:t>0615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0009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31. </w:t>
            </w:r>
            <w:r>
              <w:rPr>
                <w:color w:val="000000"/>
                <w:spacing w:val="0"/>
                <w:w w:val="100"/>
                <w:position w:val="0"/>
                <w:sz w:val="18"/>
                <w:szCs w:val="18"/>
              </w:rPr>
              <w:t>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9347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北京红杉信远股权投资中心（有限合伙）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w:t>
            </w:r>
            <w:r>
              <w:rPr>
                <w:color w:val="000000"/>
                <w:spacing w:val="0"/>
                <w:w w:val="100"/>
                <w:position w:val="0"/>
                <w:sz w:val="18"/>
                <w:szCs w:val="18"/>
              </w:rPr>
              <w:t>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7353</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403. </w:t>
            </w:r>
            <w:r>
              <w:rPr>
                <w:color w:val="000000"/>
                <w:spacing w:val="0"/>
                <w:w w:val="100"/>
                <w:position w:val="0"/>
                <w:sz w:val="18"/>
                <w:szCs w:val="18"/>
              </w:rPr>
              <w:t>1257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32" w:right="0" w:firstLine="0"/>
        <w:jc w:val="left"/>
      </w:pPr>
      <w:r>
        <w:rPr>
          <w:color w:val="000000"/>
          <w:spacing w:val="0"/>
          <w:w w:val="100"/>
          <w:position w:val="0"/>
          <w:sz w:val="18"/>
          <w:szCs w:val="18"/>
        </w:rPr>
        <w:t>13</w:t>
      </w:r>
      <w:r>
        <w:rPr>
          <w:color w:val="000000"/>
          <w:spacing w:val="0"/>
          <w:w w:val="100"/>
          <w:position w:val="0"/>
        </w:rPr>
        <w:t>.软通动力公司第二次股权转让情况</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日，北京市海淀区商务委员会出具“海商审字</w:t>
      </w:r>
      <w:r>
        <w:rPr>
          <w:color w:val="000000"/>
          <w:spacing w:val="0"/>
          <w:w w:val="100"/>
          <w:position w:val="0"/>
          <w:sz w:val="18"/>
          <w:szCs w:val="18"/>
        </w:rPr>
        <w:t>[2016]45</w:t>
      </w:r>
      <w:r>
        <w:rPr>
          <w:color w:val="000000"/>
          <w:spacing w:val="0"/>
          <w:w w:val="100"/>
          <w:position w:val="0"/>
        </w:rPr>
        <w:t>号”《关于软通动力信息技术（集团）有限公司股 权转让的批复》，同意软通动力公司原股东睿团（香港）有限公司将其持有的</w:t>
      </w:r>
      <w:r>
        <w:rPr>
          <w:color w:val="000000"/>
          <w:spacing w:val="0"/>
          <w:w w:val="100"/>
          <w:position w:val="0"/>
          <w:sz w:val="18"/>
          <w:szCs w:val="18"/>
        </w:rPr>
        <w:t xml:space="preserve">0. </w:t>
      </w:r>
      <w:r>
        <w:rPr>
          <w:color w:val="000000"/>
          <w:spacing w:val="0"/>
          <w:w w:val="100"/>
          <w:position w:val="0"/>
          <w:sz w:val="18"/>
          <w:szCs w:val="18"/>
        </w:rPr>
        <w:t>6077%</w:t>
      </w:r>
      <w:r>
        <w:rPr>
          <w:color w:val="000000"/>
          <w:spacing w:val="0"/>
          <w:w w:val="100"/>
          <w:position w:val="0"/>
        </w:rPr>
        <w:t>股权转让给新股东上海高鹄风府投资 管理合伙企业（有限合伙）；原股东班诺（香港）有限公司将其持有的</w:t>
      </w:r>
      <w:r>
        <w:rPr>
          <w:color w:val="000000"/>
          <w:spacing w:val="0"/>
          <w:w w:val="100"/>
          <w:position w:val="0"/>
          <w:sz w:val="18"/>
          <w:szCs w:val="18"/>
        </w:rPr>
        <w:t xml:space="preserve">0. </w:t>
      </w:r>
      <w:r>
        <w:rPr>
          <w:color w:val="000000"/>
          <w:spacing w:val="0"/>
          <w:w w:val="100"/>
          <w:position w:val="0"/>
          <w:sz w:val="18"/>
          <w:szCs w:val="18"/>
        </w:rPr>
        <w:t>3826%</w:t>
      </w:r>
      <w:r>
        <w:rPr>
          <w:color w:val="000000"/>
          <w:spacing w:val="0"/>
          <w:w w:val="100"/>
          <w:position w:val="0"/>
        </w:rPr>
        <w:t>股权转让给新股东上海高鹄风府投资管理合 伙企业（有限合伙）；原股东</w:t>
      </w:r>
      <w:r>
        <w:rPr>
          <w:color w:val="000000"/>
          <w:spacing w:val="0"/>
          <w:w w:val="100"/>
          <w:position w:val="0"/>
          <w:sz w:val="18"/>
          <w:szCs w:val="18"/>
        </w:rPr>
        <w:t>CEL Bravo Limited</w:t>
      </w:r>
      <w:r>
        <w:rPr>
          <w:color w:val="000000"/>
          <w:spacing w:val="0"/>
          <w:w w:val="100"/>
          <w:position w:val="0"/>
        </w:rPr>
        <w:t>分别将其持有的</w:t>
      </w:r>
      <w:r>
        <w:rPr>
          <w:color w:val="000000"/>
          <w:spacing w:val="0"/>
          <w:w w:val="100"/>
          <w:position w:val="0"/>
          <w:sz w:val="18"/>
          <w:szCs w:val="18"/>
        </w:rPr>
        <w:t>0.5464%</w:t>
      </w:r>
      <w:r>
        <w:rPr>
          <w:color w:val="000000"/>
          <w:spacing w:val="0"/>
          <w:w w:val="100"/>
          <w:position w:val="0"/>
        </w:rPr>
        <w:t>、</w:t>
      </w:r>
      <w:r>
        <w:rPr>
          <w:color w:val="000000"/>
          <w:spacing w:val="0"/>
          <w:w w:val="100"/>
          <w:position w:val="0"/>
          <w:sz w:val="18"/>
          <w:szCs w:val="18"/>
        </w:rPr>
        <w:t>0.3539%</w:t>
      </w:r>
      <w:r>
        <w:rPr>
          <w:color w:val="000000"/>
          <w:spacing w:val="0"/>
          <w:w w:val="100"/>
          <w:position w:val="0"/>
        </w:rPr>
        <w:t>、</w:t>
      </w:r>
      <w:r>
        <w:rPr>
          <w:color w:val="000000"/>
          <w:spacing w:val="0"/>
          <w:w w:val="100"/>
          <w:position w:val="0"/>
          <w:sz w:val="18"/>
          <w:szCs w:val="18"/>
        </w:rPr>
        <w:t>0.5464%</w:t>
      </w:r>
      <w:r>
        <w:rPr>
          <w:color w:val="000000"/>
          <w:spacing w:val="0"/>
          <w:w w:val="100"/>
          <w:position w:val="0"/>
        </w:rPr>
        <w:t>、</w:t>
      </w:r>
      <w:r>
        <w:rPr>
          <w:color w:val="000000"/>
          <w:spacing w:val="0"/>
          <w:w w:val="100"/>
          <w:position w:val="0"/>
          <w:sz w:val="18"/>
          <w:szCs w:val="18"/>
        </w:rPr>
        <w:t xml:space="preserve">0. </w:t>
      </w:r>
      <w:r>
        <w:rPr>
          <w:color w:val="000000"/>
          <w:spacing w:val="0"/>
          <w:w w:val="100"/>
          <w:position w:val="0"/>
          <w:sz w:val="18"/>
          <w:szCs w:val="18"/>
        </w:rPr>
        <w:t>8196%</w:t>
      </w:r>
      <w:r>
        <w:rPr>
          <w:color w:val="000000"/>
          <w:spacing w:val="0"/>
          <w:w w:val="100"/>
          <w:position w:val="0"/>
        </w:rPr>
        <w:t>股权转让给新股东 上海金浦信诚移动互联股权投资基金合伙企业（有限合伙）、新股东上海安旻通煜投资中心（有限合伙）、新股东宁波云晖 景盛投资管理合伙企业（有限合伙）、新股东宁波丰廪秦永投资合伙企业（有限合伙）</w:t>
      </w:r>
      <w:r>
        <w:rPr>
          <w:color w:val="000000"/>
          <w:spacing w:val="0"/>
          <w:w w:val="100"/>
          <w:position w:val="0"/>
          <w:sz w:val="18"/>
          <w:szCs w:val="18"/>
        </w:rPr>
        <w:t>；</w:t>
      </w:r>
      <w:r>
        <w:rPr>
          <w:color w:val="000000"/>
          <w:spacing w:val="0"/>
          <w:w w:val="100"/>
          <w:position w:val="0"/>
        </w:rPr>
        <w:t>原股东</w:t>
      </w:r>
      <w:r>
        <w:rPr>
          <w:color w:val="000000"/>
          <w:spacing w:val="0"/>
          <w:w w:val="100"/>
          <w:position w:val="0"/>
          <w:sz w:val="18"/>
          <w:szCs w:val="18"/>
        </w:rPr>
        <w:t xml:space="preserve">FNOF Easynet （HK） Limited </w:t>
      </w:r>
      <w:r>
        <w:rPr>
          <w:color w:val="000000"/>
          <w:spacing w:val="0"/>
          <w:w w:val="100"/>
          <w:position w:val="0"/>
        </w:rPr>
        <w:t>分别将持有的</w:t>
      </w:r>
      <w:r>
        <w:rPr>
          <w:color w:val="000000"/>
          <w:spacing w:val="0"/>
          <w:w w:val="100"/>
          <w:position w:val="0"/>
          <w:sz w:val="18"/>
          <w:szCs w:val="18"/>
        </w:rPr>
        <w:t>0.2689%</w:t>
      </w:r>
      <w:r>
        <w:rPr>
          <w:color w:val="000000"/>
          <w:spacing w:val="0"/>
          <w:w w:val="100"/>
          <w:position w:val="0"/>
        </w:rPr>
        <w:t>、</w:t>
      </w:r>
      <w:r>
        <w:rPr>
          <w:color w:val="000000"/>
          <w:spacing w:val="0"/>
          <w:w w:val="100"/>
          <w:position w:val="0"/>
          <w:sz w:val="18"/>
          <w:szCs w:val="18"/>
        </w:rPr>
        <w:t>0.1741%</w:t>
      </w:r>
      <w:r>
        <w:rPr>
          <w:color w:val="000000"/>
          <w:spacing w:val="0"/>
          <w:w w:val="100"/>
          <w:position w:val="0"/>
        </w:rPr>
        <w:t>、</w:t>
      </w:r>
      <w:r>
        <w:rPr>
          <w:color w:val="000000"/>
          <w:spacing w:val="0"/>
          <w:w w:val="100"/>
          <w:position w:val="0"/>
          <w:sz w:val="18"/>
          <w:szCs w:val="18"/>
        </w:rPr>
        <w:t>0.2689%</w:t>
      </w:r>
      <w:r>
        <w:rPr>
          <w:color w:val="000000"/>
          <w:spacing w:val="0"/>
          <w:w w:val="100"/>
          <w:position w:val="0"/>
        </w:rPr>
        <w:t>、</w:t>
      </w:r>
      <w:r>
        <w:rPr>
          <w:color w:val="000000"/>
          <w:spacing w:val="0"/>
          <w:w w:val="100"/>
          <w:position w:val="0"/>
          <w:sz w:val="18"/>
          <w:szCs w:val="18"/>
        </w:rPr>
        <w:t>0.4033%</w:t>
      </w:r>
      <w:r>
        <w:rPr>
          <w:color w:val="000000"/>
          <w:spacing w:val="0"/>
          <w:w w:val="100"/>
          <w:position w:val="0"/>
        </w:rPr>
        <w:t>股权转让给新股东上海金浦信诚移动互联股权投资基金合伙企业（有限 合伙）、新股东上海安旻通煜投资中心（有限合伙）、新股东宁波云晖景盛投资管理合伙企业（有限合伙）、新股东宁波丰 廪秦永投资合伙企业（有限合伙）</w:t>
      </w:r>
      <w:r>
        <w:rPr>
          <w:color w:val="000000"/>
          <w:spacing w:val="0"/>
          <w:w w:val="100"/>
          <w:position w:val="0"/>
          <w:sz w:val="18"/>
          <w:szCs w:val="18"/>
        </w:rPr>
        <w:t>；</w:t>
      </w:r>
      <w:r>
        <w:rPr>
          <w:color w:val="000000"/>
          <w:spacing w:val="0"/>
          <w:w w:val="100"/>
          <w:position w:val="0"/>
        </w:rPr>
        <w:t>原股东晋汇国际（香港）有限公司分别将其持有的</w:t>
      </w:r>
      <w:r>
        <w:rPr>
          <w:color w:val="000000"/>
          <w:spacing w:val="0"/>
          <w:w w:val="100"/>
          <w:position w:val="0"/>
          <w:sz w:val="18"/>
          <w:szCs w:val="18"/>
        </w:rPr>
        <w:t>0.2328%</w:t>
      </w:r>
      <w:r>
        <w:rPr>
          <w:color w:val="000000"/>
          <w:spacing w:val="0"/>
          <w:w w:val="100"/>
          <w:position w:val="0"/>
        </w:rPr>
        <w:t>、</w:t>
      </w:r>
      <w:r>
        <w:rPr>
          <w:color w:val="000000"/>
          <w:spacing w:val="0"/>
          <w:w w:val="100"/>
          <w:position w:val="0"/>
          <w:sz w:val="18"/>
          <w:szCs w:val="18"/>
        </w:rPr>
        <w:t>0.1508%</w:t>
      </w:r>
      <w:r>
        <w:rPr>
          <w:color w:val="000000"/>
          <w:spacing w:val="0"/>
          <w:w w:val="100"/>
          <w:position w:val="0"/>
        </w:rPr>
        <w:t>、</w:t>
      </w:r>
      <w:r>
        <w:rPr>
          <w:color w:val="000000"/>
          <w:spacing w:val="0"/>
          <w:w w:val="100"/>
          <w:position w:val="0"/>
          <w:sz w:val="18"/>
          <w:szCs w:val="18"/>
        </w:rPr>
        <w:t>0.2328%</w:t>
      </w:r>
      <w:r>
        <w:rPr>
          <w:color w:val="000000"/>
          <w:spacing w:val="0"/>
          <w:w w:val="100"/>
          <w:position w:val="0"/>
        </w:rPr>
        <w:t>、</w:t>
      </w:r>
      <w:r>
        <w:rPr>
          <w:color w:val="000000"/>
          <w:spacing w:val="0"/>
          <w:w w:val="100"/>
          <w:position w:val="0"/>
          <w:sz w:val="18"/>
          <w:szCs w:val="18"/>
        </w:rPr>
        <w:t xml:space="preserve">0. </w:t>
      </w:r>
      <w:r>
        <w:rPr>
          <w:color w:val="000000"/>
          <w:spacing w:val="0"/>
          <w:w w:val="100"/>
          <w:position w:val="0"/>
          <w:sz w:val="18"/>
          <w:szCs w:val="18"/>
        </w:rPr>
        <w:t xml:space="preserve">3493% </w:t>
      </w:r>
      <w:r>
        <w:rPr>
          <w:color w:val="000000"/>
          <w:spacing w:val="0"/>
          <w:w w:val="100"/>
          <w:position w:val="0"/>
        </w:rPr>
        <w:t>股权转让给新股东上海金浦信诚移动互联股权投资基金合伙企业（有限合伙）、新股东上海安旻通煜投资中心（有限合伙）、 新股东宁波云晖景盛投资管理合伙企业（有限合伙）、新股东宁波丰廪秦永投资合伙企业（有限合伙）</w:t>
      </w:r>
      <w:r>
        <w:rPr>
          <w:color w:val="000000"/>
          <w:spacing w:val="0"/>
          <w:w w:val="100"/>
          <w:position w:val="0"/>
          <w:sz w:val="18"/>
          <w:szCs w:val="18"/>
        </w:rPr>
        <w:t>；</w:t>
      </w:r>
      <w:r>
        <w:rPr>
          <w:color w:val="000000"/>
          <w:spacing w:val="0"/>
          <w:w w:val="100"/>
          <w:position w:val="0"/>
        </w:rPr>
        <w:t>原股东</w:t>
      </w:r>
      <w:r>
        <w:rPr>
          <w:color w:val="000000"/>
          <w:spacing w:val="0"/>
          <w:w w:val="100"/>
          <w:position w:val="0"/>
          <w:sz w:val="18"/>
          <w:szCs w:val="18"/>
        </w:rPr>
        <w:t>CEL Cherish Limited</w:t>
      </w:r>
      <w:r>
        <w:rPr>
          <w:color w:val="000000"/>
          <w:spacing w:val="0"/>
          <w:w w:val="100"/>
          <w:position w:val="0"/>
        </w:rPr>
        <w:t>分别将其持有的</w:t>
      </w:r>
      <w:r>
        <w:rPr>
          <w:color w:val="000000"/>
          <w:spacing w:val="0"/>
          <w:w w:val="100"/>
          <w:position w:val="0"/>
          <w:sz w:val="18"/>
          <w:szCs w:val="18"/>
        </w:rPr>
        <w:t>0.0772%</w:t>
      </w:r>
      <w:r>
        <w:rPr>
          <w:color w:val="000000"/>
          <w:spacing w:val="0"/>
          <w:w w:val="100"/>
          <w:position w:val="0"/>
        </w:rPr>
        <w:t>、</w:t>
      </w:r>
      <w:r>
        <w:rPr>
          <w:color w:val="000000"/>
          <w:spacing w:val="0"/>
          <w:w w:val="100"/>
          <w:position w:val="0"/>
          <w:sz w:val="18"/>
          <w:szCs w:val="18"/>
        </w:rPr>
        <w:t>0.0500%</w:t>
      </w:r>
      <w:r>
        <w:rPr>
          <w:color w:val="000000"/>
          <w:spacing w:val="0"/>
          <w:w w:val="100"/>
          <w:position w:val="0"/>
        </w:rPr>
        <w:t>、</w:t>
      </w:r>
      <w:r>
        <w:rPr>
          <w:color w:val="000000"/>
          <w:spacing w:val="0"/>
          <w:w w:val="100"/>
          <w:position w:val="0"/>
          <w:sz w:val="18"/>
          <w:szCs w:val="18"/>
        </w:rPr>
        <w:t>0.0772%</w:t>
      </w:r>
      <w:r>
        <w:rPr>
          <w:color w:val="000000"/>
          <w:spacing w:val="0"/>
          <w:w w:val="100"/>
          <w:position w:val="0"/>
        </w:rPr>
        <w:t>、</w:t>
      </w:r>
      <w:r>
        <w:rPr>
          <w:color w:val="000000"/>
          <w:spacing w:val="0"/>
          <w:w w:val="100"/>
          <w:position w:val="0"/>
          <w:sz w:val="18"/>
          <w:szCs w:val="18"/>
        </w:rPr>
        <w:t>0.1158%</w:t>
      </w:r>
      <w:r>
        <w:rPr>
          <w:color w:val="000000"/>
          <w:spacing w:val="0"/>
          <w:w w:val="100"/>
          <w:position w:val="0"/>
        </w:rPr>
        <w:t>股权转让给新股东上海金浦信诚移动互联股权投资基金合伙 企业（有限合伙）、新股东上海安旻通煜投资中心（有限合伙）、新股东宁波云晖景盛投资管理合伙企业（有限合伙）、新 股东宁波丰廪秦永投资合伙企业（有限合伙）；原股东刘天星分别将其持有的</w:t>
      </w:r>
      <w:r>
        <w:rPr>
          <w:color w:val="000000"/>
          <w:spacing w:val="0"/>
          <w:w w:val="100"/>
          <w:position w:val="0"/>
          <w:sz w:val="18"/>
          <w:szCs w:val="18"/>
        </w:rPr>
        <w:t>1.1253%</w:t>
      </w:r>
      <w:r>
        <w:rPr>
          <w:color w:val="000000"/>
          <w:spacing w:val="0"/>
          <w:w w:val="100"/>
          <w:position w:val="0"/>
        </w:rPr>
        <w:t>、</w:t>
      </w:r>
      <w:r>
        <w:rPr>
          <w:color w:val="000000"/>
          <w:spacing w:val="0"/>
          <w:w w:val="100"/>
          <w:position w:val="0"/>
          <w:sz w:val="18"/>
          <w:szCs w:val="18"/>
        </w:rPr>
        <w:t>0.6684%</w:t>
      </w:r>
      <w:r>
        <w:rPr>
          <w:color w:val="000000"/>
          <w:spacing w:val="0"/>
          <w:w w:val="100"/>
          <w:position w:val="0"/>
        </w:rPr>
        <w:t>、</w:t>
      </w:r>
      <w:r>
        <w:rPr>
          <w:color w:val="000000"/>
          <w:spacing w:val="0"/>
          <w:w w:val="100"/>
          <w:position w:val="0"/>
          <w:sz w:val="18"/>
          <w:szCs w:val="18"/>
        </w:rPr>
        <w:t>0.4726%</w:t>
      </w:r>
      <w:r>
        <w:rPr>
          <w:color w:val="000000"/>
          <w:spacing w:val="0"/>
          <w:w w:val="100"/>
          <w:position w:val="0"/>
        </w:rPr>
        <w:t>股权转让给新股 东深圳市安鑫二号投资管理企业（有限合伙）、新股东盐城通云致成资产管理企业（有限合伙）、新股东上海高鹄风府投资 管理合伙企业（有限合伙）。</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12</w:t>
      </w:r>
      <w:r>
        <w:rPr>
          <w:color w:val="000000"/>
          <w:spacing w:val="0"/>
          <w:w w:val="100"/>
          <w:position w:val="0"/>
        </w:rPr>
        <w:t>日，上述各转让方与相应的受让方分别签订股权转让协议，转让其持有的软通动 力公司相应比例的股权。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日，取得北京市人民政府批准换发的“商外资京资字</w:t>
      </w:r>
      <w:r>
        <w:rPr>
          <w:color w:val="000000"/>
          <w:spacing w:val="0"/>
          <w:w w:val="100"/>
          <w:position w:val="0"/>
          <w:sz w:val="18"/>
          <w:szCs w:val="18"/>
        </w:rPr>
        <w:t>[2005]20331</w:t>
      </w:r>
      <w:r>
        <w:rPr>
          <w:color w:val="000000"/>
          <w:spacing w:val="0"/>
          <w:w w:val="100"/>
          <w:position w:val="0"/>
        </w:rPr>
        <w:t>号”《中华人民共 和国台港澳侨投资企业批准证书》。</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日完成工商变更登记，变更后的股权结构如下：</w:t>
      </w:r>
    </w:p>
    <w:tbl>
      <w:tblPr>
        <w:tblOverlap w:val="never"/>
        <w:jc w:val="center"/>
        <w:tblLayout w:type="fixed"/>
      </w:tblPr>
      <w:tblGrid>
        <w:gridCol w:w="787"/>
        <w:gridCol w:w="4162"/>
        <w:gridCol w:w="2083"/>
        <w:gridCol w:w="1123"/>
        <w:gridCol w:w="152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出资比例（%）</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985. </w:t>
            </w: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28.9515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490. </w:t>
            </w:r>
            <w:r>
              <w:rPr>
                <w:color w:val="000000"/>
                <w:spacing w:val="0"/>
                <w:w w:val="100"/>
                <w:position w:val="0"/>
                <w:sz w:val="18"/>
                <w:szCs w:val="18"/>
              </w:rPr>
              <w:t>9410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w:t>
            </w:r>
            <w:r>
              <w:rPr>
                <w:color w:val="000000"/>
                <w:spacing w:val="0"/>
                <w:w w:val="100"/>
                <w:position w:val="0"/>
                <w:sz w:val="18"/>
                <w:szCs w:val="18"/>
              </w:rPr>
              <w:t>4262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Easynet(HK)Limited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241. </w:t>
            </w:r>
            <w:r>
              <w:rPr>
                <w:color w:val="000000"/>
                <w:spacing w:val="0"/>
                <w:w w:val="100"/>
                <w:position w:val="0"/>
                <w:sz w:val="18"/>
                <w:szCs w:val="18"/>
              </w:rPr>
              <w:t>5778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0987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237. </w:t>
            </w:r>
            <w:r>
              <w:rPr>
                <w:color w:val="000000"/>
                <w:spacing w:val="0"/>
                <w:w w:val="100"/>
                <w:position w:val="0"/>
                <w:sz w:val="18"/>
                <w:szCs w:val="18"/>
              </w:rPr>
              <w:t>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9649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209. </w:t>
            </w:r>
            <w:r>
              <w:rPr>
                <w:color w:val="000000"/>
                <w:spacing w:val="0"/>
                <w:w w:val="100"/>
                <w:position w:val="0"/>
                <w:sz w:val="18"/>
                <w:szCs w:val="18"/>
              </w:rPr>
              <w:t>2217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1480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 </w:t>
            </w:r>
            <w:r>
              <w:rPr>
                <w:color w:val="000000"/>
                <w:spacing w:val="0"/>
                <w:w w:val="100"/>
                <w:position w:val="0"/>
                <w:sz w:val="18"/>
                <w:szCs w:val="18"/>
              </w:rPr>
              <w:t>7125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9291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9411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睿团（香港）有限公司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77.</w:t>
            </w:r>
            <w:r>
              <w:rPr>
                <w:color w:val="000000"/>
                <w:spacing w:val="0"/>
                <w:w w:val="100"/>
                <w:position w:val="0"/>
                <w:sz w:val="18"/>
                <w:szCs w:val="18"/>
              </w:rPr>
              <w:t>0005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2626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北京华盖创富壹号股权投资合伙企业（有限合伙）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2506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湖南文化旅游投资基金企业（有限合伙）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2506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Cherish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69.</w:t>
            </w:r>
            <w:r>
              <w:rPr>
                <w:color w:val="000000"/>
                <w:spacing w:val="0"/>
                <w:w w:val="100"/>
                <w:position w:val="0"/>
                <w:sz w:val="18"/>
                <w:szCs w:val="18"/>
              </w:rPr>
              <w:t>3350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0374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新余市鹏汇君晖投资中心（有限合伙）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65. </w:t>
            </w:r>
            <w:r>
              <w:rPr>
                <w:color w:val="000000"/>
                <w:spacing w:val="0"/>
                <w:w w:val="100"/>
                <w:position w:val="0"/>
                <w:sz w:val="18"/>
                <w:szCs w:val="18"/>
              </w:rPr>
              <w:t>1035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9131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宁波丰廪秦永投资合伙企业（有限合伙）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57.</w:t>
            </w:r>
            <w:r>
              <w:rPr>
                <w:color w:val="000000"/>
                <w:spacing w:val="0"/>
                <w:w w:val="100"/>
                <w:position w:val="0"/>
                <w:sz w:val="18"/>
                <w:szCs w:val="18"/>
              </w:rPr>
              <w:t>4443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6880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50. </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北京渤海华盖股权投资合伙企业（有限合伙）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1.4705</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北京渤海通新股权投资基金管理合伙企业（有限合伙）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1.4705</w:t>
            </w:r>
          </w:p>
        </w:tc>
      </w:tr>
    </w:tbl>
    <w:p>
      <w:pPr>
        <w:widowControl w:val="0"/>
        <w:spacing w:line="1" w:lineRule="exact"/>
      </w:pPr>
      <w:r>
        <w:br w:type="page"/>
      </w:r>
    </w:p>
    <w:tbl>
      <w:tblPr>
        <w:tblOverlap w:val="never"/>
        <w:jc w:val="center"/>
        <w:tblLayout w:type="fixed"/>
      </w:tblPr>
      <w:tblGrid>
        <w:gridCol w:w="787"/>
        <w:gridCol w:w="4162"/>
        <w:gridCol w:w="2083"/>
        <w:gridCol w:w="1123"/>
        <w:gridCol w:w="152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上海高鹄风府投资管理合伙企业（有限合伙）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49.</w:t>
            </w:r>
            <w:r>
              <w:rPr>
                <w:color w:val="000000"/>
                <w:spacing w:val="0"/>
                <w:w w:val="100"/>
                <w:position w:val="0"/>
                <w:sz w:val="18"/>
                <w:szCs w:val="18"/>
              </w:rPr>
              <w:t>7851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1.4629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领富中国投资有限公司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44.</w:t>
            </w:r>
            <w:r>
              <w:rPr>
                <w:color w:val="000000"/>
                <w:spacing w:val="0"/>
                <w:w w:val="100"/>
                <w:position w:val="0"/>
                <w:sz w:val="18"/>
                <w:szCs w:val="18"/>
              </w:rPr>
              <w:t>5487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3091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深圳市安鑫二号投资管理企业（有限合伙）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38.</w:t>
            </w:r>
            <w:r>
              <w:rPr>
                <w:color w:val="000000"/>
                <w:spacing w:val="0"/>
                <w:w w:val="100"/>
                <w:position w:val="0"/>
                <w:sz w:val="18"/>
                <w:szCs w:val="18"/>
              </w:rPr>
              <w:t>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1253</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上海金浦信诚移动互联股权投资基金合伙企业（有限 合伙）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38.</w:t>
            </w:r>
            <w:r>
              <w:rPr>
                <w:color w:val="000000"/>
                <w:spacing w:val="0"/>
                <w:w w:val="100"/>
                <w:position w:val="0"/>
                <w:sz w:val="18"/>
                <w:szCs w:val="18"/>
              </w:rPr>
              <w:t>2962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1253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宁波云晖景盛投资管理合伙企业（有限合伙）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38.</w:t>
            </w:r>
            <w:r>
              <w:rPr>
                <w:color w:val="000000"/>
                <w:spacing w:val="0"/>
                <w:w w:val="100"/>
                <w:position w:val="0"/>
                <w:sz w:val="18"/>
                <w:szCs w:val="18"/>
              </w:rPr>
              <w:t>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1253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36.</w:t>
            </w:r>
            <w:r>
              <w:rPr>
                <w:color w:val="000000"/>
                <w:spacing w:val="0"/>
                <w:w w:val="100"/>
                <w:position w:val="0"/>
                <w:sz w:val="18"/>
                <w:szCs w:val="18"/>
              </w:rPr>
              <w:t>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0588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31. </w:t>
            </w:r>
            <w:r>
              <w:rPr>
                <w:color w:val="000000"/>
                <w:spacing w:val="0"/>
                <w:w w:val="100"/>
                <w:position w:val="0"/>
                <w:sz w:val="18"/>
                <w:szCs w:val="18"/>
              </w:rPr>
              <w:t>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9347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北京红杉信远股权投资中心（有限合伙）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25.</w:t>
            </w:r>
            <w:r>
              <w:rPr>
                <w:color w:val="000000"/>
                <w:spacing w:val="0"/>
                <w:w w:val="100"/>
                <w:position w:val="0"/>
                <w:sz w:val="18"/>
                <w:szCs w:val="18"/>
              </w:rPr>
              <w:t>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7353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上海安旻通煜投资中心（有限合伙）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24. </w:t>
            </w:r>
            <w:r>
              <w:rPr>
                <w:color w:val="000000"/>
                <w:spacing w:val="0"/>
                <w:w w:val="100"/>
                <w:position w:val="0"/>
                <w:sz w:val="18"/>
                <w:szCs w:val="18"/>
              </w:rPr>
              <w:t>8018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7288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盐城通云致成资产管理企业（有限合伙）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w:t>
            </w:r>
            <w:r>
              <w:rPr>
                <w:color w:val="000000"/>
                <w:spacing w:val="0"/>
                <w:w w:val="100"/>
                <w:position w:val="0"/>
                <w:sz w:val="18"/>
                <w:szCs w:val="18"/>
              </w:rPr>
              <w:t>7479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6684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21.</w:t>
            </w:r>
            <w:r>
              <w:rPr>
                <w:color w:val="000000"/>
                <w:spacing w:val="0"/>
                <w:w w:val="100"/>
                <w:position w:val="0"/>
                <w:sz w:val="18"/>
                <w:szCs w:val="18"/>
              </w:rPr>
              <w:t>0408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6183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12. </w:t>
            </w:r>
            <w:r>
              <w:rPr>
                <w:color w:val="000000"/>
                <w:spacing w:val="0"/>
                <w:w w:val="100"/>
                <w:position w:val="0"/>
                <w:sz w:val="18"/>
                <w:szCs w:val="18"/>
              </w:rPr>
              <w:t>3885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3640</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403. </w:t>
            </w:r>
            <w:r>
              <w:rPr>
                <w:color w:val="000000"/>
                <w:spacing w:val="0"/>
                <w:w w:val="100"/>
                <w:position w:val="0"/>
                <w:sz w:val="18"/>
                <w:szCs w:val="18"/>
              </w:rPr>
              <w:t>1257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32" w:right="0" w:firstLine="0"/>
        <w:jc w:val="left"/>
      </w:pPr>
      <w:r>
        <w:rPr>
          <w:color w:val="000000"/>
          <w:spacing w:val="0"/>
          <w:w w:val="100"/>
          <w:position w:val="0"/>
          <w:sz w:val="18"/>
          <w:szCs w:val="18"/>
        </w:rPr>
        <w:t>14</w:t>
      </w:r>
      <w:r>
        <w:rPr>
          <w:color w:val="000000"/>
          <w:spacing w:val="0"/>
          <w:w w:val="100"/>
          <w:position w:val="0"/>
        </w:rPr>
        <w:t>.软通动力公司第三次股权转让情况</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23</w:t>
      </w:r>
      <w:r>
        <w:rPr>
          <w:color w:val="000000"/>
          <w:spacing w:val="0"/>
          <w:w w:val="100"/>
          <w:position w:val="0"/>
        </w:rPr>
        <w:t>日，北京市海淀区商务委员会出具“海商审字</w:t>
      </w:r>
      <w:r>
        <w:rPr>
          <w:color w:val="000000"/>
          <w:spacing w:val="0"/>
          <w:w w:val="100"/>
          <w:position w:val="0"/>
          <w:sz w:val="18"/>
          <w:szCs w:val="18"/>
        </w:rPr>
        <w:t>[2016]386</w:t>
      </w:r>
      <w:r>
        <w:rPr>
          <w:color w:val="000000"/>
          <w:spacing w:val="0"/>
          <w:w w:val="100"/>
          <w:position w:val="0"/>
        </w:rPr>
        <w:t>号”《关于软通动力信息技术（集团）有限公司 股权转让的批复》，同意软通动力公司原股东北京渤海通新股权投资基金管理合伙企业（有限合伙）将其持有的</w:t>
      </w:r>
      <w:r>
        <w:rPr>
          <w:color w:val="000000"/>
          <w:spacing w:val="0"/>
          <w:w w:val="100"/>
          <w:position w:val="0"/>
          <w:sz w:val="18"/>
          <w:szCs w:val="18"/>
        </w:rPr>
        <w:t>1.4705%</w:t>
      </w:r>
      <w:r>
        <w:rPr>
          <w:color w:val="000000"/>
          <w:spacing w:val="0"/>
          <w:w w:val="100"/>
          <w:position w:val="0"/>
        </w:rPr>
        <w:t>股 权转让给新股东深圳银信宝源投资基金管理有限公司；原股东盐城通云致成资产管理企业（有限合伙）将其持有的</w:t>
      </w:r>
      <w:r>
        <w:rPr>
          <w:color w:val="000000"/>
          <w:spacing w:val="0"/>
          <w:w w:val="100"/>
          <w:position w:val="0"/>
          <w:sz w:val="18"/>
          <w:szCs w:val="18"/>
        </w:rPr>
        <w:t xml:space="preserve">0. </w:t>
      </w:r>
      <w:r>
        <w:rPr>
          <w:color w:val="000000"/>
          <w:spacing w:val="0"/>
          <w:w w:val="100"/>
          <w:position w:val="0"/>
          <w:sz w:val="18"/>
          <w:szCs w:val="18"/>
        </w:rPr>
        <w:t xml:space="preserve">6684% </w:t>
      </w:r>
      <w:r>
        <w:rPr>
          <w:color w:val="000000"/>
          <w:spacing w:val="0"/>
          <w:w w:val="100"/>
          <w:position w:val="0"/>
        </w:rPr>
        <w:t>股权转让给原股东刘天星。</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日，上述各转让方与相应的受让方分别签订股权转让协议，转让其持有的软通动力 公司相应比例的股权。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日，取得北京市人民政府批准换发的“商外资京资字</w:t>
      </w:r>
      <w:r>
        <w:rPr>
          <w:color w:val="000000"/>
          <w:spacing w:val="0"/>
          <w:w w:val="100"/>
          <w:position w:val="0"/>
          <w:sz w:val="18"/>
          <w:szCs w:val="18"/>
        </w:rPr>
        <w:t>[2005]20331</w:t>
      </w:r>
      <w:r>
        <w:rPr>
          <w:color w:val="000000"/>
          <w:spacing w:val="0"/>
          <w:w w:val="100"/>
          <w:position w:val="0"/>
        </w:rPr>
        <w:t>号”《中华人民共和国 台港澳侨投资企业批准证书》。</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日完成工商变更登记，变更后的股权结构如下：</w:t>
      </w:r>
    </w:p>
    <w:tbl>
      <w:tblPr>
        <w:tblOverlap w:val="never"/>
        <w:jc w:val="center"/>
        <w:tblLayout w:type="fixed"/>
      </w:tblPr>
      <w:tblGrid>
        <w:gridCol w:w="691"/>
        <w:gridCol w:w="4253"/>
        <w:gridCol w:w="1930"/>
        <w:gridCol w:w="1282"/>
        <w:gridCol w:w="152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出资比例（%）</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985. </w:t>
            </w:r>
            <w:r>
              <w:rPr>
                <w:color w:val="000000"/>
                <w:spacing w:val="0"/>
                <w:w w:val="100"/>
                <w:position w:val="0"/>
                <w:sz w:val="18"/>
                <w:szCs w:val="18"/>
              </w:rPr>
              <w:t>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28.9515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490. </w:t>
            </w:r>
            <w:r>
              <w:rPr>
                <w:color w:val="000000"/>
                <w:spacing w:val="0"/>
                <w:w w:val="100"/>
                <w:position w:val="0"/>
                <w:sz w:val="18"/>
                <w:szCs w:val="18"/>
              </w:rPr>
              <w:t>9410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 </w:t>
            </w:r>
            <w:r>
              <w:rPr>
                <w:color w:val="000000"/>
                <w:spacing w:val="0"/>
                <w:w w:val="100"/>
                <w:position w:val="0"/>
                <w:sz w:val="18"/>
                <w:szCs w:val="18"/>
              </w:rPr>
              <w:t>4262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Easynet(HK)Limited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241. </w:t>
            </w:r>
            <w:r>
              <w:rPr>
                <w:color w:val="000000"/>
                <w:spacing w:val="0"/>
                <w:w w:val="100"/>
                <w:position w:val="0"/>
                <w:sz w:val="18"/>
                <w:szCs w:val="18"/>
              </w:rPr>
              <w:t>5778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7. </w:t>
            </w:r>
            <w:r>
              <w:rPr>
                <w:color w:val="000000"/>
                <w:spacing w:val="0"/>
                <w:w w:val="100"/>
                <w:position w:val="0"/>
                <w:sz w:val="18"/>
                <w:szCs w:val="18"/>
              </w:rPr>
              <w:t>0987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237. </w:t>
            </w:r>
            <w:r>
              <w:rPr>
                <w:color w:val="000000"/>
                <w:spacing w:val="0"/>
                <w:w w:val="100"/>
                <w:position w:val="0"/>
                <w:sz w:val="18"/>
                <w:szCs w:val="18"/>
              </w:rPr>
              <w:t>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 </w:t>
            </w:r>
            <w:r>
              <w:rPr>
                <w:color w:val="000000"/>
                <w:spacing w:val="0"/>
                <w:w w:val="100"/>
                <w:position w:val="0"/>
                <w:sz w:val="18"/>
                <w:szCs w:val="18"/>
              </w:rPr>
              <w:t>9649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209. </w:t>
            </w:r>
            <w:r>
              <w:rPr>
                <w:color w:val="000000"/>
                <w:spacing w:val="0"/>
                <w:w w:val="100"/>
                <w:position w:val="0"/>
                <w:sz w:val="18"/>
                <w:szCs w:val="18"/>
              </w:rPr>
              <w:t>2217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 </w:t>
            </w:r>
            <w:r>
              <w:rPr>
                <w:color w:val="000000"/>
                <w:spacing w:val="0"/>
                <w:w w:val="100"/>
                <w:position w:val="0"/>
                <w:sz w:val="18"/>
                <w:szCs w:val="18"/>
              </w:rPr>
              <w:t>1480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133. </w:t>
            </w:r>
            <w:r>
              <w:rPr>
                <w:color w:val="000000"/>
                <w:spacing w:val="0"/>
                <w:w w:val="100"/>
                <w:position w:val="0"/>
                <w:sz w:val="18"/>
                <w:szCs w:val="18"/>
              </w:rPr>
              <w:t>7125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 </w:t>
            </w:r>
            <w:r>
              <w:rPr>
                <w:color w:val="000000"/>
                <w:spacing w:val="0"/>
                <w:w w:val="100"/>
                <w:position w:val="0"/>
                <w:sz w:val="18"/>
                <w:szCs w:val="18"/>
              </w:rPr>
              <w:t>9291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 </w:t>
            </w:r>
            <w:r>
              <w:rPr>
                <w:color w:val="000000"/>
                <w:spacing w:val="0"/>
                <w:w w:val="100"/>
                <w:position w:val="0"/>
                <w:sz w:val="18"/>
                <w:szCs w:val="18"/>
              </w:rPr>
              <w:t>9411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睿团（香港）有限公司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77.0005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 </w:t>
            </w:r>
            <w:r>
              <w:rPr>
                <w:color w:val="000000"/>
                <w:spacing w:val="0"/>
                <w:w w:val="100"/>
                <w:position w:val="0"/>
                <w:sz w:val="18"/>
                <w:szCs w:val="18"/>
              </w:rPr>
              <w:t>2626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北京华盖创富壹号股权投资合伙企业（有限合伙）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 </w:t>
            </w:r>
            <w:r>
              <w:rPr>
                <w:color w:val="000000"/>
                <w:spacing w:val="0"/>
                <w:w w:val="100"/>
                <w:position w:val="0"/>
                <w:sz w:val="18"/>
                <w:szCs w:val="18"/>
              </w:rPr>
              <w:t>2506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湖南文化旅游投资基金企业（有限合伙）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 </w:t>
            </w:r>
            <w:r>
              <w:rPr>
                <w:color w:val="000000"/>
                <w:spacing w:val="0"/>
                <w:w w:val="100"/>
                <w:position w:val="0"/>
                <w:sz w:val="18"/>
                <w:szCs w:val="18"/>
              </w:rPr>
              <w:t>2506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Cherish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69.3350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 </w:t>
            </w:r>
            <w:r>
              <w:rPr>
                <w:color w:val="000000"/>
                <w:spacing w:val="0"/>
                <w:w w:val="100"/>
                <w:position w:val="0"/>
                <w:sz w:val="18"/>
                <w:szCs w:val="18"/>
              </w:rPr>
              <w:t>0374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新余市鹏汇君晖投资中心（有限合伙）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65. </w:t>
            </w:r>
            <w:r>
              <w:rPr>
                <w:color w:val="000000"/>
                <w:spacing w:val="0"/>
                <w:w w:val="100"/>
                <w:position w:val="0"/>
                <w:sz w:val="18"/>
                <w:szCs w:val="18"/>
              </w:rPr>
              <w:t>1035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9131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宁波丰廪秦永投资合伙企业（有限合伙）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57. </w:t>
            </w:r>
            <w:r>
              <w:rPr>
                <w:color w:val="000000"/>
                <w:spacing w:val="0"/>
                <w:w w:val="100"/>
                <w:position w:val="0"/>
                <w:sz w:val="18"/>
                <w:szCs w:val="18"/>
              </w:rPr>
              <w:t>4443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6880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1.4705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1.4705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深圳银信宝源投资基金管理有限公司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1.4705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北京渤海华盖股权投资合伙企业（有限合伙）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1.4705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上海高鹄风府投资管理合伙企业（有限合伙）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49.7851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1.4629</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领富中国投资有限公司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44. </w:t>
            </w:r>
            <w:r>
              <w:rPr>
                <w:color w:val="000000"/>
                <w:spacing w:val="0"/>
                <w:w w:val="100"/>
                <w:position w:val="0"/>
                <w:sz w:val="18"/>
                <w:szCs w:val="18"/>
              </w:rPr>
              <w:t>5487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3091</w:t>
            </w:r>
          </w:p>
        </w:tc>
      </w:tr>
    </w:tbl>
    <w:p>
      <w:pPr>
        <w:widowControl w:val="0"/>
        <w:spacing w:line="1" w:lineRule="exact"/>
      </w:pPr>
      <w:r>
        <w:br w:type="page"/>
      </w:r>
    </w:p>
    <w:tbl>
      <w:tblPr>
        <w:tblOverlap w:val="never"/>
        <w:jc w:val="center"/>
        <w:tblLayout w:type="fixed"/>
      </w:tblPr>
      <w:tblGrid>
        <w:gridCol w:w="691"/>
        <w:gridCol w:w="4253"/>
        <w:gridCol w:w="1930"/>
        <w:gridCol w:w="1282"/>
        <w:gridCol w:w="152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深圳市安鑫二号投资管理企业（有限合伙）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1253</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上海金浦信诚移动互联股权投资基金合伙企业（有限合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38.2962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1253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宁波云晖景盛投资管理合伙企业（有限合伙）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1253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36.0320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0588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35. </w:t>
            </w:r>
            <w:r>
              <w:rPr>
                <w:color w:val="000000"/>
                <w:spacing w:val="0"/>
                <w:w w:val="100"/>
                <w:position w:val="0"/>
                <w:sz w:val="18"/>
                <w:szCs w:val="18"/>
              </w:rPr>
              <w:t>1364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0324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31.8095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9347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北京红杉信远股权投资中心（有限合伙）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7353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上海安旻通煜投资中心（有限合伙）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24. </w:t>
            </w:r>
            <w:r>
              <w:rPr>
                <w:color w:val="000000"/>
                <w:spacing w:val="0"/>
                <w:w w:val="100"/>
                <w:position w:val="0"/>
                <w:sz w:val="18"/>
                <w:szCs w:val="18"/>
              </w:rPr>
              <w:t>8018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7288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21.0408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6183</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403. </w:t>
            </w:r>
            <w:r>
              <w:rPr>
                <w:color w:val="000000"/>
                <w:spacing w:val="0"/>
                <w:w w:val="100"/>
                <w:position w:val="0"/>
                <w:sz w:val="18"/>
                <w:szCs w:val="18"/>
              </w:rPr>
              <w:t>1257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32" w:right="0" w:firstLine="0"/>
        <w:jc w:val="left"/>
      </w:pPr>
      <w:r>
        <w:rPr>
          <w:color w:val="000000"/>
          <w:spacing w:val="0"/>
          <w:w w:val="100"/>
          <w:position w:val="0"/>
          <w:sz w:val="18"/>
          <w:szCs w:val="18"/>
        </w:rPr>
        <w:t>15</w:t>
      </w:r>
      <w:r>
        <w:rPr>
          <w:color w:val="000000"/>
          <w:spacing w:val="0"/>
          <w:w w:val="100"/>
          <w:position w:val="0"/>
        </w:rPr>
        <w:t>.软通动力公司第九次增资情况</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日，北京市海淀区商务委员会出具“海商审字</w:t>
      </w:r>
      <w:r>
        <w:rPr>
          <w:color w:val="000000"/>
          <w:spacing w:val="0"/>
          <w:w w:val="100"/>
          <w:position w:val="0"/>
          <w:sz w:val="18"/>
          <w:szCs w:val="18"/>
        </w:rPr>
        <w:t>［2016］759</w:t>
      </w:r>
      <w:r>
        <w:rPr>
          <w:color w:val="000000"/>
          <w:spacing w:val="0"/>
          <w:w w:val="100"/>
          <w:position w:val="0"/>
        </w:rPr>
        <w:t>号”《关于软通动力信息技术（集团）有限公司 增资扩股的批复》</w:t>
      </w:r>
      <w:r>
        <w:rPr>
          <w:i/>
          <w:iCs/>
          <w:color w:val="000000"/>
          <w:spacing w:val="0"/>
          <w:w w:val="100"/>
          <w:position w:val="0"/>
        </w:rPr>
        <w:t>，</w:t>
      </w:r>
      <w:r>
        <w:rPr>
          <w:color w:val="000000"/>
          <w:spacing w:val="0"/>
          <w:w w:val="100"/>
          <w:position w:val="0"/>
        </w:rPr>
        <w:t>同意软通动力公司注册资本由</w:t>
      </w:r>
      <w:r>
        <w:rPr>
          <w:color w:val="000000"/>
          <w:spacing w:val="0"/>
          <w:w w:val="100"/>
          <w:position w:val="0"/>
          <w:sz w:val="18"/>
          <w:szCs w:val="18"/>
        </w:rPr>
        <w:t xml:space="preserve">3, </w:t>
      </w:r>
      <w:r>
        <w:rPr>
          <w:color w:val="000000"/>
          <w:spacing w:val="0"/>
          <w:w w:val="100"/>
          <w:position w:val="0"/>
          <w:sz w:val="18"/>
          <w:szCs w:val="18"/>
        </w:rPr>
        <w:t>403.125</w:t>
      </w:r>
      <w:r>
        <w:rPr>
          <w:color w:val="000000"/>
          <w:spacing w:val="0"/>
          <w:w w:val="100"/>
          <w:position w:val="0"/>
          <w:sz w:val="18"/>
          <w:szCs w:val="18"/>
        </w:rPr>
        <w:t>7</w:t>
      </w:r>
      <w:r>
        <w:rPr>
          <w:color w:val="000000"/>
          <w:spacing w:val="0"/>
          <w:w w:val="100"/>
          <w:position w:val="0"/>
        </w:rPr>
        <w:t>万美元增至</w:t>
      </w:r>
      <w:r>
        <w:rPr>
          <w:color w:val="000000"/>
          <w:spacing w:val="0"/>
          <w:w w:val="100"/>
          <w:position w:val="0"/>
          <w:sz w:val="18"/>
          <w:szCs w:val="18"/>
        </w:rPr>
        <w:t xml:space="preserve">3, </w:t>
      </w:r>
      <w:r>
        <w:rPr>
          <w:color w:val="000000"/>
          <w:spacing w:val="0"/>
          <w:w w:val="100"/>
          <w:position w:val="0"/>
          <w:sz w:val="18"/>
          <w:szCs w:val="18"/>
        </w:rPr>
        <w:t xml:space="preserve">856. </w:t>
      </w:r>
      <w:r>
        <w:rPr>
          <w:color w:val="000000"/>
          <w:spacing w:val="0"/>
          <w:w w:val="100"/>
          <w:position w:val="0"/>
          <w:sz w:val="18"/>
          <w:szCs w:val="18"/>
        </w:rPr>
        <w:t>8758</w:t>
      </w:r>
      <w:r>
        <w:rPr>
          <w:color w:val="000000"/>
          <w:spacing w:val="0"/>
          <w:w w:val="100"/>
          <w:position w:val="0"/>
        </w:rPr>
        <w:t>万美元。增资部分由原股东刘天文以折 合</w:t>
      </w:r>
      <w:r>
        <w:rPr>
          <w:color w:val="000000"/>
          <w:spacing w:val="0"/>
          <w:w w:val="100"/>
          <w:position w:val="0"/>
          <w:sz w:val="18"/>
          <w:szCs w:val="18"/>
        </w:rPr>
        <w:t xml:space="preserve">4, </w:t>
      </w:r>
      <w:r>
        <w:rPr>
          <w:color w:val="000000"/>
          <w:spacing w:val="0"/>
          <w:w w:val="100"/>
          <w:position w:val="0"/>
          <w:sz w:val="18"/>
          <w:szCs w:val="18"/>
        </w:rPr>
        <w:t xml:space="preserve">499. </w:t>
      </w:r>
      <w:r>
        <w:rPr>
          <w:color w:val="000000"/>
          <w:spacing w:val="0"/>
          <w:w w:val="100"/>
          <w:position w:val="0"/>
          <w:sz w:val="18"/>
          <w:szCs w:val="18"/>
        </w:rPr>
        <w:t>3701</w:t>
      </w:r>
      <w:r>
        <w:rPr>
          <w:color w:val="000000"/>
          <w:spacing w:val="0"/>
          <w:w w:val="100"/>
          <w:position w:val="0"/>
        </w:rPr>
        <w:t>万美元的人民币现金认缴，其中</w:t>
      </w:r>
      <w:r>
        <w:rPr>
          <w:color w:val="000000"/>
          <w:spacing w:val="0"/>
          <w:w w:val="100"/>
          <w:position w:val="0"/>
          <w:sz w:val="18"/>
          <w:szCs w:val="18"/>
        </w:rPr>
        <w:t xml:space="preserve">113. </w:t>
      </w:r>
      <w:r>
        <w:rPr>
          <w:color w:val="000000"/>
          <w:spacing w:val="0"/>
          <w:w w:val="100"/>
          <w:position w:val="0"/>
          <w:sz w:val="18"/>
          <w:szCs w:val="18"/>
        </w:rPr>
        <w:t>4375</w:t>
      </w:r>
      <w:r>
        <w:rPr>
          <w:color w:val="000000"/>
          <w:spacing w:val="0"/>
          <w:w w:val="100"/>
          <w:position w:val="0"/>
        </w:rPr>
        <w:t>万美元作为注册资本，其余计入资本公积；新股东舟山长通投资合伙 企业（有限合伙）以折合</w:t>
      </w:r>
      <w:r>
        <w:rPr>
          <w:color w:val="000000"/>
          <w:spacing w:val="0"/>
          <w:w w:val="100"/>
          <w:position w:val="0"/>
          <w:sz w:val="18"/>
          <w:szCs w:val="18"/>
        </w:rPr>
        <w:t xml:space="preserve">8, </w:t>
      </w:r>
      <w:r>
        <w:rPr>
          <w:color w:val="000000"/>
          <w:spacing w:val="0"/>
          <w:w w:val="100"/>
          <w:position w:val="0"/>
          <w:sz w:val="18"/>
          <w:szCs w:val="18"/>
        </w:rPr>
        <w:t xml:space="preserve">998. </w:t>
      </w:r>
      <w:r>
        <w:rPr>
          <w:color w:val="000000"/>
          <w:spacing w:val="0"/>
          <w:w w:val="100"/>
          <w:position w:val="0"/>
          <w:sz w:val="18"/>
          <w:szCs w:val="18"/>
        </w:rPr>
        <w:t>7402</w:t>
      </w:r>
      <w:r>
        <w:rPr>
          <w:color w:val="000000"/>
          <w:spacing w:val="0"/>
          <w:w w:val="100"/>
          <w:position w:val="0"/>
        </w:rPr>
        <w:t>万美元的人民币现金认缴，其中</w:t>
      </w:r>
      <w:r>
        <w:rPr>
          <w:color w:val="000000"/>
          <w:spacing w:val="0"/>
          <w:w w:val="100"/>
          <w:position w:val="0"/>
          <w:sz w:val="18"/>
          <w:szCs w:val="18"/>
        </w:rPr>
        <w:t>226.8750</w:t>
      </w:r>
      <w:r>
        <w:rPr>
          <w:color w:val="000000"/>
          <w:spacing w:val="0"/>
          <w:w w:val="100"/>
          <w:position w:val="0"/>
        </w:rPr>
        <w:t>万美元作为注册资本，其余计入资本公积；新 股东烟台民和久信投资中心（有限合伙）以折合</w:t>
      </w:r>
      <w:r>
        <w:rPr>
          <w:color w:val="000000"/>
          <w:spacing w:val="0"/>
          <w:w w:val="100"/>
          <w:position w:val="0"/>
          <w:sz w:val="18"/>
          <w:szCs w:val="18"/>
        </w:rPr>
        <w:t xml:space="preserve">3, </w:t>
      </w:r>
      <w:r>
        <w:rPr>
          <w:color w:val="000000"/>
          <w:spacing w:val="0"/>
          <w:w w:val="100"/>
          <w:position w:val="0"/>
          <w:sz w:val="18"/>
          <w:szCs w:val="18"/>
        </w:rPr>
        <w:t xml:space="preserve">749. </w:t>
      </w:r>
      <w:r>
        <w:rPr>
          <w:color w:val="000000"/>
          <w:spacing w:val="0"/>
          <w:w w:val="100"/>
          <w:position w:val="0"/>
          <w:sz w:val="18"/>
          <w:szCs w:val="18"/>
        </w:rPr>
        <w:t>4751</w:t>
      </w:r>
      <w:r>
        <w:rPr>
          <w:color w:val="000000"/>
          <w:spacing w:val="0"/>
          <w:w w:val="100"/>
          <w:position w:val="0"/>
        </w:rPr>
        <w:t>万美元的人民币现金认缴，其中</w:t>
      </w:r>
      <w:r>
        <w:rPr>
          <w:color w:val="000000"/>
          <w:spacing w:val="0"/>
          <w:w w:val="100"/>
          <w:position w:val="0"/>
          <w:sz w:val="18"/>
          <w:szCs w:val="18"/>
        </w:rPr>
        <w:t xml:space="preserve">94. </w:t>
      </w:r>
      <w:r>
        <w:rPr>
          <w:color w:val="000000"/>
          <w:spacing w:val="0"/>
          <w:w w:val="100"/>
          <w:position w:val="0"/>
          <w:sz w:val="18"/>
          <w:szCs w:val="18"/>
        </w:rPr>
        <w:t>5313</w:t>
      </w:r>
      <w:r>
        <w:rPr>
          <w:color w:val="000000"/>
          <w:spacing w:val="0"/>
          <w:w w:val="100"/>
          <w:position w:val="0"/>
        </w:rPr>
        <w:t>万美元作为注册资本， 其余计入资本公积；新股东宁波骏融股权投资合伙企业（有限合伙）以折合</w:t>
      </w:r>
      <w:r>
        <w:rPr>
          <w:color w:val="000000"/>
          <w:spacing w:val="0"/>
          <w:w w:val="100"/>
          <w:position w:val="0"/>
          <w:sz w:val="18"/>
          <w:szCs w:val="18"/>
        </w:rPr>
        <w:t>749.8950</w:t>
      </w:r>
      <w:r>
        <w:rPr>
          <w:color w:val="000000"/>
          <w:spacing w:val="0"/>
          <w:w w:val="100"/>
          <w:position w:val="0"/>
        </w:rPr>
        <w:t>万美元的人民币现金认缴，其中</w:t>
      </w:r>
      <w:r>
        <w:rPr>
          <w:color w:val="000000"/>
          <w:spacing w:val="0"/>
          <w:w w:val="100"/>
          <w:position w:val="0"/>
          <w:sz w:val="18"/>
          <w:szCs w:val="18"/>
        </w:rPr>
        <w:t xml:space="preserve">18.9063 </w:t>
      </w:r>
      <w:r>
        <w:rPr>
          <w:color w:val="000000"/>
          <w:spacing w:val="0"/>
          <w:w w:val="100"/>
          <w:position w:val="0"/>
        </w:rPr>
        <w:t>万美元作为注册资本，其余计入资本公积。本次增资业经北京中诺宜华会计师事务所有限公司审验，并于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日出 具“北京中诺宜华验字</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NY289</w:t>
      </w:r>
      <w:r>
        <w:rPr>
          <w:color w:val="000000"/>
          <w:spacing w:val="0"/>
          <w:w w:val="100"/>
          <w:position w:val="0"/>
        </w:rPr>
        <w:t>号”验资报告。本次增资实收资本增加</w:t>
      </w:r>
      <w:r>
        <w:rPr>
          <w:color w:val="000000"/>
          <w:spacing w:val="0"/>
          <w:w w:val="100"/>
          <w:position w:val="0"/>
          <w:sz w:val="18"/>
          <w:szCs w:val="18"/>
        </w:rPr>
        <w:t xml:space="preserve">453. </w:t>
      </w:r>
      <w:r>
        <w:rPr>
          <w:color w:val="000000"/>
          <w:spacing w:val="0"/>
          <w:w w:val="100"/>
          <w:position w:val="0"/>
          <w:sz w:val="18"/>
          <w:szCs w:val="18"/>
        </w:rPr>
        <w:t>7501</w:t>
      </w:r>
      <w:r>
        <w:rPr>
          <w:color w:val="000000"/>
          <w:spacing w:val="0"/>
          <w:w w:val="100"/>
          <w:position w:val="0"/>
        </w:rPr>
        <w:t>万美元，资本公积增加</w:t>
      </w:r>
      <w:r>
        <w:rPr>
          <w:color w:val="000000"/>
          <w:spacing w:val="0"/>
          <w:w w:val="100"/>
          <w:position w:val="0"/>
          <w:sz w:val="18"/>
          <w:szCs w:val="18"/>
        </w:rPr>
        <w:t xml:space="preserve">17,543.7303 </w:t>
      </w:r>
      <w:r>
        <w:rPr>
          <w:color w:val="000000"/>
          <w:spacing w:val="0"/>
          <w:w w:val="100"/>
          <w:position w:val="0"/>
        </w:rPr>
        <w:t>万美元。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26</w:t>
      </w:r>
      <w:r>
        <w:rPr>
          <w:color w:val="000000"/>
          <w:spacing w:val="0"/>
          <w:w w:val="100"/>
          <w:position w:val="0"/>
        </w:rPr>
        <w:t>日，取得北京市人民政府批准换发的“商外资京资字</w:t>
      </w:r>
      <w:r>
        <w:rPr>
          <w:color w:val="000000"/>
          <w:spacing w:val="0"/>
          <w:w w:val="100"/>
          <w:position w:val="0"/>
          <w:sz w:val="18"/>
          <w:szCs w:val="18"/>
        </w:rPr>
        <w:t>［2005］20331</w:t>
      </w:r>
      <w:r>
        <w:rPr>
          <w:color w:val="000000"/>
          <w:spacing w:val="0"/>
          <w:w w:val="100"/>
          <w:position w:val="0"/>
        </w:rPr>
        <w:t>号”《中华人民共和国台港澳侨投资 企业批准证书》。</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日完成工商变更登记，变更后的股权结构如下：</w:t>
      </w:r>
    </w:p>
    <w:tbl>
      <w:tblPr>
        <w:tblOverlap w:val="never"/>
        <w:jc w:val="center"/>
        <w:tblLayout w:type="fixed"/>
      </w:tblPr>
      <w:tblGrid>
        <w:gridCol w:w="792"/>
        <w:gridCol w:w="4315"/>
        <w:gridCol w:w="1930"/>
        <w:gridCol w:w="1123"/>
        <w:gridCol w:w="1517"/>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1,098. </w:t>
            </w:r>
            <w:r>
              <w:rPr>
                <w:color w:val="000000"/>
                <w:spacing w:val="0"/>
                <w:w w:val="100"/>
                <w:position w:val="0"/>
                <w:sz w:val="18"/>
                <w:szCs w:val="18"/>
              </w:rPr>
              <w:t>6875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 </w:t>
            </w:r>
            <w:r>
              <w:rPr>
                <w:color w:val="000000"/>
                <w:spacing w:val="0"/>
                <w:w w:val="100"/>
                <w:position w:val="0"/>
                <w:sz w:val="18"/>
                <w:szCs w:val="18"/>
              </w:rPr>
              <w:t>4865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490. </w:t>
            </w:r>
            <w:r>
              <w:rPr>
                <w:color w:val="000000"/>
                <w:spacing w:val="0"/>
                <w:w w:val="100"/>
                <w:position w:val="0"/>
                <w:sz w:val="18"/>
                <w:szCs w:val="18"/>
              </w:rPr>
              <w:t>9410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 </w:t>
            </w:r>
            <w:r>
              <w:rPr>
                <w:color w:val="000000"/>
                <w:spacing w:val="0"/>
                <w:w w:val="100"/>
                <w:position w:val="0"/>
                <w:sz w:val="18"/>
                <w:szCs w:val="18"/>
              </w:rPr>
              <w:t>7290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Easynet(HK)Limited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241. </w:t>
            </w:r>
            <w:r>
              <w:rPr>
                <w:color w:val="000000"/>
                <w:spacing w:val="0"/>
                <w:w w:val="100"/>
                <w:position w:val="0"/>
                <w:sz w:val="18"/>
                <w:szCs w:val="18"/>
              </w:rPr>
              <w:t>5778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2636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237. </w:t>
            </w:r>
            <w:r>
              <w:rPr>
                <w:color w:val="000000"/>
                <w:spacing w:val="0"/>
                <w:w w:val="100"/>
                <w:position w:val="0"/>
                <w:sz w:val="18"/>
                <w:szCs w:val="18"/>
              </w:rPr>
              <w:t>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1455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舟山长通投资合伙企业（有限合伙）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226.</w:t>
            </w:r>
            <w:r>
              <w:rPr>
                <w:color w:val="000000"/>
                <w:spacing w:val="0"/>
                <w:w w:val="100"/>
                <w:position w:val="0"/>
                <w:sz w:val="18"/>
                <w:szCs w:val="18"/>
              </w:rPr>
              <w:t>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8824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209. </w:t>
            </w:r>
            <w:r>
              <w:rPr>
                <w:color w:val="000000"/>
                <w:spacing w:val="0"/>
                <w:w w:val="100"/>
                <w:position w:val="0"/>
                <w:sz w:val="18"/>
                <w:szCs w:val="18"/>
              </w:rPr>
              <w:t>2217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4246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133. </w:t>
            </w:r>
            <w:r>
              <w:rPr>
                <w:color w:val="000000"/>
                <w:spacing w:val="0"/>
                <w:w w:val="100"/>
                <w:position w:val="0"/>
                <w:sz w:val="18"/>
                <w:szCs w:val="18"/>
              </w:rPr>
              <w:t>7125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4669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5951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烟台民和久信投资中心（有限合伙）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94. </w:t>
            </w:r>
            <w:r>
              <w:rPr>
                <w:color w:val="000000"/>
                <w:spacing w:val="0"/>
                <w:w w:val="100"/>
                <w:position w:val="0"/>
                <w:sz w:val="18"/>
                <w:szCs w:val="18"/>
              </w:rPr>
              <w:t>5313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2.4510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睿团（香港）有限公司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77.0005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9964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北京华盖创富壹号股权投资合伙企业（有限合伙）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9859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湖南文化旅游投资基金企业（有限合伙）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9859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Cherish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69.3350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7977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新余市鹏汇君晖投资中心（有限合伙）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65. </w:t>
            </w:r>
            <w:r>
              <w:rPr>
                <w:color w:val="000000"/>
                <w:spacing w:val="0"/>
                <w:w w:val="100"/>
                <w:position w:val="0"/>
                <w:sz w:val="18"/>
                <w:szCs w:val="18"/>
              </w:rPr>
              <w:t>1035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6880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宁波丰廪秦永投资合伙企业（有限合伙）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57. </w:t>
            </w:r>
            <w:r>
              <w:rPr>
                <w:color w:val="000000"/>
                <w:spacing w:val="0"/>
                <w:w w:val="100"/>
                <w:position w:val="0"/>
                <w:sz w:val="18"/>
                <w:szCs w:val="18"/>
              </w:rPr>
              <w:t>4443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深圳银信宝源投资基金管理有限公司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2975</w:t>
            </w:r>
          </w:p>
        </w:tc>
      </w:tr>
    </w:tbl>
    <w:p>
      <w:pPr>
        <w:widowControl w:val="0"/>
        <w:spacing w:line="1" w:lineRule="exact"/>
      </w:pPr>
      <w:r>
        <w:br w:type="page"/>
      </w:r>
    </w:p>
    <w:tbl>
      <w:tblPr>
        <w:tblOverlap w:val="never"/>
        <w:jc w:val="center"/>
        <w:tblLayout w:type="fixed"/>
      </w:tblPr>
      <w:tblGrid>
        <w:gridCol w:w="792"/>
        <w:gridCol w:w="4315"/>
        <w:gridCol w:w="1930"/>
        <w:gridCol w:w="1123"/>
        <w:gridCol w:w="1517"/>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北京渤海华盖股权投资合伙企业（有限合伙）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上海高鹄风府投资管理合伙企业（有限合伙）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49.7851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2908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领富中国投资有限公司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44. </w:t>
            </w:r>
            <w:r>
              <w:rPr>
                <w:color w:val="000000"/>
                <w:spacing w:val="0"/>
                <w:w w:val="100"/>
                <w:position w:val="0"/>
                <w:sz w:val="18"/>
                <w:szCs w:val="18"/>
              </w:rPr>
              <w:t>5487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1550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深圳市安鑫二号投资管理企业（有限合伙）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9929</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上海金浦信诚移动互联股权投资基金合伙企业（有限合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38.2962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9929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宁波云晖景盛投资管理合伙企业（有限合伙）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9929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36.0320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9342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刘天星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35. </w:t>
            </w:r>
            <w:r>
              <w:rPr>
                <w:color w:val="000000"/>
                <w:spacing w:val="0"/>
                <w:w w:val="100"/>
                <w:position w:val="0"/>
                <w:sz w:val="18"/>
                <w:szCs w:val="18"/>
              </w:rPr>
              <w:t>1364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9110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31.8095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8247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北京红杉信远股权投资中心（有限合伙）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6488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上海安旻通煜投资中心（有限合伙）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24. </w:t>
            </w:r>
            <w:r>
              <w:rPr>
                <w:color w:val="000000"/>
                <w:spacing w:val="0"/>
                <w:w w:val="100"/>
                <w:position w:val="0"/>
                <w:sz w:val="18"/>
                <w:szCs w:val="18"/>
              </w:rPr>
              <w:t>8018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6431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21.0408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5455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宁波骏融股权投资合伙企业（有限合伙）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18.9063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4903</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856. </w:t>
            </w:r>
            <w:r>
              <w:rPr>
                <w:color w:val="000000"/>
                <w:spacing w:val="0"/>
                <w:w w:val="100"/>
                <w:position w:val="0"/>
                <w:sz w:val="18"/>
                <w:szCs w:val="18"/>
              </w:rPr>
              <w:t>8758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32" w:right="0" w:firstLine="0"/>
        <w:jc w:val="left"/>
      </w:pPr>
      <w:r>
        <w:rPr>
          <w:color w:val="000000"/>
          <w:spacing w:val="0"/>
          <w:w w:val="100"/>
          <w:position w:val="0"/>
          <w:sz w:val="18"/>
          <w:szCs w:val="18"/>
        </w:rPr>
        <w:t>16</w:t>
      </w:r>
      <w:r>
        <w:rPr>
          <w:color w:val="000000"/>
          <w:spacing w:val="0"/>
          <w:w w:val="100"/>
          <w:position w:val="0"/>
        </w:rPr>
        <w:t>.软通动力公司第四次股权转让情况</w:t>
      </w:r>
    </w:p>
    <w:p>
      <w:pPr>
        <w:pStyle w:val="Style22"/>
        <w:keepNext w:val="0"/>
        <w:keepLines w:val="0"/>
        <w:widowControl w:val="0"/>
        <w:shd w:val="clear" w:color="auto" w:fill="auto"/>
        <w:bidi w:val="0"/>
        <w:spacing w:before="0" w:line="314" w:lineRule="exact"/>
        <w:ind w:left="0" w:right="0" w:firstLine="44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日，经软通动力公司董事会决议，软通动力公司原股东</w:t>
      </w:r>
      <w:r>
        <w:rPr>
          <w:color w:val="000000"/>
          <w:spacing w:val="0"/>
          <w:w w:val="100"/>
          <w:position w:val="0"/>
          <w:sz w:val="18"/>
          <w:szCs w:val="18"/>
        </w:rPr>
        <w:t>CEL Bravo Limited</w:t>
      </w:r>
      <w:r>
        <w:rPr>
          <w:color w:val="000000"/>
          <w:spacing w:val="0"/>
          <w:w w:val="100"/>
          <w:position w:val="0"/>
        </w:rPr>
        <w:t>分别将其持有的</w:t>
      </w:r>
      <w:r>
        <w:rPr>
          <w:color w:val="000000"/>
          <w:spacing w:val="0"/>
          <w:w w:val="100"/>
          <w:position w:val="0"/>
          <w:sz w:val="18"/>
          <w:szCs w:val="18"/>
        </w:rPr>
        <w:t>0.9804%</w:t>
      </w:r>
      <w:r>
        <w:rPr>
          <w:color w:val="000000"/>
          <w:spacing w:val="0"/>
          <w:w w:val="100"/>
          <w:position w:val="0"/>
        </w:rPr>
        <w:t xml:space="preserve">、 </w:t>
      </w:r>
      <w:r>
        <w:rPr>
          <w:color w:val="000000"/>
          <w:spacing w:val="0"/>
          <w:w w:val="100"/>
          <w:position w:val="0"/>
          <w:sz w:val="18"/>
          <w:szCs w:val="18"/>
        </w:rPr>
        <w:t>0.2941%</w:t>
      </w:r>
      <w:r>
        <w:rPr>
          <w:color w:val="000000"/>
          <w:spacing w:val="0"/>
          <w:w w:val="100"/>
          <w:position w:val="0"/>
        </w:rPr>
        <w:t>、</w:t>
      </w:r>
      <w:r>
        <w:rPr>
          <w:color w:val="000000"/>
          <w:spacing w:val="0"/>
          <w:w w:val="100"/>
          <w:position w:val="0"/>
          <w:sz w:val="18"/>
          <w:szCs w:val="18"/>
        </w:rPr>
        <w:t>0.0584%</w:t>
      </w:r>
      <w:r>
        <w:rPr>
          <w:color w:val="000000"/>
          <w:spacing w:val="0"/>
          <w:w w:val="100"/>
          <w:position w:val="0"/>
        </w:rPr>
        <w:t>股权转让给新股东珠海寅虎四方投资合伙企业（有限合伙）、新股东宁波梅山保税港区寅虎伍号投资合伙 企业（有限合伙）、原股东宁波云晖景盛投资管理合伙企业（有限合伙）</w:t>
      </w:r>
      <w:r>
        <w:rPr>
          <w:color w:val="000000"/>
          <w:spacing w:val="0"/>
          <w:w w:val="100"/>
          <w:position w:val="0"/>
          <w:sz w:val="18"/>
          <w:szCs w:val="18"/>
        </w:rPr>
        <w:t>；</w:t>
      </w:r>
      <w:r>
        <w:rPr>
          <w:color w:val="000000"/>
          <w:spacing w:val="0"/>
          <w:w w:val="100"/>
          <w:position w:val="0"/>
        </w:rPr>
        <w:t>原股东</w:t>
      </w:r>
      <w:r>
        <w:rPr>
          <w:color w:val="000000"/>
          <w:spacing w:val="0"/>
          <w:w w:val="100"/>
          <w:position w:val="0"/>
          <w:sz w:val="18"/>
          <w:szCs w:val="18"/>
        </w:rPr>
        <w:t>FNOF Easynet （HK） Limited</w:t>
      </w:r>
      <w:r>
        <w:rPr>
          <w:color w:val="000000"/>
          <w:spacing w:val="0"/>
          <w:w w:val="100"/>
          <w:position w:val="0"/>
        </w:rPr>
        <w:t>将其持有的</w:t>
      </w:r>
      <w:r>
        <w:rPr>
          <w:color w:val="000000"/>
          <w:spacing w:val="0"/>
          <w:w w:val="100"/>
          <w:position w:val="0"/>
          <w:sz w:val="18"/>
          <w:szCs w:val="18"/>
        </w:rPr>
        <w:t xml:space="preserve">0. </w:t>
      </w:r>
      <w:r>
        <w:rPr>
          <w:color w:val="000000"/>
          <w:spacing w:val="0"/>
          <w:w w:val="100"/>
          <w:position w:val="0"/>
          <w:sz w:val="18"/>
          <w:szCs w:val="18"/>
        </w:rPr>
        <w:t xml:space="preserve">6559% </w:t>
      </w:r>
      <w:r>
        <w:rPr>
          <w:color w:val="000000"/>
          <w:spacing w:val="0"/>
          <w:w w:val="100"/>
          <w:position w:val="0"/>
        </w:rPr>
        <w:t>股权转让给原股东宁波云晖景盛投资管理合伙企业（有限合伙）；原股东晋汇国际（香港）有限公司将其持有的</w:t>
      </w:r>
      <w:r>
        <w:rPr>
          <w:color w:val="000000"/>
          <w:spacing w:val="0"/>
          <w:w w:val="100"/>
          <w:position w:val="0"/>
          <w:sz w:val="18"/>
          <w:szCs w:val="18"/>
        </w:rPr>
        <w:t xml:space="preserve">0. </w:t>
      </w:r>
      <w:r>
        <w:rPr>
          <w:color w:val="000000"/>
          <w:spacing w:val="0"/>
          <w:w w:val="100"/>
          <w:position w:val="0"/>
          <w:sz w:val="18"/>
          <w:szCs w:val="18"/>
        </w:rPr>
        <w:t>5680%</w:t>
      </w:r>
      <w:r>
        <w:rPr>
          <w:color w:val="000000"/>
          <w:spacing w:val="0"/>
          <w:w w:val="100"/>
          <w:position w:val="0"/>
        </w:rPr>
        <w:t>股 权转让给原股东宁波云晖景盛投资管理合伙企业（有限合伙）；原股东</w:t>
      </w:r>
      <w:r>
        <w:rPr>
          <w:color w:val="000000"/>
          <w:spacing w:val="0"/>
          <w:w w:val="100"/>
          <w:position w:val="0"/>
          <w:sz w:val="18"/>
          <w:szCs w:val="18"/>
        </w:rPr>
        <w:t>CEL Cherish Limited</w:t>
      </w:r>
      <w:r>
        <w:rPr>
          <w:color w:val="000000"/>
          <w:spacing w:val="0"/>
          <w:w w:val="100"/>
          <w:position w:val="0"/>
        </w:rPr>
        <w:t>将其持有的</w:t>
      </w:r>
      <w:r>
        <w:rPr>
          <w:color w:val="000000"/>
          <w:spacing w:val="0"/>
          <w:w w:val="100"/>
          <w:position w:val="0"/>
          <w:sz w:val="18"/>
          <w:szCs w:val="18"/>
        </w:rPr>
        <w:t xml:space="preserve">0. </w:t>
      </w:r>
      <w:r>
        <w:rPr>
          <w:color w:val="000000"/>
          <w:spacing w:val="0"/>
          <w:w w:val="100"/>
          <w:position w:val="0"/>
          <w:sz w:val="18"/>
          <w:szCs w:val="18"/>
        </w:rPr>
        <w:t>1882%</w:t>
      </w:r>
      <w:r>
        <w:rPr>
          <w:color w:val="000000"/>
          <w:spacing w:val="0"/>
          <w:w w:val="100"/>
          <w:position w:val="0"/>
        </w:rPr>
        <w:t>股权转让给 原股东宁波云晖景盛投资管理合伙企业（有限合伙）</w:t>
      </w:r>
      <w:r>
        <w:rPr>
          <w:color w:val="000000"/>
          <w:spacing w:val="0"/>
          <w:w w:val="100"/>
          <w:position w:val="0"/>
          <w:sz w:val="18"/>
          <w:szCs w:val="18"/>
        </w:rPr>
        <w:t>；</w:t>
      </w:r>
      <w:r>
        <w:rPr>
          <w:color w:val="000000"/>
          <w:spacing w:val="0"/>
          <w:w w:val="100"/>
          <w:position w:val="0"/>
        </w:rPr>
        <w:t>原股东刘天星分别将其持有的</w:t>
      </w:r>
      <w:r>
        <w:rPr>
          <w:color w:val="000000"/>
          <w:spacing w:val="0"/>
          <w:w w:val="100"/>
          <w:position w:val="0"/>
          <w:sz w:val="18"/>
          <w:szCs w:val="18"/>
        </w:rPr>
        <w:t>0.5898%</w:t>
      </w:r>
      <w:r>
        <w:rPr>
          <w:color w:val="000000"/>
          <w:spacing w:val="0"/>
          <w:w w:val="100"/>
          <w:position w:val="0"/>
        </w:rPr>
        <w:t>、</w:t>
      </w:r>
      <w:r>
        <w:rPr>
          <w:color w:val="000000"/>
          <w:spacing w:val="0"/>
          <w:w w:val="100"/>
          <w:position w:val="0"/>
          <w:sz w:val="18"/>
          <w:szCs w:val="18"/>
        </w:rPr>
        <w:t>0.3212%</w:t>
      </w:r>
      <w:r>
        <w:rPr>
          <w:color w:val="000000"/>
          <w:spacing w:val="0"/>
          <w:w w:val="100"/>
          <w:position w:val="0"/>
        </w:rPr>
        <w:t>股权转让给原股东刘 天文、新股东诺威天诚股权投资基金（横琴）合伙企业（有限合伙）。</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日，上述各转让方与相应的受让方分别 签订股权转让协议，转让其持有的软通动力公司相应比例的股权。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日完成工商变更登记，变更后的股权结构如 下：</w:t>
      </w:r>
    </w:p>
    <w:tbl>
      <w:tblPr>
        <w:tblOverlap w:val="never"/>
        <w:jc w:val="center"/>
        <w:tblLayout w:type="fixed"/>
      </w:tblPr>
      <w:tblGrid>
        <w:gridCol w:w="787"/>
        <w:gridCol w:w="4320"/>
        <w:gridCol w:w="1925"/>
        <w:gridCol w:w="1123"/>
        <w:gridCol w:w="1522"/>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121.4354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29.0763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439. </w:t>
            </w:r>
            <w:r>
              <w:rPr>
                <w:color w:val="000000"/>
                <w:spacing w:val="0"/>
                <w:w w:val="100"/>
                <w:position w:val="0"/>
                <w:sz w:val="18"/>
                <w:szCs w:val="18"/>
              </w:rPr>
              <w:t>5320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11.3961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237. </w:t>
            </w:r>
            <w:r>
              <w:rPr>
                <w:color w:val="000000"/>
                <w:spacing w:val="0"/>
                <w:w w:val="100"/>
                <w:position w:val="0"/>
                <w:sz w:val="18"/>
                <w:szCs w:val="18"/>
              </w:rPr>
              <w:t>0230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1455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舟山长通投资合伙企业（有限合伙）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226. </w:t>
            </w:r>
            <w:r>
              <w:rPr>
                <w:color w:val="000000"/>
                <w:spacing w:val="0"/>
                <w:w w:val="100"/>
                <w:position w:val="0"/>
                <w:sz w:val="18"/>
                <w:szCs w:val="18"/>
              </w:rPr>
              <w:t>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8824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Easynet(HK)Limited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216. </w:t>
            </w:r>
            <w:r>
              <w:rPr>
                <w:color w:val="000000"/>
                <w:spacing w:val="0"/>
                <w:w w:val="100"/>
                <w:position w:val="0"/>
                <w:sz w:val="18"/>
                <w:szCs w:val="18"/>
              </w:rPr>
              <w:t>2809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6077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187. </w:t>
            </w:r>
            <w:r>
              <w:rPr>
                <w:color w:val="000000"/>
                <w:spacing w:val="0"/>
                <w:w w:val="100"/>
                <w:position w:val="0"/>
                <w:sz w:val="18"/>
                <w:szCs w:val="18"/>
              </w:rPr>
              <w:t>3130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8566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 </w:t>
            </w:r>
            <w:r>
              <w:rPr>
                <w:color w:val="000000"/>
                <w:spacing w:val="0"/>
                <w:w w:val="100"/>
                <w:position w:val="0"/>
                <w:sz w:val="18"/>
                <w:szCs w:val="18"/>
              </w:rPr>
              <w:t>7125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4669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5951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宁波云晖景盛投资管理合伙企业（有限合伙）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w:t>
            </w:r>
            <w:r>
              <w:rPr>
                <w:color w:val="000000"/>
                <w:spacing w:val="0"/>
                <w:w w:val="100"/>
                <w:position w:val="0"/>
                <w:sz w:val="18"/>
                <w:szCs w:val="18"/>
              </w:rPr>
              <w:t>0149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4635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烟台民和久信投资中心（有限合伙）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94. </w:t>
            </w:r>
            <w:r>
              <w:rPr>
                <w:color w:val="000000"/>
                <w:spacing w:val="0"/>
                <w:w w:val="100"/>
                <w:position w:val="0"/>
                <w:sz w:val="18"/>
                <w:szCs w:val="18"/>
              </w:rPr>
              <w:t>5313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2.4510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睿团（香港）有限公司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w:t>
            </w:r>
            <w:r>
              <w:rPr>
                <w:color w:val="000000"/>
                <w:spacing w:val="0"/>
                <w:w w:val="100"/>
                <w:position w:val="0"/>
                <w:sz w:val="18"/>
                <w:szCs w:val="18"/>
              </w:rPr>
              <w:t>0005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9964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北京华盖创富壹号股权投资合伙企业（有限合伙）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9859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湖南文化旅游投资基金企业（有限合伙）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9859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新余市鹏汇君晖投资中心（有限合伙）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 </w:t>
            </w:r>
            <w:r>
              <w:rPr>
                <w:color w:val="000000"/>
                <w:spacing w:val="0"/>
                <w:w w:val="100"/>
                <w:position w:val="0"/>
                <w:sz w:val="18"/>
                <w:szCs w:val="18"/>
              </w:rPr>
              <w:t>1035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6880</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Cherish 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r>
              <w:rPr>
                <w:color w:val="000000"/>
                <w:spacing w:val="0"/>
                <w:w w:val="100"/>
                <w:position w:val="0"/>
                <w:sz w:val="18"/>
                <w:szCs w:val="18"/>
              </w:rPr>
              <w:t>0746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6095</w:t>
            </w:r>
          </w:p>
        </w:tc>
      </w:tr>
    </w:tbl>
    <w:p>
      <w:pPr>
        <w:widowControl w:val="0"/>
        <w:spacing w:line="1" w:lineRule="exact"/>
      </w:pPr>
      <w:r>
        <w:br w:type="page"/>
      </w:r>
    </w:p>
    <w:tbl>
      <w:tblPr>
        <w:tblOverlap w:val="never"/>
        <w:jc w:val="center"/>
        <w:tblLayout w:type="fixed"/>
      </w:tblPr>
      <w:tblGrid>
        <w:gridCol w:w="787"/>
        <w:gridCol w:w="4320"/>
        <w:gridCol w:w="1925"/>
        <w:gridCol w:w="1123"/>
        <w:gridCol w:w="152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宁波丰廪秦永投资合伙企业（有限合伙）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57.</w:t>
            </w:r>
            <w:r>
              <w:rPr>
                <w:color w:val="000000"/>
                <w:spacing w:val="0"/>
                <w:w w:val="100"/>
                <w:position w:val="0"/>
                <w:sz w:val="18"/>
                <w:szCs w:val="18"/>
              </w:rPr>
              <w:t>4443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1.4894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50. </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深圳银信宝源投资基金管理有限公司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北京渤海华盖股权投资合伙企业（有限合伙）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上海高鹄风府投资管理合伙企业（有限合伙）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49.</w:t>
            </w:r>
            <w:r>
              <w:rPr>
                <w:color w:val="000000"/>
                <w:spacing w:val="0"/>
                <w:w w:val="100"/>
                <w:position w:val="0"/>
                <w:sz w:val="18"/>
                <w:szCs w:val="18"/>
              </w:rPr>
              <w:t>7851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2908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领富中国投资有限公司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44.</w:t>
            </w:r>
            <w:r>
              <w:rPr>
                <w:color w:val="000000"/>
                <w:spacing w:val="0"/>
                <w:w w:val="100"/>
                <w:position w:val="0"/>
                <w:sz w:val="18"/>
                <w:szCs w:val="18"/>
              </w:rPr>
              <w:t>5487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1550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深圳市安鑫二号投资管理企业（有限合伙）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w:t>
            </w:r>
            <w:r>
              <w:rPr>
                <w:color w:val="000000"/>
                <w:spacing w:val="0"/>
                <w:w w:val="100"/>
                <w:position w:val="0"/>
                <w:sz w:val="18"/>
                <w:szCs w:val="18"/>
              </w:rPr>
              <w:t>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9929</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上海金浦信诚移动互联股权投资基金合伙企业（有限合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w:t>
            </w:r>
            <w:r>
              <w:rPr>
                <w:color w:val="000000"/>
                <w:spacing w:val="0"/>
                <w:w w:val="100"/>
                <w:position w:val="0"/>
                <w:sz w:val="18"/>
                <w:szCs w:val="18"/>
              </w:rPr>
              <w:t>2962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9929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珠海寅虎四方投资合伙企业（有限合伙）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37.</w:t>
            </w:r>
            <w:r>
              <w:rPr>
                <w:color w:val="000000"/>
                <w:spacing w:val="0"/>
                <w:w w:val="100"/>
                <w:position w:val="0"/>
                <w:sz w:val="18"/>
                <w:szCs w:val="18"/>
              </w:rPr>
              <w:t>8125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9804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36.</w:t>
            </w:r>
            <w:r>
              <w:rPr>
                <w:color w:val="000000"/>
                <w:spacing w:val="0"/>
                <w:w w:val="100"/>
                <w:position w:val="0"/>
                <w:sz w:val="18"/>
                <w:szCs w:val="18"/>
              </w:rPr>
              <w:t>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9342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31. </w:t>
            </w:r>
            <w:r>
              <w:rPr>
                <w:color w:val="000000"/>
                <w:spacing w:val="0"/>
                <w:w w:val="100"/>
                <w:position w:val="0"/>
                <w:sz w:val="18"/>
                <w:szCs w:val="18"/>
              </w:rPr>
              <w:t>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8247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北京红杉信远股权投资中心（有限合伙）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w:t>
            </w:r>
            <w:r>
              <w:rPr>
                <w:color w:val="000000"/>
                <w:spacing w:val="0"/>
                <w:w w:val="100"/>
                <w:position w:val="0"/>
                <w:sz w:val="18"/>
                <w:szCs w:val="18"/>
              </w:rPr>
              <w:t>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6488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上海安旻通煜投资中心（有限合伙）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24. </w:t>
            </w:r>
            <w:r>
              <w:rPr>
                <w:color w:val="000000"/>
                <w:spacing w:val="0"/>
                <w:w w:val="100"/>
                <w:position w:val="0"/>
                <w:sz w:val="18"/>
                <w:szCs w:val="18"/>
              </w:rPr>
              <w:t>8018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6431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21. </w:t>
            </w:r>
            <w:r>
              <w:rPr>
                <w:color w:val="000000"/>
                <w:spacing w:val="0"/>
                <w:w w:val="100"/>
                <w:position w:val="0"/>
                <w:sz w:val="18"/>
                <w:szCs w:val="18"/>
              </w:rPr>
              <w:t>0408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5455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宁波骏融股权投资合伙企业（有限合伙）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18. </w:t>
            </w:r>
            <w:r>
              <w:rPr>
                <w:color w:val="000000"/>
                <w:spacing w:val="0"/>
                <w:w w:val="100"/>
                <w:position w:val="0"/>
                <w:sz w:val="18"/>
                <w:szCs w:val="18"/>
              </w:rPr>
              <w:t>9063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4902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诺威天诚股权投资基金（横琴）合伙企业（有限合伙）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12. </w:t>
            </w:r>
            <w:r>
              <w:rPr>
                <w:color w:val="000000"/>
                <w:spacing w:val="0"/>
                <w:w w:val="100"/>
                <w:position w:val="0"/>
                <w:sz w:val="18"/>
                <w:szCs w:val="18"/>
              </w:rPr>
              <w:t>3885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3212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宁波梅山保税港区寅虎伍号投资合伙企业（有限合伙）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11. </w:t>
            </w:r>
            <w:r>
              <w:rPr>
                <w:color w:val="000000"/>
                <w:spacing w:val="0"/>
                <w:w w:val="100"/>
                <w:position w:val="0"/>
                <w:sz w:val="18"/>
                <w:szCs w:val="18"/>
              </w:rPr>
              <w:t>3438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2941</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856. </w:t>
            </w:r>
            <w:r>
              <w:rPr>
                <w:color w:val="000000"/>
                <w:spacing w:val="0"/>
                <w:w w:val="100"/>
                <w:position w:val="0"/>
                <w:sz w:val="18"/>
                <w:szCs w:val="18"/>
              </w:rPr>
              <w:t>8758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32" w:right="0" w:firstLine="0"/>
        <w:jc w:val="left"/>
      </w:pPr>
      <w:r>
        <w:rPr>
          <w:color w:val="000000"/>
          <w:spacing w:val="0"/>
          <w:w w:val="100"/>
          <w:position w:val="0"/>
          <w:sz w:val="18"/>
          <w:szCs w:val="18"/>
        </w:rPr>
        <w:t>17</w:t>
      </w:r>
      <w:r>
        <w:rPr>
          <w:color w:val="000000"/>
          <w:spacing w:val="0"/>
          <w:w w:val="100"/>
          <w:position w:val="0"/>
        </w:rPr>
        <w:t>.软通动力公司第五次股权转让情况</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日，经软通动力公司董事会决议，软通动力公司原股东睿团（香港）有限公司将其持有的</w:t>
      </w:r>
      <w:r>
        <w:rPr>
          <w:color w:val="000000"/>
          <w:spacing w:val="0"/>
          <w:w w:val="100"/>
          <w:position w:val="0"/>
          <w:sz w:val="18"/>
          <w:szCs w:val="18"/>
        </w:rPr>
        <w:t>1.9964%</w:t>
      </w:r>
      <w:r>
        <w:rPr>
          <w:color w:val="000000"/>
          <w:spacing w:val="0"/>
          <w:w w:val="100"/>
          <w:position w:val="0"/>
        </w:rPr>
        <w:t>股权转让 给原股东刘天文，原股东无锡软石创新六号资产管理企业（有限合伙）将其持有的</w:t>
      </w:r>
      <w:r>
        <w:rPr>
          <w:color w:val="000000"/>
          <w:spacing w:val="0"/>
          <w:w w:val="100"/>
          <w:position w:val="0"/>
          <w:sz w:val="18"/>
          <w:szCs w:val="18"/>
        </w:rPr>
        <w:t>1.9608%</w:t>
      </w:r>
      <w:r>
        <w:rPr>
          <w:color w:val="000000"/>
          <w:spacing w:val="0"/>
          <w:w w:val="100"/>
          <w:position w:val="0"/>
        </w:rPr>
        <w:t>股权转让给新股东上海仁建投资 有限公司，原股东无锡软石创新六号资产管理企业（有限合伙）将其持有的</w:t>
      </w:r>
      <w:r>
        <w:rPr>
          <w:color w:val="000000"/>
          <w:spacing w:val="0"/>
          <w:w w:val="100"/>
          <w:position w:val="0"/>
          <w:sz w:val="18"/>
          <w:szCs w:val="18"/>
        </w:rPr>
        <w:t>0.3711%</w:t>
      </w:r>
      <w:r>
        <w:rPr>
          <w:color w:val="000000"/>
          <w:spacing w:val="0"/>
          <w:w w:val="100"/>
          <w:position w:val="0"/>
        </w:rPr>
        <w:t>股权转让给新股东宁波天壹天时股权投 资中心（有限合伙）</w:t>
      </w:r>
      <w:r>
        <w:rPr>
          <w:color w:val="000000"/>
          <w:spacing w:val="0"/>
          <w:w w:val="100"/>
          <w:position w:val="0"/>
          <w:sz w:val="18"/>
          <w:szCs w:val="18"/>
        </w:rPr>
        <w:t>，</w:t>
      </w:r>
      <w:r>
        <w:rPr>
          <w:color w:val="000000"/>
          <w:spacing w:val="0"/>
          <w:w w:val="100"/>
          <w:position w:val="0"/>
        </w:rPr>
        <w:t>原股东无锡软石智动资产管理企业（有限合伙）将其持有的</w:t>
      </w:r>
      <w:r>
        <w:rPr>
          <w:color w:val="000000"/>
          <w:spacing w:val="0"/>
          <w:w w:val="100"/>
          <w:position w:val="0"/>
          <w:sz w:val="18"/>
          <w:szCs w:val="18"/>
        </w:rPr>
        <w:t xml:space="preserve">0. </w:t>
      </w:r>
      <w:r>
        <w:rPr>
          <w:color w:val="000000"/>
          <w:spacing w:val="0"/>
          <w:w w:val="100"/>
          <w:position w:val="0"/>
          <w:sz w:val="18"/>
          <w:szCs w:val="18"/>
        </w:rPr>
        <w:t>4392%</w:t>
      </w:r>
      <w:r>
        <w:rPr>
          <w:color w:val="000000"/>
          <w:spacing w:val="0"/>
          <w:w w:val="100"/>
          <w:position w:val="0"/>
        </w:rPr>
        <w:t>股权转让给新股东宁波天壹天时股 权投资中心（有限合伙），原股东诺威天诚股权投资基金（横琴）合伙企业（有限合伙）将其所持有的</w:t>
      </w:r>
      <w:r>
        <w:rPr>
          <w:color w:val="000000"/>
          <w:spacing w:val="0"/>
          <w:w w:val="100"/>
          <w:position w:val="0"/>
          <w:sz w:val="18"/>
          <w:szCs w:val="18"/>
        </w:rPr>
        <w:t xml:space="preserve">0. </w:t>
      </w:r>
      <w:r>
        <w:rPr>
          <w:color w:val="000000"/>
          <w:spacing w:val="0"/>
          <w:w w:val="100"/>
          <w:position w:val="0"/>
          <w:sz w:val="18"/>
          <w:szCs w:val="18"/>
        </w:rPr>
        <w:t>3212%</w:t>
      </w:r>
      <w:r>
        <w:rPr>
          <w:color w:val="000000"/>
          <w:spacing w:val="0"/>
          <w:w w:val="100"/>
          <w:position w:val="0"/>
        </w:rPr>
        <w:t>股权转让给新 股东宁波天壹天时股权投资中心（有限合伙）。</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日，上述各转让方与相应的受让方分别签订股权转让协议，转 让其持有的软通动力公司相应比例的股权。</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日完成工商变更登记，变更后的股权结构如下：</w:t>
      </w:r>
    </w:p>
    <w:tbl>
      <w:tblPr>
        <w:tblOverlap w:val="never"/>
        <w:jc w:val="center"/>
        <w:tblLayout w:type="fixed"/>
      </w:tblPr>
      <w:tblGrid>
        <w:gridCol w:w="787"/>
        <w:gridCol w:w="4320"/>
        <w:gridCol w:w="1925"/>
        <w:gridCol w:w="1123"/>
        <w:gridCol w:w="152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198.4359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31.0727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439.</w:t>
            </w:r>
            <w:r>
              <w:rPr>
                <w:color w:val="000000"/>
                <w:spacing w:val="0"/>
                <w:w w:val="100"/>
                <w:position w:val="0"/>
                <w:sz w:val="18"/>
                <w:szCs w:val="18"/>
              </w:rPr>
              <w:t>5320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11.3961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舟山长通投资合伙企业（有限合伙）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226.</w:t>
            </w:r>
            <w:r>
              <w:rPr>
                <w:color w:val="000000"/>
                <w:spacing w:val="0"/>
                <w:w w:val="100"/>
                <w:position w:val="0"/>
                <w:sz w:val="18"/>
                <w:szCs w:val="18"/>
              </w:rPr>
              <w:t>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 </w:t>
            </w:r>
            <w:r>
              <w:rPr>
                <w:color w:val="000000"/>
                <w:spacing w:val="0"/>
                <w:w w:val="100"/>
                <w:position w:val="0"/>
                <w:sz w:val="18"/>
                <w:szCs w:val="18"/>
              </w:rPr>
              <w:t>8824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220.</w:t>
            </w:r>
            <w:r>
              <w:rPr>
                <w:color w:val="000000"/>
                <w:spacing w:val="0"/>
                <w:w w:val="100"/>
                <w:position w:val="0"/>
                <w:sz w:val="18"/>
                <w:szCs w:val="18"/>
              </w:rPr>
              <w:t>0848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 </w:t>
            </w:r>
            <w:r>
              <w:rPr>
                <w:color w:val="000000"/>
                <w:spacing w:val="0"/>
                <w:w w:val="100"/>
                <w:position w:val="0"/>
                <w:sz w:val="18"/>
                <w:szCs w:val="18"/>
              </w:rPr>
              <w:t>7063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Easynet(HK)Limited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216.</w:t>
            </w:r>
            <w:r>
              <w:rPr>
                <w:color w:val="000000"/>
                <w:spacing w:val="0"/>
                <w:w w:val="100"/>
                <w:position w:val="0"/>
                <w:sz w:val="18"/>
                <w:szCs w:val="18"/>
              </w:rPr>
              <w:t>2809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 </w:t>
            </w:r>
            <w:r>
              <w:rPr>
                <w:color w:val="000000"/>
                <w:spacing w:val="0"/>
                <w:w w:val="100"/>
                <w:position w:val="0"/>
                <w:sz w:val="18"/>
                <w:szCs w:val="18"/>
              </w:rPr>
              <w:t>6077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187. </w:t>
            </w:r>
            <w:r>
              <w:rPr>
                <w:color w:val="000000"/>
                <w:spacing w:val="0"/>
                <w:w w:val="100"/>
                <w:position w:val="0"/>
                <w:sz w:val="18"/>
                <w:szCs w:val="18"/>
              </w:rPr>
              <w:t>3130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 </w:t>
            </w:r>
            <w:r>
              <w:rPr>
                <w:color w:val="000000"/>
                <w:spacing w:val="0"/>
                <w:w w:val="100"/>
                <w:position w:val="0"/>
                <w:sz w:val="18"/>
                <w:szCs w:val="18"/>
              </w:rPr>
              <w:t>8566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100.</w:t>
            </w:r>
            <w:r>
              <w:rPr>
                <w:color w:val="000000"/>
                <w:spacing w:val="0"/>
                <w:w w:val="100"/>
                <w:position w:val="0"/>
                <w:sz w:val="18"/>
                <w:szCs w:val="18"/>
              </w:rPr>
              <w:t>0889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 </w:t>
            </w:r>
            <w:r>
              <w:rPr>
                <w:color w:val="000000"/>
                <w:spacing w:val="0"/>
                <w:w w:val="100"/>
                <w:position w:val="0"/>
                <w:sz w:val="18"/>
                <w:szCs w:val="18"/>
              </w:rPr>
              <w:t>5951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宁波云晖景盛投资管理合伙企业（有限合伙）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95.</w:t>
            </w:r>
            <w:r>
              <w:rPr>
                <w:color w:val="000000"/>
                <w:spacing w:val="0"/>
                <w:w w:val="100"/>
                <w:position w:val="0"/>
                <w:sz w:val="18"/>
                <w:szCs w:val="18"/>
              </w:rPr>
              <w:t>0149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 </w:t>
            </w:r>
            <w:r>
              <w:rPr>
                <w:color w:val="000000"/>
                <w:spacing w:val="0"/>
                <w:w w:val="100"/>
                <w:position w:val="0"/>
                <w:sz w:val="18"/>
                <w:szCs w:val="18"/>
              </w:rPr>
              <w:t>4635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烟台民和久信投资中心（有限合伙）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 xml:space="preserve">94. </w:t>
            </w:r>
            <w:r>
              <w:rPr>
                <w:color w:val="000000"/>
                <w:spacing w:val="0"/>
                <w:w w:val="100"/>
                <w:position w:val="0"/>
                <w:sz w:val="18"/>
                <w:szCs w:val="18"/>
              </w:rPr>
              <w:t>5313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2.4510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湖南文化旅游投资基金企业（有限合伙）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9859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北京华盖创富壹号股权投资合伙企业（有限合伙）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9859</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75.</w:t>
            </w:r>
            <w:r>
              <w:rPr>
                <w:color w:val="000000"/>
                <w:spacing w:val="0"/>
                <w:w w:val="100"/>
                <w:position w:val="0"/>
                <w:sz w:val="18"/>
                <w:szCs w:val="18"/>
              </w:rPr>
              <w:t>6250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9608</w:t>
            </w:r>
          </w:p>
        </w:tc>
      </w:tr>
    </w:tbl>
    <w:p>
      <w:pPr>
        <w:widowControl w:val="0"/>
        <w:spacing w:line="1" w:lineRule="exact"/>
      </w:pPr>
      <w:r>
        <w:br w:type="page"/>
      </w:r>
    </w:p>
    <w:tbl>
      <w:tblPr>
        <w:tblOverlap w:val="never"/>
        <w:jc w:val="center"/>
        <w:tblLayout w:type="fixed"/>
      </w:tblPr>
      <w:tblGrid>
        <w:gridCol w:w="787"/>
        <w:gridCol w:w="4320"/>
        <w:gridCol w:w="1925"/>
        <w:gridCol w:w="1123"/>
        <w:gridCol w:w="152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新余市鹏汇君晖投资中心（有限合伙）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65. </w:t>
            </w:r>
            <w:r>
              <w:rPr>
                <w:color w:val="000000"/>
                <w:spacing w:val="0"/>
                <w:w w:val="100"/>
                <w:position w:val="0"/>
                <w:sz w:val="18"/>
                <w:szCs w:val="18"/>
              </w:rPr>
              <w:t>1035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6880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Cherish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62.</w:t>
            </w:r>
            <w:r>
              <w:rPr>
                <w:color w:val="000000"/>
                <w:spacing w:val="0"/>
                <w:w w:val="100"/>
                <w:position w:val="0"/>
                <w:sz w:val="18"/>
                <w:szCs w:val="18"/>
              </w:rPr>
              <w:t>0746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6095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宁波丰廪秦永投资合伙企业（有限合伙）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57.</w:t>
            </w:r>
            <w:r>
              <w:rPr>
                <w:color w:val="000000"/>
                <w:spacing w:val="0"/>
                <w:w w:val="100"/>
                <w:position w:val="0"/>
                <w:sz w:val="18"/>
                <w:szCs w:val="18"/>
              </w:rPr>
              <w:t>4443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1.4894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50. </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北京渤海华盖股权投资合伙企业（有限合伙）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深圳银信宝源投资基金管理有限公司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上海高鹄风府投资管理合伙企业（有限合伙）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49.</w:t>
            </w:r>
            <w:r>
              <w:rPr>
                <w:color w:val="000000"/>
                <w:spacing w:val="0"/>
                <w:w w:val="100"/>
                <w:position w:val="0"/>
                <w:sz w:val="18"/>
                <w:szCs w:val="18"/>
              </w:rPr>
              <w:t>7851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2908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领富中国投资有限公司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44.</w:t>
            </w:r>
            <w:r>
              <w:rPr>
                <w:color w:val="000000"/>
                <w:spacing w:val="0"/>
                <w:w w:val="100"/>
                <w:position w:val="0"/>
                <w:sz w:val="18"/>
                <w:szCs w:val="18"/>
              </w:rPr>
              <w:t>5487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1550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43.</w:t>
            </w:r>
            <w:r>
              <w:rPr>
                <w:color w:val="000000"/>
                <w:spacing w:val="0"/>
                <w:w w:val="100"/>
                <w:position w:val="0"/>
                <w:sz w:val="18"/>
                <w:szCs w:val="18"/>
              </w:rPr>
              <w:t>7739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1350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宁波天壹天时股权投资中心（有限合伙）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43.</w:t>
            </w:r>
            <w:r>
              <w:rPr>
                <w:color w:val="000000"/>
                <w:spacing w:val="0"/>
                <w:w w:val="100"/>
                <w:position w:val="0"/>
                <w:sz w:val="18"/>
                <w:szCs w:val="18"/>
              </w:rPr>
              <w:t>6403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1315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深圳市安鑫二号投资管理企业（有限合伙）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w:t>
            </w:r>
            <w:r>
              <w:rPr>
                <w:color w:val="000000"/>
                <w:spacing w:val="0"/>
                <w:w w:val="100"/>
                <w:position w:val="0"/>
                <w:sz w:val="18"/>
                <w:szCs w:val="18"/>
              </w:rPr>
              <w:t>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9929</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上海金浦信诚移动互联股权投资基金合伙企业（有限合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38.</w:t>
            </w:r>
            <w:r>
              <w:rPr>
                <w:color w:val="000000"/>
                <w:spacing w:val="0"/>
                <w:w w:val="100"/>
                <w:position w:val="0"/>
                <w:sz w:val="18"/>
                <w:szCs w:val="18"/>
              </w:rPr>
              <w:t>2962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9929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珠海寅虎四方投资合伙企业（有限合伙）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37.</w:t>
            </w:r>
            <w:r>
              <w:rPr>
                <w:color w:val="000000"/>
                <w:spacing w:val="0"/>
                <w:w w:val="100"/>
                <w:position w:val="0"/>
                <w:sz w:val="18"/>
                <w:szCs w:val="18"/>
              </w:rPr>
              <w:t>8125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9804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36.</w:t>
            </w:r>
            <w:r>
              <w:rPr>
                <w:color w:val="000000"/>
                <w:spacing w:val="0"/>
                <w:w w:val="100"/>
                <w:position w:val="0"/>
                <w:sz w:val="18"/>
                <w:szCs w:val="18"/>
              </w:rPr>
              <w:t>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9342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31. </w:t>
            </w:r>
            <w:r>
              <w:rPr>
                <w:color w:val="000000"/>
                <w:spacing w:val="0"/>
                <w:w w:val="100"/>
                <w:position w:val="0"/>
                <w:sz w:val="18"/>
                <w:szCs w:val="18"/>
              </w:rPr>
              <w:t>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8247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北京红杉信远股权投资中心（有限合伙）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w:t>
            </w:r>
            <w:r>
              <w:rPr>
                <w:color w:val="000000"/>
                <w:spacing w:val="0"/>
                <w:w w:val="100"/>
                <w:position w:val="0"/>
                <w:sz w:val="18"/>
                <w:szCs w:val="18"/>
              </w:rPr>
              <w:t>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6488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上海安旻通煜投资中心（有限合伙）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24. </w:t>
            </w:r>
            <w:r>
              <w:rPr>
                <w:color w:val="000000"/>
                <w:spacing w:val="0"/>
                <w:w w:val="100"/>
                <w:position w:val="0"/>
                <w:sz w:val="18"/>
                <w:szCs w:val="18"/>
              </w:rPr>
              <w:t>8018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6431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21. </w:t>
            </w:r>
            <w:r>
              <w:rPr>
                <w:color w:val="000000"/>
                <w:spacing w:val="0"/>
                <w:w w:val="100"/>
                <w:position w:val="0"/>
                <w:sz w:val="18"/>
                <w:szCs w:val="18"/>
              </w:rPr>
              <w:t>0408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5455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宁波骏融股权投资合伙企业（有限合伙）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18. </w:t>
            </w:r>
            <w:r>
              <w:rPr>
                <w:color w:val="000000"/>
                <w:spacing w:val="0"/>
                <w:w w:val="100"/>
                <w:position w:val="0"/>
                <w:sz w:val="18"/>
                <w:szCs w:val="18"/>
              </w:rPr>
              <w:t>9063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4902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宁波梅山保税港区寅虎伍号投资合伙企业（有限合伙）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11. </w:t>
            </w:r>
            <w:r>
              <w:rPr>
                <w:color w:val="000000"/>
                <w:spacing w:val="0"/>
                <w:w w:val="100"/>
                <w:position w:val="0"/>
                <w:sz w:val="18"/>
                <w:szCs w:val="18"/>
              </w:rPr>
              <w:t>3438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0. </w:t>
            </w:r>
            <w:r>
              <w:rPr>
                <w:color w:val="000000"/>
                <w:spacing w:val="0"/>
                <w:w w:val="100"/>
                <w:position w:val="0"/>
                <w:sz w:val="18"/>
                <w:szCs w:val="18"/>
              </w:rPr>
              <w:t>2941</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856. </w:t>
            </w:r>
            <w:r>
              <w:rPr>
                <w:color w:val="000000"/>
                <w:spacing w:val="0"/>
                <w:w w:val="100"/>
                <w:position w:val="0"/>
                <w:sz w:val="18"/>
                <w:szCs w:val="18"/>
              </w:rPr>
              <w:t>8758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32" w:right="0" w:firstLine="0"/>
        <w:jc w:val="left"/>
      </w:pPr>
      <w:r>
        <w:rPr>
          <w:color w:val="000000"/>
          <w:spacing w:val="0"/>
          <w:w w:val="100"/>
          <w:position w:val="0"/>
          <w:sz w:val="18"/>
          <w:szCs w:val="18"/>
        </w:rPr>
        <w:t>18</w:t>
      </w:r>
      <w:r>
        <w:rPr>
          <w:color w:val="000000"/>
          <w:spacing w:val="0"/>
          <w:w w:val="100"/>
          <w:position w:val="0"/>
        </w:rPr>
        <w:t>.软通动力公司第六次股权转让情况</w:t>
      </w:r>
    </w:p>
    <w:p>
      <w:pPr>
        <w:widowControl w:val="0"/>
        <w:spacing w:line="1" w:lineRule="exact"/>
      </w:pPr>
    </w:p>
    <w:p>
      <w:pPr>
        <w:pStyle w:val="Style29"/>
        <w:keepNext w:val="0"/>
        <w:keepLines w:val="0"/>
        <w:widowControl w:val="0"/>
        <w:shd w:val="clear" w:color="auto" w:fill="auto"/>
        <w:bidi w:val="0"/>
        <w:spacing w:before="0" w:after="0" w:line="316" w:lineRule="exact"/>
        <w:ind w:left="0" w:right="0" w:firstLine="0"/>
        <w:jc w:val="distribute"/>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日，经软通动力公司董事会决议，软通动力公司原股东湖南文化旅游创业投资基金企业（有限合伙）将其 持有的</w:t>
      </w:r>
      <w:r>
        <w:rPr>
          <w:color w:val="000000"/>
          <w:spacing w:val="0"/>
          <w:w w:val="100"/>
          <w:position w:val="0"/>
          <w:sz w:val="18"/>
          <w:szCs w:val="18"/>
        </w:rPr>
        <w:t>0.4190%</w:t>
      </w:r>
      <w:r>
        <w:rPr>
          <w:color w:val="000000"/>
          <w:spacing w:val="0"/>
          <w:w w:val="100"/>
          <w:position w:val="0"/>
        </w:rPr>
        <w:t>、</w:t>
      </w:r>
      <w:r>
        <w:rPr>
          <w:color w:val="000000"/>
          <w:spacing w:val="0"/>
          <w:w w:val="100"/>
          <w:position w:val="0"/>
          <w:sz w:val="18"/>
          <w:szCs w:val="18"/>
        </w:rPr>
        <w:t>0.2514%</w:t>
      </w:r>
      <w:r>
        <w:rPr>
          <w:color w:val="000000"/>
          <w:spacing w:val="0"/>
          <w:w w:val="100"/>
          <w:position w:val="0"/>
        </w:rPr>
        <w:t>、</w:t>
      </w:r>
      <w:r>
        <w:rPr>
          <w:color w:val="000000"/>
          <w:spacing w:val="0"/>
          <w:w w:val="100"/>
          <w:position w:val="0"/>
          <w:sz w:val="18"/>
          <w:szCs w:val="18"/>
        </w:rPr>
        <w:t>1.3155%</w:t>
      </w:r>
      <w:r>
        <w:rPr>
          <w:color w:val="000000"/>
          <w:spacing w:val="0"/>
          <w:w w:val="100"/>
          <w:position w:val="0"/>
        </w:rPr>
        <w:t>股权转让给新股东西藏山南世纪金源投资管理有限公司、新股东珠海臻泰大靖创新投资 企业（有限合伙）、新股东深圳市达晨创联股权投资基金合伙企业（有限合伙）。</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日，上述各转让方与相应的 受让方分别签订股权转让协议，转让其持有的软通动力公司相应比例的股权。</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日完成工商变更登记，变更后的 股权结构如下：</w:t>
      </w:r>
    </w:p>
    <w:tbl>
      <w:tblPr>
        <w:tblOverlap w:val="never"/>
        <w:jc w:val="center"/>
        <w:tblLayout w:type="fixed"/>
      </w:tblPr>
      <w:tblGrid>
        <w:gridCol w:w="787"/>
        <w:gridCol w:w="4157"/>
        <w:gridCol w:w="1987"/>
        <w:gridCol w:w="1224"/>
        <w:gridCol w:w="1522"/>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出资比例（%）</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1,198. </w:t>
            </w:r>
            <w:r>
              <w:rPr>
                <w:color w:val="000000"/>
                <w:spacing w:val="0"/>
                <w:w w:val="100"/>
                <w:position w:val="0"/>
                <w:sz w:val="18"/>
                <w:szCs w:val="18"/>
              </w:rPr>
              <w:t>4359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31.0727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439. </w:t>
            </w:r>
            <w:r>
              <w:rPr>
                <w:color w:val="000000"/>
                <w:spacing w:val="0"/>
                <w:w w:val="100"/>
                <w:position w:val="0"/>
                <w:sz w:val="18"/>
                <w:szCs w:val="18"/>
              </w:rPr>
              <w:t>5320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11.3961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舟山长通投资合伙企业（有限合伙）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226. </w:t>
            </w:r>
            <w:r>
              <w:rPr>
                <w:color w:val="000000"/>
                <w:spacing w:val="0"/>
                <w:w w:val="100"/>
                <w:position w:val="0"/>
                <w:sz w:val="18"/>
                <w:szCs w:val="18"/>
              </w:rPr>
              <w:t>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 </w:t>
            </w:r>
            <w:r>
              <w:rPr>
                <w:color w:val="000000"/>
                <w:spacing w:val="0"/>
                <w:w w:val="100"/>
                <w:position w:val="0"/>
                <w:sz w:val="18"/>
                <w:szCs w:val="18"/>
              </w:rPr>
              <w:t>8824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220. </w:t>
            </w:r>
            <w:r>
              <w:rPr>
                <w:color w:val="000000"/>
                <w:spacing w:val="0"/>
                <w:w w:val="100"/>
                <w:position w:val="0"/>
                <w:sz w:val="18"/>
                <w:szCs w:val="18"/>
              </w:rPr>
              <w:t>0848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 </w:t>
            </w:r>
            <w:r>
              <w:rPr>
                <w:color w:val="000000"/>
                <w:spacing w:val="0"/>
                <w:w w:val="100"/>
                <w:position w:val="0"/>
                <w:sz w:val="18"/>
                <w:szCs w:val="18"/>
              </w:rPr>
              <w:t>7063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Easynet(HK)Limited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216. </w:t>
            </w:r>
            <w:r>
              <w:rPr>
                <w:color w:val="000000"/>
                <w:spacing w:val="0"/>
                <w:w w:val="100"/>
                <w:position w:val="0"/>
                <w:sz w:val="18"/>
                <w:szCs w:val="18"/>
              </w:rPr>
              <w:t>2809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 </w:t>
            </w:r>
            <w:r>
              <w:rPr>
                <w:color w:val="000000"/>
                <w:spacing w:val="0"/>
                <w:w w:val="100"/>
                <w:position w:val="0"/>
                <w:sz w:val="18"/>
                <w:szCs w:val="18"/>
              </w:rPr>
              <w:t>6077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187. </w:t>
            </w:r>
            <w:r>
              <w:rPr>
                <w:color w:val="000000"/>
                <w:spacing w:val="0"/>
                <w:w w:val="100"/>
                <w:position w:val="0"/>
                <w:sz w:val="18"/>
                <w:szCs w:val="18"/>
              </w:rPr>
              <w:t>3130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 </w:t>
            </w:r>
            <w:r>
              <w:rPr>
                <w:color w:val="000000"/>
                <w:spacing w:val="0"/>
                <w:w w:val="100"/>
                <w:position w:val="0"/>
                <w:sz w:val="18"/>
                <w:szCs w:val="18"/>
              </w:rPr>
              <w:t>8566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 </w:t>
            </w:r>
            <w:r>
              <w:rPr>
                <w:color w:val="000000"/>
                <w:spacing w:val="0"/>
                <w:w w:val="100"/>
                <w:position w:val="0"/>
                <w:sz w:val="18"/>
                <w:szCs w:val="18"/>
              </w:rPr>
              <w:t>5951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宁波云晖景盛投资管理合伙企业（有限合伙）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95.0149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 </w:t>
            </w:r>
            <w:r>
              <w:rPr>
                <w:color w:val="000000"/>
                <w:spacing w:val="0"/>
                <w:w w:val="100"/>
                <w:position w:val="0"/>
                <w:sz w:val="18"/>
                <w:szCs w:val="18"/>
              </w:rPr>
              <w:t>4635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烟台民和久信投资中心（有限合伙）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94. </w:t>
            </w:r>
            <w:r>
              <w:rPr>
                <w:color w:val="000000"/>
                <w:spacing w:val="0"/>
                <w:w w:val="100"/>
                <w:position w:val="0"/>
                <w:sz w:val="18"/>
                <w:szCs w:val="18"/>
              </w:rPr>
              <w:t>5313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2.4510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北京华盖创富壹号股权投资合伙企业（有限合伙）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9859</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上海仁建投资有限公司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75.6250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w:t>
            </w:r>
            <w:r>
              <w:rPr>
                <w:color w:val="000000"/>
                <w:spacing w:val="0"/>
                <w:w w:val="100"/>
                <w:position w:val="0"/>
                <w:sz w:val="18"/>
                <w:szCs w:val="18"/>
              </w:rPr>
              <w:t>9608</w:t>
            </w:r>
          </w:p>
        </w:tc>
      </w:tr>
    </w:tbl>
    <w:p>
      <w:pPr>
        <w:widowControl w:val="0"/>
        <w:spacing w:line="1" w:lineRule="exact"/>
      </w:pPr>
      <w:r>
        <w:br w:type="page"/>
      </w:r>
    </w:p>
    <w:tbl>
      <w:tblPr>
        <w:tblOverlap w:val="never"/>
        <w:jc w:val="center"/>
        <w:tblLayout w:type="fixed"/>
      </w:tblPr>
      <w:tblGrid>
        <w:gridCol w:w="787"/>
        <w:gridCol w:w="4157"/>
        <w:gridCol w:w="1987"/>
        <w:gridCol w:w="1224"/>
        <w:gridCol w:w="1522"/>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新余市鹏汇君晖投资中心（有限合伙）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65. </w:t>
            </w:r>
            <w:r>
              <w:rPr>
                <w:color w:val="000000"/>
                <w:spacing w:val="0"/>
                <w:w w:val="100"/>
                <w:position w:val="0"/>
                <w:sz w:val="18"/>
                <w:szCs w:val="18"/>
              </w:rPr>
              <w:t>1035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6880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Cherish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62. </w:t>
            </w:r>
            <w:r>
              <w:rPr>
                <w:color w:val="000000"/>
                <w:spacing w:val="0"/>
                <w:w w:val="100"/>
                <w:position w:val="0"/>
                <w:sz w:val="18"/>
                <w:szCs w:val="18"/>
              </w:rPr>
              <w:t>0746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6095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宁波丰廪秦永投资合伙企业（有限合伙）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57. </w:t>
            </w:r>
            <w:r>
              <w:rPr>
                <w:color w:val="000000"/>
                <w:spacing w:val="0"/>
                <w:w w:val="100"/>
                <w:position w:val="0"/>
                <w:sz w:val="18"/>
                <w:szCs w:val="18"/>
              </w:rPr>
              <w:t>4443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深圳市达晨创联股权投资基金合伙企业（有限合伙）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7384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3155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北京渤海华盖股权投资合伙企业（有限合伙）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深圳银信宝源投资基金管理有限公司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上海高鹄风府投资管理合伙企业（有限合伙）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49.7851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2908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领富中国投资有限公司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44. </w:t>
            </w:r>
            <w:r>
              <w:rPr>
                <w:color w:val="000000"/>
                <w:spacing w:val="0"/>
                <w:w w:val="100"/>
                <w:position w:val="0"/>
                <w:sz w:val="18"/>
                <w:szCs w:val="18"/>
              </w:rPr>
              <w:t>5487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1550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43. </w:t>
            </w:r>
            <w:r>
              <w:rPr>
                <w:color w:val="000000"/>
                <w:spacing w:val="0"/>
                <w:w w:val="100"/>
                <w:position w:val="0"/>
                <w:sz w:val="18"/>
                <w:szCs w:val="18"/>
              </w:rPr>
              <w:t>7739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1350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宁波天壹天时股权投资中心（有限合伙）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43. </w:t>
            </w:r>
            <w:r>
              <w:rPr>
                <w:color w:val="000000"/>
                <w:spacing w:val="0"/>
                <w:w w:val="100"/>
                <w:position w:val="0"/>
                <w:sz w:val="18"/>
                <w:szCs w:val="18"/>
              </w:rPr>
              <w:t>6403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r>
              <w:rPr>
                <w:color w:val="000000"/>
                <w:spacing w:val="0"/>
                <w:w w:val="100"/>
                <w:position w:val="0"/>
                <w:sz w:val="18"/>
                <w:szCs w:val="18"/>
              </w:rPr>
              <w:t>1315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深圳市安鑫二号投资管理企业（有限合伙）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38.2962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9929</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上海金浦信诚移动互联股权投资基金合伙企业（有限 合伙）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38.2962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9929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珠海寅虎四方投资合伙企业（有限合伙）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37.8125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9804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36.0320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9342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31.8095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8247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北京红杉信远股权投资中心（有限合伙）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25.0222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6488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上海安旻通煜投资中心（有限合伙）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24. </w:t>
            </w:r>
            <w:r>
              <w:rPr>
                <w:color w:val="000000"/>
                <w:spacing w:val="0"/>
                <w:w w:val="100"/>
                <w:position w:val="0"/>
                <w:sz w:val="18"/>
                <w:szCs w:val="18"/>
              </w:rPr>
              <w:t>8018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6431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21.0408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5455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宁波骏融股权投资合伙企业（有限合伙）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18.9063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4902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西藏山南世纪金源投资管理有限公司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16. </w:t>
            </w:r>
            <w:r>
              <w:rPr>
                <w:color w:val="000000"/>
                <w:spacing w:val="0"/>
                <w:w w:val="100"/>
                <w:position w:val="0"/>
                <w:sz w:val="18"/>
                <w:szCs w:val="18"/>
              </w:rPr>
              <w:t>1587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0.4190</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宁波梅山保税港区寅虎伍号投资合伙企业（有限合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11.3438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2941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珠海臻泰大靖创新投资企业（有限合伙）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 </w:t>
            </w:r>
            <w:r>
              <w:rPr>
                <w:color w:val="000000"/>
                <w:spacing w:val="0"/>
                <w:w w:val="100"/>
                <w:position w:val="0"/>
                <w:sz w:val="18"/>
                <w:szCs w:val="18"/>
              </w:rPr>
              <w:t>6953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2514</w:t>
            </w:r>
          </w:p>
        </w:tc>
      </w:tr>
      <w:tr>
        <w:trPr>
          <w:trHeight w:val="3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856. </w:t>
            </w:r>
            <w:r>
              <w:rPr>
                <w:color w:val="000000"/>
                <w:spacing w:val="0"/>
                <w:w w:val="100"/>
                <w:position w:val="0"/>
                <w:sz w:val="18"/>
                <w:szCs w:val="18"/>
              </w:rPr>
              <w:t>8758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［注］原股东无锡软石智动资产管理企业（有限合伙）变更名称为无锡软石智动投资企业（有限合伙）；原股东无锡软石 创新六号资产管理企业（有限合伙）变更名称为无锡软石创新六号投资企业（有限合伙）。</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19.</w:t>
      </w:r>
      <w:r>
        <w:rPr>
          <w:color w:val="000000"/>
          <w:spacing w:val="0"/>
          <w:w w:val="100"/>
          <w:position w:val="0"/>
        </w:rPr>
        <w:t>软通动力公司第七次股权转让情况</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日，经软通动力公司董事会决议，软通动力公司原股东刘天文将其持有的</w:t>
      </w:r>
      <w:r>
        <w:rPr>
          <w:color w:val="000000"/>
          <w:spacing w:val="0"/>
          <w:w w:val="100"/>
          <w:position w:val="0"/>
          <w:sz w:val="18"/>
          <w:szCs w:val="18"/>
        </w:rPr>
        <w:t>2.1658%</w:t>
      </w:r>
      <w:r>
        <w:rPr>
          <w:color w:val="000000"/>
          <w:spacing w:val="0"/>
          <w:w w:val="100"/>
          <w:position w:val="0"/>
        </w:rPr>
        <w:t>、</w:t>
      </w:r>
      <w:r>
        <w:rPr>
          <w:color w:val="000000"/>
          <w:spacing w:val="0"/>
          <w:w w:val="100"/>
          <w:position w:val="0"/>
          <w:sz w:val="18"/>
          <w:szCs w:val="18"/>
        </w:rPr>
        <w:t>0.8421%</w:t>
      </w:r>
      <w:r>
        <w:rPr>
          <w:color w:val="000000"/>
          <w:spacing w:val="0"/>
          <w:w w:val="100"/>
          <w:position w:val="0"/>
        </w:rPr>
        <w:t>、</w:t>
      </w:r>
      <w:r>
        <w:rPr>
          <w:color w:val="000000"/>
          <w:spacing w:val="0"/>
          <w:w w:val="100"/>
          <w:position w:val="0"/>
          <w:sz w:val="18"/>
          <w:szCs w:val="18"/>
        </w:rPr>
        <w:t xml:space="preserve">0. </w:t>
      </w:r>
      <w:r>
        <w:rPr>
          <w:color w:val="000000"/>
          <w:spacing w:val="0"/>
          <w:w w:val="100"/>
          <w:position w:val="0"/>
          <w:sz w:val="18"/>
          <w:szCs w:val="18"/>
        </w:rPr>
        <w:t xml:space="preserve">1500% </w:t>
      </w:r>
      <w:r>
        <w:rPr>
          <w:color w:val="000000"/>
          <w:spacing w:val="0"/>
          <w:w w:val="100"/>
          <w:position w:val="0"/>
        </w:rPr>
        <w:t>股权转让给新股东深圳市红土长城中通股权投资基金合伙企业（有限合伙）、新股东深圳市创新投资集团有限公司、新股东 深圳市罗湖红土创业投资有限公司；原股东北京红杉信远股权投资中心（有限合伙）将其所持有的</w:t>
      </w:r>
      <w:r>
        <w:rPr>
          <w:color w:val="000000"/>
          <w:spacing w:val="0"/>
          <w:w w:val="100"/>
          <w:position w:val="0"/>
          <w:sz w:val="18"/>
          <w:szCs w:val="18"/>
        </w:rPr>
        <w:t xml:space="preserve">0. </w:t>
      </w:r>
      <w:r>
        <w:rPr>
          <w:color w:val="000000"/>
          <w:spacing w:val="0"/>
          <w:w w:val="100"/>
          <w:position w:val="0"/>
          <w:sz w:val="18"/>
          <w:szCs w:val="18"/>
        </w:rPr>
        <w:t>6488%</w:t>
      </w:r>
      <w:r>
        <w:rPr>
          <w:color w:val="000000"/>
          <w:spacing w:val="0"/>
          <w:w w:val="100"/>
          <w:position w:val="0"/>
        </w:rPr>
        <w:t>股权转让给新股 东赣州旭荣投资合伙企业（有限合伙）；原股东上海仁建投资有限公司将其所持有的</w:t>
      </w:r>
      <w:r>
        <w:rPr>
          <w:color w:val="000000"/>
          <w:spacing w:val="0"/>
          <w:w w:val="100"/>
          <w:position w:val="0"/>
          <w:sz w:val="18"/>
          <w:szCs w:val="18"/>
        </w:rPr>
        <w:t>1.9608%</w:t>
      </w:r>
      <w:r>
        <w:rPr>
          <w:color w:val="000000"/>
          <w:spacing w:val="0"/>
          <w:w w:val="100"/>
          <w:position w:val="0"/>
        </w:rPr>
        <w:t>股权转让给新股东中航信托股 份有限公司。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30</w:t>
      </w:r>
      <w:r>
        <w:rPr>
          <w:color w:val="000000"/>
          <w:spacing w:val="0"/>
          <w:w w:val="100"/>
          <w:position w:val="0"/>
        </w:rPr>
        <w:t>日，上述各转让方与相应的受让方分别签订股权转让协议，转让其持有的软通动力公司相应比例 的股权。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26</w:t>
      </w:r>
      <w:r>
        <w:rPr>
          <w:color w:val="000000"/>
          <w:spacing w:val="0"/>
          <w:w w:val="100"/>
          <w:position w:val="0"/>
        </w:rPr>
        <w:t>日完成工商变更登记，变更后的股权结构如下：</w:t>
      </w:r>
    </w:p>
    <w:tbl>
      <w:tblPr>
        <w:tblOverlap w:val="never"/>
        <w:jc w:val="center"/>
        <w:tblLayout w:type="fixed"/>
      </w:tblPr>
      <w:tblGrid>
        <w:gridCol w:w="787"/>
        <w:gridCol w:w="4320"/>
        <w:gridCol w:w="1992"/>
        <w:gridCol w:w="1152"/>
        <w:gridCol w:w="1426"/>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出资方式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出资比例（%）</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1,076. </w:t>
            </w:r>
            <w:r>
              <w:rPr>
                <w:color w:val="000000"/>
                <w:spacing w:val="0"/>
                <w:w w:val="100"/>
                <w:position w:val="0"/>
                <w:sz w:val="18"/>
                <w:szCs w:val="18"/>
              </w:rPr>
              <w:t>6398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27.9148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439. </w:t>
            </w:r>
            <w:r>
              <w:rPr>
                <w:color w:val="000000"/>
                <w:spacing w:val="0"/>
                <w:w w:val="100"/>
                <w:position w:val="0"/>
                <w:sz w:val="18"/>
                <w:szCs w:val="18"/>
              </w:rPr>
              <w:t>5320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11.3961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舟山长通投资合伙企业（有限合伙）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226. </w:t>
            </w:r>
            <w:r>
              <w:rPr>
                <w:color w:val="000000"/>
                <w:spacing w:val="0"/>
                <w:w w:val="100"/>
                <w:position w:val="0"/>
                <w:sz w:val="18"/>
                <w:szCs w:val="18"/>
              </w:rPr>
              <w:t>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8824</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无锡软石智动投资企业（有限合伙）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220. </w:t>
            </w:r>
            <w:r>
              <w:rPr>
                <w:color w:val="000000"/>
                <w:spacing w:val="0"/>
                <w:w w:val="100"/>
                <w:position w:val="0"/>
                <w:sz w:val="18"/>
                <w:szCs w:val="18"/>
              </w:rPr>
              <w:t>0848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 </w:t>
            </w:r>
            <w:r>
              <w:rPr>
                <w:color w:val="000000"/>
                <w:spacing w:val="0"/>
                <w:w w:val="100"/>
                <w:position w:val="0"/>
                <w:sz w:val="18"/>
                <w:szCs w:val="18"/>
              </w:rPr>
              <w:t>7063</w:t>
            </w:r>
          </w:p>
        </w:tc>
      </w:tr>
    </w:tbl>
    <w:p>
      <w:pPr>
        <w:widowControl w:val="0"/>
        <w:spacing w:line="1" w:lineRule="exact"/>
      </w:pPr>
      <w:r>
        <w:br w:type="page"/>
      </w:r>
    </w:p>
    <w:tbl>
      <w:tblPr>
        <w:tblOverlap w:val="never"/>
        <w:jc w:val="center"/>
        <w:tblLayout w:type="fixed"/>
      </w:tblPr>
      <w:tblGrid>
        <w:gridCol w:w="787"/>
        <w:gridCol w:w="4320"/>
        <w:gridCol w:w="1992"/>
        <w:gridCol w:w="1152"/>
        <w:gridCol w:w="1426"/>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Easynet(HK)Limited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216. </w:t>
            </w:r>
            <w:r>
              <w:rPr>
                <w:color w:val="000000"/>
                <w:spacing w:val="0"/>
                <w:w w:val="100"/>
                <w:position w:val="0"/>
                <w:sz w:val="18"/>
                <w:szCs w:val="18"/>
              </w:rPr>
              <w:t>2809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 </w:t>
            </w:r>
            <w:r>
              <w:rPr>
                <w:color w:val="000000"/>
                <w:spacing w:val="0"/>
                <w:w w:val="100"/>
                <w:position w:val="0"/>
                <w:sz w:val="18"/>
                <w:szCs w:val="18"/>
              </w:rPr>
              <w:t>6077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187. </w:t>
            </w:r>
            <w:r>
              <w:rPr>
                <w:color w:val="000000"/>
                <w:spacing w:val="0"/>
                <w:w w:val="100"/>
                <w:position w:val="0"/>
                <w:sz w:val="18"/>
                <w:szCs w:val="18"/>
              </w:rPr>
              <w:t>3130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 </w:t>
            </w:r>
            <w:r>
              <w:rPr>
                <w:color w:val="000000"/>
                <w:spacing w:val="0"/>
                <w:w w:val="100"/>
                <w:position w:val="0"/>
                <w:sz w:val="18"/>
                <w:szCs w:val="18"/>
              </w:rPr>
              <w:t>8566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 </w:t>
            </w:r>
            <w:r>
              <w:rPr>
                <w:color w:val="000000"/>
                <w:spacing w:val="0"/>
                <w:w w:val="100"/>
                <w:position w:val="0"/>
                <w:sz w:val="18"/>
                <w:szCs w:val="18"/>
              </w:rPr>
              <w:t>5951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宁波云晖景盛投资管理合伙企业（有限合伙）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95.0149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 </w:t>
            </w:r>
            <w:r>
              <w:rPr>
                <w:color w:val="000000"/>
                <w:spacing w:val="0"/>
                <w:w w:val="100"/>
                <w:position w:val="0"/>
                <w:sz w:val="18"/>
                <w:szCs w:val="18"/>
              </w:rPr>
              <w:t>4635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青岛学而民和投资中心（有限合伙）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94. </w:t>
            </w:r>
            <w:r>
              <w:rPr>
                <w:color w:val="000000"/>
                <w:spacing w:val="0"/>
                <w:w w:val="100"/>
                <w:position w:val="0"/>
                <w:sz w:val="18"/>
                <w:szCs w:val="18"/>
              </w:rPr>
              <w:t>5313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2.4510</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深圳市红土长城中通股权投资基金合伙企业（有限合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83.5318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 </w:t>
            </w:r>
            <w:r>
              <w:rPr>
                <w:color w:val="000000"/>
                <w:spacing w:val="0"/>
                <w:w w:val="100"/>
                <w:position w:val="0"/>
                <w:sz w:val="18"/>
                <w:szCs w:val="18"/>
              </w:rPr>
              <w:t>1658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北京华盖创富壹号股权投资合伙企业（有限合伙）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76.</w:t>
            </w:r>
            <w:r>
              <w:rPr>
                <w:color w:val="000000"/>
                <w:spacing w:val="0"/>
                <w:w w:val="100"/>
                <w:position w:val="0"/>
                <w:sz w:val="18"/>
                <w:szCs w:val="18"/>
              </w:rPr>
              <w:t>5924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9859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中航信托股份有限公司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75.6250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9608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新余市鹏汇君晖投资中心（有限合伙）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65. </w:t>
            </w:r>
            <w:r>
              <w:rPr>
                <w:color w:val="000000"/>
                <w:spacing w:val="0"/>
                <w:w w:val="100"/>
                <w:position w:val="0"/>
                <w:sz w:val="18"/>
                <w:szCs w:val="18"/>
              </w:rPr>
              <w:t>1035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6880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Cherish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62. </w:t>
            </w:r>
            <w:r>
              <w:rPr>
                <w:color w:val="000000"/>
                <w:spacing w:val="0"/>
                <w:w w:val="100"/>
                <w:position w:val="0"/>
                <w:sz w:val="18"/>
                <w:szCs w:val="18"/>
              </w:rPr>
              <w:t>0746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6095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宁波丰廪秦永投资合伙企业（有限合伙）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57. </w:t>
            </w:r>
            <w:r>
              <w:rPr>
                <w:color w:val="000000"/>
                <w:spacing w:val="0"/>
                <w:w w:val="100"/>
                <w:position w:val="0"/>
                <w:sz w:val="18"/>
                <w:szCs w:val="18"/>
              </w:rPr>
              <w:t>4443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1.4894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深圳市达晨创联股权投资基金合伙企业（有限合伙）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7384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 </w:t>
            </w:r>
            <w:r>
              <w:rPr>
                <w:color w:val="000000"/>
                <w:spacing w:val="0"/>
                <w:w w:val="100"/>
                <w:position w:val="0"/>
                <w:sz w:val="18"/>
                <w:szCs w:val="18"/>
              </w:rPr>
              <w:t>3155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北京渤海华盖股权投资合伙企业（有限合伙）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深圳银信宝源投资基金管理有限公司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50.</w:t>
            </w:r>
            <w:r>
              <w:rPr>
                <w:color w:val="000000"/>
                <w:spacing w:val="0"/>
                <w:w w:val="100"/>
                <w:position w:val="0"/>
                <w:sz w:val="18"/>
                <w:szCs w:val="18"/>
              </w:rPr>
              <w:t>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2975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上海高鹄风府投资管理合伙企业（有限合伙）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49.7851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2908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领富中国投资有限公司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44. </w:t>
            </w:r>
            <w:r>
              <w:rPr>
                <w:color w:val="000000"/>
                <w:spacing w:val="0"/>
                <w:w w:val="100"/>
                <w:position w:val="0"/>
                <w:sz w:val="18"/>
                <w:szCs w:val="18"/>
              </w:rPr>
              <w:t>5487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1550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43. </w:t>
            </w:r>
            <w:r>
              <w:rPr>
                <w:color w:val="000000"/>
                <w:spacing w:val="0"/>
                <w:w w:val="100"/>
                <w:position w:val="0"/>
                <w:sz w:val="18"/>
                <w:szCs w:val="18"/>
              </w:rPr>
              <w:t>7739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1350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宁波天时仁合股权投资合伙企业（有限合伙）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43. </w:t>
            </w:r>
            <w:r>
              <w:rPr>
                <w:color w:val="000000"/>
                <w:spacing w:val="0"/>
                <w:w w:val="100"/>
                <w:position w:val="0"/>
                <w:sz w:val="18"/>
                <w:szCs w:val="18"/>
              </w:rPr>
              <w:t>6403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1315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深圳市安鑫二号投资管理企业（有限合伙）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38.2962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9929</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上海金浦信诚移动互联股权投资基金合伙企业（有限合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38.2962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9929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珠海寅虎四方投资合伙企业（有限合伙）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37.8125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9804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36.0320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9342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32.4790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8421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31.8095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8247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赣州旭荣投资合伙企业（有限合伙）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25.0222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6488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上海安旻通煜投资中心（有限合伙）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24. </w:t>
            </w:r>
            <w:r>
              <w:rPr>
                <w:color w:val="000000"/>
                <w:spacing w:val="0"/>
                <w:w w:val="100"/>
                <w:position w:val="0"/>
                <w:sz w:val="18"/>
                <w:szCs w:val="18"/>
              </w:rPr>
              <w:t>8018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6431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21.0408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5455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宁波骏融股权投资合伙企业（有限合伙）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18.9063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4902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西藏腾云投资管理有限公司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 xml:space="preserve">16. </w:t>
            </w:r>
            <w:r>
              <w:rPr>
                <w:color w:val="000000"/>
                <w:spacing w:val="0"/>
                <w:w w:val="100"/>
                <w:position w:val="0"/>
                <w:sz w:val="18"/>
                <w:szCs w:val="18"/>
              </w:rPr>
              <w:t>1587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0.4190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宁波梅山保税港区寅虎伍号投资合伙企业（有限合伙）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11.3438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2941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珠海臻泰大靖创新投资企业（有限合伙）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9. </w:t>
            </w:r>
            <w:r>
              <w:rPr>
                <w:color w:val="000000"/>
                <w:spacing w:val="0"/>
                <w:w w:val="100"/>
                <w:position w:val="0"/>
                <w:sz w:val="18"/>
                <w:szCs w:val="18"/>
              </w:rPr>
              <w:t>6953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2514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深圳市罗湖红土创业投资有限公司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 xml:space="preserve">5. </w:t>
            </w:r>
            <w:r>
              <w:rPr>
                <w:color w:val="000000"/>
                <w:spacing w:val="0"/>
                <w:w w:val="100"/>
                <w:position w:val="0"/>
                <w:sz w:val="18"/>
                <w:szCs w:val="18"/>
              </w:rPr>
              <w:t>7853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1500</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856. </w:t>
            </w:r>
            <w:r>
              <w:rPr>
                <w:color w:val="000000"/>
                <w:spacing w:val="0"/>
                <w:w w:val="100"/>
                <w:position w:val="0"/>
                <w:sz w:val="18"/>
                <w:szCs w:val="18"/>
              </w:rPr>
              <w:t>8758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379" w:right="0" w:firstLine="0"/>
        <w:jc w:val="left"/>
      </w:pPr>
      <w:r>
        <w:rPr>
          <w:color w:val="000000"/>
          <w:spacing w:val="0"/>
          <w:w w:val="100"/>
          <w:position w:val="0"/>
        </w:rPr>
        <w:t>［注］原股东西藏山南世纪金源投资管理有限公司变更名称为西藏腾云投资管理有限公司；原股东烟台民和久信投资中心</w:t>
      </w:r>
    </w:p>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（有限合伙）变更名称为青岛学而民和投资中心（有限合伙）；原股东宁波天壹天时股权投资中心（有限合伙）变更为宁波 天时仁合股权投资合伙企业（有限合伙）。</w:t>
      </w:r>
    </w:p>
    <w:p>
      <w:pPr>
        <w:pStyle w:val="Style22"/>
        <w:keepNext w:val="0"/>
        <w:keepLines w:val="0"/>
        <w:widowControl w:val="0"/>
        <w:shd w:val="clear" w:color="auto" w:fill="auto"/>
        <w:bidi w:val="0"/>
        <w:spacing w:before="0" w:after="0" w:line="302" w:lineRule="exact"/>
        <w:ind w:left="0" w:right="0" w:firstLine="440"/>
        <w:jc w:val="left"/>
      </w:pPr>
      <w:r>
        <w:rPr>
          <w:color w:val="000000"/>
          <w:spacing w:val="0"/>
          <w:w w:val="100"/>
          <w:position w:val="0"/>
          <w:sz w:val="18"/>
          <w:szCs w:val="18"/>
        </w:rPr>
        <w:t xml:space="preserve">20 </w:t>
      </w:r>
      <w:r>
        <w:rPr>
          <w:color w:val="000000"/>
          <w:spacing w:val="0"/>
          <w:w w:val="100"/>
          <w:position w:val="0"/>
        </w:rPr>
        <w:t>.软通动力公司第二次减资及股权转让情况</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日，经软通动力公司董事会决议，软通动力公司注册资本由</w:t>
      </w:r>
      <w:r>
        <w:rPr>
          <w:color w:val="000000"/>
          <w:spacing w:val="0"/>
          <w:w w:val="100"/>
          <w:position w:val="0"/>
          <w:sz w:val="18"/>
          <w:szCs w:val="18"/>
        </w:rPr>
        <w:t xml:space="preserve">3, </w:t>
      </w:r>
      <w:r>
        <w:rPr>
          <w:color w:val="000000"/>
          <w:spacing w:val="0"/>
          <w:w w:val="100"/>
          <w:position w:val="0"/>
          <w:sz w:val="18"/>
          <w:szCs w:val="18"/>
        </w:rPr>
        <w:t xml:space="preserve">856. </w:t>
      </w:r>
      <w:r>
        <w:rPr>
          <w:color w:val="000000"/>
          <w:spacing w:val="0"/>
          <w:w w:val="100"/>
          <w:position w:val="0"/>
          <w:sz w:val="18"/>
          <w:szCs w:val="18"/>
        </w:rPr>
        <w:t>8758</w:t>
      </w:r>
      <w:r>
        <w:rPr>
          <w:color w:val="000000"/>
          <w:spacing w:val="0"/>
          <w:w w:val="100"/>
          <w:position w:val="0"/>
        </w:rPr>
        <w:t>万美元减至</w:t>
      </w:r>
      <w:r>
        <w:rPr>
          <w:color w:val="000000"/>
          <w:spacing w:val="0"/>
          <w:w w:val="100"/>
          <w:position w:val="0"/>
          <w:sz w:val="18"/>
          <w:szCs w:val="18"/>
        </w:rPr>
        <w:t xml:space="preserve">3852. </w:t>
      </w:r>
      <w:r>
        <w:rPr>
          <w:color w:val="000000"/>
          <w:spacing w:val="0"/>
          <w:w w:val="100"/>
          <w:position w:val="0"/>
          <w:sz w:val="18"/>
          <w:szCs w:val="18"/>
        </w:rPr>
        <w:t>7058</w:t>
      </w:r>
      <w:r>
        <w:rPr>
          <w:color w:val="000000"/>
          <w:spacing w:val="0"/>
          <w:w w:val="100"/>
          <w:position w:val="0"/>
        </w:rPr>
        <w:t>万美元，减 少的注册资本</w:t>
      </w:r>
      <w:r>
        <w:rPr>
          <w:color w:val="000000"/>
          <w:spacing w:val="0"/>
          <w:w w:val="100"/>
          <w:position w:val="0"/>
          <w:sz w:val="18"/>
          <w:szCs w:val="18"/>
        </w:rPr>
        <w:t xml:space="preserve">4. </w:t>
      </w:r>
      <w:r>
        <w:rPr>
          <w:color w:val="000000"/>
          <w:spacing w:val="0"/>
          <w:w w:val="100"/>
          <w:position w:val="0"/>
          <w:sz w:val="18"/>
          <w:szCs w:val="18"/>
        </w:rPr>
        <w:t>1700</w:t>
      </w:r>
      <w:r>
        <w:rPr>
          <w:color w:val="000000"/>
          <w:spacing w:val="0"/>
          <w:w w:val="100"/>
          <w:position w:val="0"/>
        </w:rPr>
        <w:t>万美元，其中：新余市鹏汇君晖投资中心（有限合伙）减资</w:t>
      </w:r>
      <w:r>
        <w:rPr>
          <w:color w:val="000000"/>
          <w:spacing w:val="0"/>
          <w:w w:val="100"/>
          <w:position w:val="0"/>
          <w:sz w:val="18"/>
          <w:szCs w:val="18"/>
        </w:rPr>
        <w:t>0.6510</w:t>
      </w:r>
      <w:r>
        <w:rPr>
          <w:color w:val="000000"/>
          <w:spacing w:val="0"/>
          <w:w w:val="100"/>
          <w:position w:val="0"/>
        </w:rPr>
        <w:t>万美元，北京华盖创富壹号股权投资 合伙企业（有限合伙）减资</w:t>
      </w:r>
      <w:r>
        <w:rPr>
          <w:color w:val="000000"/>
          <w:spacing w:val="0"/>
          <w:w w:val="100"/>
          <w:position w:val="0"/>
          <w:sz w:val="18"/>
          <w:szCs w:val="18"/>
        </w:rPr>
        <w:t xml:space="preserve">0. </w:t>
      </w:r>
      <w:r>
        <w:rPr>
          <w:color w:val="000000"/>
          <w:spacing w:val="0"/>
          <w:w w:val="100"/>
          <w:position w:val="0"/>
          <w:sz w:val="18"/>
          <w:szCs w:val="18"/>
        </w:rPr>
        <w:t>4556</w:t>
      </w:r>
      <w:r>
        <w:rPr>
          <w:color w:val="000000"/>
          <w:spacing w:val="0"/>
          <w:w w:val="100"/>
          <w:position w:val="0"/>
        </w:rPr>
        <w:t>万元美元，宁波云晖景盛投资管理合伙企业（有限合伙）减资</w:t>
      </w:r>
      <w:r>
        <w:rPr>
          <w:color w:val="000000"/>
          <w:spacing w:val="0"/>
          <w:w w:val="100"/>
          <w:position w:val="0"/>
          <w:sz w:val="18"/>
          <w:szCs w:val="18"/>
        </w:rPr>
        <w:t xml:space="preserve">0. </w:t>
      </w:r>
      <w:r>
        <w:rPr>
          <w:color w:val="000000"/>
          <w:spacing w:val="0"/>
          <w:w w:val="100"/>
          <w:position w:val="0"/>
          <w:sz w:val="18"/>
          <w:szCs w:val="18"/>
        </w:rPr>
        <w:t>5320</w:t>
      </w:r>
      <w:r>
        <w:rPr>
          <w:color w:val="000000"/>
          <w:spacing w:val="0"/>
          <w:w w:val="100"/>
          <w:position w:val="0"/>
        </w:rPr>
        <w:t>万美元，宁波丰廪秦 永投资合伙企业（有限合伙）减资</w:t>
      </w:r>
      <w:r>
        <w:rPr>
          <w:color w:val="000000"/>
          <w:spacing w:val="0"/>
          <w:w w:val="100"/>
          <w:position w:val="0"/>
          <w:sz w:val="18"/>
          <w:szCs w:val="18"/>
        </w:rPr>
        <w:t xml:space="preserve">0. </w:t>
      </w:r>
      <w:r>
        <w:rPr>
          <w:color w:val="000000"/>
          <w:spacing w:val="0"/>
          <w:w w:val="100"/>
          <w:position w:val="0"/>
          <w:sz w:val="18"/>
          <w:szCs w:val="18"/>
        </w:rPr>
        <w:t>5744</w:t>
      </w:r>
      <w:r>
        <w:rPr>
          <w:color w:val="000000"/>
          <w:spacing w:val="0"/>
          <w:w w:val="100"/>
          <w:position w:val="0"/>
        </w:rPr>
        <w:t>万美元，上海高鹄风府投资管理合伙企业（有限合伙）减资</w:t>
      </w:r>
      <w:r>
        <w:rPr>
          <w:color w:val="000000"/>
          <w:spacing w:val="0"/>
          <w:w w:val="100"/>
          <w:position w:val="0"/>
          <w:sz w:val="18"/>
          <w:szCs w:val="18"/>
        </w:rPr>
        <w:t xml:space="preserve">0. </w:t>
      </w:r>
      <w:r>
        <w:rPr>
          <w:color w:val="000000"/>
          <w:spacing w:val="0"/>
          <w:w w:val="100"/>
          <w:position w:val="0"/>
          <w:sz w:val="18"/>
          <w:szCs w:val="18"/>
        </w:rPr>
        <w:t>4979</w:t>
      </w:r>
      <w:r>
        <w:rPr>
          <w:color w:val="000000"/>
          <w:spacing w:val="0"/>
          <w:w w:val="100"/>
          <w:position w:val="0"/>
        </w:rPr>
        <w:t>万美元，深圳市 安鑫二号投资管理企业（有限合伙）减资</w:t>
      </w:r>
      <w:r>
        <w:rPr>
          <w:color w:val="000000"/>
          <w:spacing w:val="0"/>
          <w:w w:val="100"/>
          <w:position w:val="0"/>
          <w:sz w:val="18"/>
          <w:szCs w:val="18"/>
        </w:rPr>
        <w:t xml:space="preserve">0. </w:t>
      </w:r>
      <w:r>
        <w:rPr>
          <w:color w:val="000000"/>
          <w:spacing w:val="0"/>
          <w:w w:val="100"/>
          <w:position w:val="0"/>
          <w:sz w:val="18"/>
          <w:szCs w:val="18"/>
        </w:rPr>
        <w:t>2336</w:t>
      </w:r>
      <w:r>
        <w:rPr>
          <w:color w:val="000000"/>
          <w:spacing w:val="0"/>
          <w:w w:val="100"/>
          <w:position w:val="0"/>
        </w:rPr>
        <w:t>万美元，深圳银信宝源投资基金管理有限公司减资</w:t>
      </w:r>
      <w:r>
        <w:rPr>
          <w:color w:val="000000"/>
          <w:spacing w:val="0"/>
          <w:w w:val="100"/>
          <w:position w:val="0"/>
          <w:sz w:val="18"/>
          <w:szCs w:val="18"/>
        </w:rPr>
        <w:t>0.280</w:t>
      </w:r>
      <w:r>
        <w:rPr>
          <w:color w:val="000000"/>
          <w:spacing w:val="0"/>
          <w:w w:val="100"/>
          <w:position w:val="0"/>
          <w:sz w:val="18"/>
          <w:szCs w:val="18"/>
        </w:rPr>
        <w:t>2</w:t>
      </w:r>
      <w:r>
        <w:rPr>
          <w:color w:val="000000"/>
          <w:spacing w:val="0"/>
          <w:w w:val="100"/>
          <w:position w:val="0"/>
        </w:rPr>
        <w:t>万美元，宁波骏融 股权投资合伙企业（有限合伙）减资</w:t>
      </w:r>
      <w:r>
        <w:rPr>
          <w:color w:val="000000"/>
          <w:spacing w:val="0"/>
          <w:w w:val="100"/>
          <w:position w:val="0"/>
          <w:sz w:val="18"/>
          <w:szCs w:val="18"/>
        </w:rPr>
        <w:t>0.189</w:t>
      </w:r>
      <w:r>
        <w:rPr>
          <w:color w:val="000000"/>
          <w:spacing w:val="0"/>
          <w:w w:val="100"/>
          <w:position w:val="0"/>
          <w:sz w:val="18"/>
          <w:szCs w:val="18"/>
        </w:rPr>
        <w:t>1</w:t>
      </w:r>
      <w:r>
        <w:rPr>
          <w:color w:val="000000"/>
          <w:spacing w:val="0"/>
          <w:w w:val="100"/>
          <w:position w:val="0"/>
        </w:rPr>
        <w:t>万美元，中航信托股份有限公司减资</w:t>
      </w:r>
      <w:r>
        <w:rPr>
          <w:color w:val="000000"/>
          <w:spacing w:val="0"/>
          <w:w w:val="100"/>
          <w:position w:val="0"/>
          <w:sz w:val="18"/>
          <w:szCs w:val="18"/>
        </w:rPr>
        <w:t xml:space="preserve">0. </w:t>
      </w:r>
      <w:r>
        <w:rPr>
          <w:color w:val="000000"/>
          <w:spacing w:val="0"/>
          <w:w w:val="100"/>
          <w:position w:val="0"/>
          <w:sz w:val="18"/>
          <w:szCs w:val="18"/>
        </w:rPr>
        <w:t>7562</w:t>
      </w:r>
      <w:r>
        <w:rPr>
          <w:color w:val="000000"/>
          <w:spacing w:val="0"/>
          <w:w w:val="100"/>
          <w:position w:val="0"/>
        </w:rPr>
        <w:t>万美元。业经北京中天华茂会计师事 务所（普通合伙）于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日出具“中天华茂验字</w:t>
      </w:r>
      <w:r>
        <w:rPr>
          <w:color w:val="000000"/>
          <w:spacing w:val="0"/>
          <w:w w:val="100"/>
          <w:position w:val="0"/>
          <w:sz w:val="18"/>
          <w:szCs w:val="18"/>
        </w:rPr>
        <w:t>[2020]002</w:t>
      </w:r>
      <w:r>
        <w:rPr>
          <w:color w:val="000000"/>
          <w:spacing w:val="0"/>
          <w:w w:val="100"/>
          <w:position w:val="0"/>
        </w:rPr>
        <w:t>号”验资报告予以验证。</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同时，软通动力公司原股东深圳市安鑫二号投资管理企业（有限合伙）将其持有的</w:t>
      </w:r>
      <w:r>
        <w:rPr>
          <w:color w:val="000000"/>
          <w:spacing w:val="0"/>
          <w:w w:val="100"/>
          <w:position w:val="0"/>
          <w:sz w:val="18"/>
          <w:szCs w:val="18"/>
        </w:rPr>
        <w:t xml:space="preserve">0. </w:t>
      </w:r>
      <w:r>
        <w:rPr>
          <w:color w:val="000000"/>
          <w:spacing w:val="0"/>
          <w:w w:val="100"/>
          <w:position w:val="0"/>
          <w:sz w:val="18"/>
          <w:szCs w:val="18"/>
        </w:rPr>
        <w:t>6003%</w:t>
      </w:r>
      <w:r>
        <w:rPr>
          <w:color w:val="000000"/>
          <w:spacing w:val="0"/>
          <w:w w:val="100"/>
          <w:position w:val="0"/>
        </w:rPr>
        <w:t>股权转让给新股东上饶市天 数通投资管理中心（有限合伙</w:t>
      </w:r>
      <w:r>
        <w:rPr>
          <w:color w:val="000000"/>
          <w:spacing w:val="0"/>
          <w:w w:val="100"/>
          <w:position w:val="0"/>
          <w:sz w:val="18"/>
          <w:szCs w:val="18"/>
        </w:rPr>
        <w:t>）；</w:t>
      </w:r>
      <w:r>
        <w:rPr>
          <w:color w:val="000000"/>
          <w:spacing w:val="0"/>
          <w:w w:val="100"/>
          <w:position w:val="0"/>
        </w:rPr>
        <w:t>原股东上海高鹄风府投资管理合伙企业（有限合伙）将其所持有的</w:t>
      </w:r>
      <w:r>
        <w:rPr>
          <w:color w:val="000000"/>
          <w:spacing w:val="0"/>
          <w:w w:val="100"/>
          <w:position w:val="0"/>
          <w:sz w:val="18"/>
          <w:szCs w:val="18"/>
        </w:rPr>
        <w:t xml:space="preserve">0. </w:t>
      </w:r>
      <w:r>
        <w:rPr>
          <w:color w:val="000000"/>
          <w:spacing w:val="0"/>
          <w:w w:val="100"/>
          <w:position w:val="0"/>
          <w:sz w:val="18"/>
          <w:szCs w:val="18"/>
        </w:rPr>
        <w:t>3268%,</w:t>
      </w:r>
      <w:r>
        <w:rPr>
          <w:color w:val="000000"/>
          <w:spacing w:val="0"/>
          <w:w w:val="100"/>
          <w:position w:val="0"/>
          <w:sz w:val="18"/>
          <w:szCs w:val="18"/>
        </w:rPr>
        <w:t xml:space="preserve">0. </w:t>
      </w:r>
      <w:r>
        <w:rPr>
          <w:color w:val="000000"/>
          <w:spacing w:val="0"/>
          <w:w w:val="100"/>
          <w:position w:val="0"/>
          <w:sz w:val="18"/>
          <w:szCs w:val="18"/>
        </w:rPr>
        <w:t>3175%,</w:t>
      </w:r>
      <w:r>
        <w:rPr>
          <w:color w:val="000000"/>
          <w:spacing w:val="0"/>
          <w:w w:val="100"/>
          <w:position w:val="0"/>
          <w:sz w:val="18"/>
          <w:szCs w:val="18"/>
        </w:rPr>
        <w:t xml:space="preserve">0. </w:t>
      </w:r>
      <w:r>
        <w:rPr>
          <w:color w:val="000000"/>
          <w:spacing w:val="0"/>
          <w:w w:val="100"/>
          <w:position w:val="0"/>
          <w:sz w:val="18"/>
          <w:szCs w:val="18"/>
        </w:rPr>
        <w:t>3175%</w:t>
      </w:r>
      <w:r>
        <w:rPr>
          <w:color w:val="000000"/>
          <w:spacing w:val="0"/>
          <w:w w:val="100"/>
          <w:position w:val="0"/>
        </w:rPr>
        <w:t xml:space="preserve">、 </w:t>
      </w:r>
      <w:r>
        <w:rPr>
          <w:color w:val="000000"/>
          <w:spacing w:val="0"/>
          <w:w w:val="100"/>
          <w:position w:val="0"/>
          <w:sz w:val="18"/>
          <w:szCs w:val="18"/>
        </w:rPr>
        <w:t xml:space="preserve">0. </w:t>
      </w:r>
      <w:r>
        <w:rPr>
          <w:color w:val="000000"/>
          <w:spacing w:val="0"/>
          <w:w w:val="100"/>
          <w:position w:val="0"/>
          <w:sz w:val="18"/>
          <w:szCs w:val="18"/>
        </w:rPr>
        <w:t>3175%</w:t>
      </w:r>
      <w:r>
        <w:rPr>
          <w:color w:val="000000"/>
          <w:spacing w:val="0"/>
          <w:w w:val="100"/>
          <w:position w:val="0"/>
        </w:rPr>
        <w:t>股权分别转让给新股东上饶市天数通投资管理中心（有限合伙）、江苏紫金文化产业二期创业投资基金（有限合伙）、 江苏省现代服务业发展创业投资基金（有限合伙）、安徽高新毅达皖江产业发展创业投资基金（有限合伙）；原股东中航信 托股份有限公司、新余市鹏汇君晖投资中心（有限合伙）分别将其持有的</w:t>
      </w:r>
      <w:r>
        <w:rPr>
          <w:color w:val="000000"/>
          <w:spacing w:val="0"/>
          <w:w w:val="100"/>
          <w:position w:val="0"/>
          <w:sz w:val="18"/>
          <w:szCs w:val="18"/>
        </w:rPr>
        <w:t>1.9432%</w:t>
      </w:r>
      <w:r>
        <w:rPr>
          <w:color w:val="000000"/>
          <w:spacing w:val="0"/>
          <w:w w:val="100"/>
          <w:position w:val="0"/>
        </w:rPr>
        <w:t>、</w:t>
      </w:r>
      <w:r>
        <w:rPr>
          <w:color w:val="000000"/>
          <w:spacing w:val="0"/>
          <w:w w:val="100"/>
          <w:position w:val="0"/>
          <w:sz w:val="18"/>
          <w:szCs w:val="18"/>
        </w:rPr>
        <w:t xml:space="preserve">1. </w:t>
      </w:r>
      <w:r>
        <w:rPr>
          <w:color w:val="000000"/>
          <w:spacing w:val="0"/>
          <w:w w:val="100"/>
          <w:position w:val="0"/>
          <w:sz w:val="18"/>
          <w:szCs w:val="18"/>
        </w:rPr>
        <w:t>6729%</w:t>
      </w:r>
      <w:r>
        <w:rPr>
          <w:color w:val="000000"/>
          <w:spacing w:val="0"/>
          <w:w w:val="100"/>
          <w:position w:val="0"/>
        </w:rPr>
        <w:t>股权转让给新股东上海云锋麒泰 投资中心（有限合伙）</w:t>
      </w:r>
      <w:r>
        <w:rPr>
          <w:color w:val="000000"/>
          <w:spacing w:val="0"/>
          <w:w w:val="100"/>
          <w:position w:val="0"/>
          <w:sz w:val="18"/>
          <w:szCs w:val="18"/>
        </w:rPr>
        <w:t>；</w:t>
      </w:r>
      <w:r>
        <w:rPr>
          <w:color w:val="000000"/>
          <w:spacing w:val="0"/>
          <w:w w:val="100"/>
          <w:position w:val="0"/>
        </w:rPr>
        <w:t>原股东宁波骏融股权投资合伙企业（有限合伙）将其持有的</w:t>
      </w:r>
      <w:r>
        <w:rPr>
          <w:color w:val="000000"/>
          <w:spacing w:val="0"/>
          <w:w w:val="100"/>
          <w:position w:val="0"/>
          <w:sz w:val="18"/>
          <w:szCs w:val="18"/>
        </w:rPr>
        <w:t>0.2725%</w:t>
      </w:r>
      <w:r>
        <w:rPr>
          <w:color w:val="000000"/>
          <w:spacing w:val="0"/>
          <w:w w:val="100"/>
          <w:position w:val="0"/>
        </w:rPr>
        <w:t>、</w:t>
      </w:r>
      <w:r>
        <w:rPr>
          <w:color w:val="000000"/>
          <w:spacing w:val="0"/>
          <w:w w:val="100"/>
          <w:position w:val="0"/>
          <w:sz w:val="18"/>
          <w:szCs w:val="18"/>
        </w:rPr>
        <w:t xml:space="preserve">0. </w:t>
      </w:r>
      <w:r>
        <w:rPr>
          <w:color w:val="000000"/>
          <w:spacing w:val="0"/>
          <w:w w:val="100"/>
          <w:position w:val="0"/>
          <w:sz w:val="18"/>
          <w:szCs w:val="18"/>
        </w:rPr>
        <w:t>2134%</w:t>
      </w:r>
      <w:r>
        <w:rPr>
          <w:color w:val="000000"/>
          <w:spacing w:val="0"/>
          <w:w w:val="100"/>
          <w:position w:val="0"/>
        </w:rPr>
        <w:t>股权分别转让给新股 东上海云锋麒泰投资中心（有限合伙）、福州经济技术开发区兴睿永瀛股权投资合伙企业（有限合伙）；原股东宁波丰廪秦 永投资合伙企业（有限合伙）、北京华盖创富壹号股权投资合伙企业（有限合伙）将其所持有的</w:t>
      </w:r>
      <w:r>
        <w:rPr>
          <w:color w:val="000000"/>
          <w:spacing w:val="0"/>
          <w:w w:val="100"/>
          <w:position w:val="0"/>
          <w:sz w:val="18"/>
          <w:szCs w:val="18"/>
        </w:rPr>
        <w:t>1.4761%</w:t>
      </w:r>
      <w:r>
        <w:rPr>
          <w:color w:val="000000"/>
          <w:spacing w:val="0"/>
          <w:w w:val="100"/>
          <w:position w:val="0"/>
        </w:rPr>
        <w:t>、</w:t>
      </w:r>
      <w:r>
        <w:rPr>
          <w:color w:val="000000"/>
          <w:spacing w:val="0"/>
          <w:w w:val="100"/>
          <w:position w:val="0"/>
          <w:sz w:val="18"/>
          <w:szCs w:val="18"/>
        </w:rPr>
        <w:t xml:space="preserve">1. </w:t>
      </w:r>
      <w:r>
        <w:rPr>
          <w:color w:val="000000"/>
          <w:spacing w:val="0"/>
          <w:w w:val="100"/>
          <w:position w:val="0"/>
          <w:sz w:val="18"/>
          <w:szCs w:val="18"/>
        </w:rPr>
        <w:t>1707%</w:t>
      </w:r>
      <w:r>
        <w:rPr>
          <w:color w:val="000000"/>
          <w:spacing w:val="0"/>
          <w:w w:val="100"/>
          <w:position w:val="0"/>
        </w:rPr>
        <w:t>股权分别 转让给新股东福州经济技术开发区兴睿永瀛股权投资合伙企业（有限合伙）；原股东宁波云晖景盛投资管理合伙企业（有限 合伙）将其所持有的</w:t>
      </w:r>
      <w:r>
        <w:rPr>
          <w:color w:val="000000"/>
          <w:spacing w:val="0"/>
          <w:w w:val="100"/>
          <w:position w:val="0"/>
          <w:sz w:val="18"/>
          <w:szCs w:val="18"/>
        </w:rPr>
        <w:t>2.4524%</w:t>
      </w:r>
      <w:r>
        <w:rPr>
          <w:color w:val="000000"/>
          <w:spacing w:val="0"/>
          <w:w w:val="100"/>
          <w:position w:val="0"/>
        </w:rPr>
        <w:t>股权转让给新股东青岛观岫投资管理合伙企业（有限合伙）；原股东深圳银信宝源投资基金管 理有限公司将其所持有的</w:t>
      </w:r>
      <w:r>
        <w:rPr>
          <w:color w:val="000000"/>
          <w:spacing w:val="0"/>
          <w:w w:val="100"/>
          <w:position w:val="0"/>
          <w:sz w:val="18"/>
          <w:szCs w:val="18"/>
        </w:rPr>
        <w:t>0.4767%</w:t>
      </w:r>
      <w:r>
        <w:rPr>
          <w:color w:val="000000"/>
          <w:spacing w:val="0"/>
          <w:w w:val="100"/>
          <w:position w:val="0"/>
        </w:rPr>
        <w:t>、</w:t>
      </w:r>
      <w:r>
        <w:rPr>
          <w:color w:val="000000"/>
          <w:spacing w:val="0"/>
          <w:w w:val="100"/>
          <w:position w:val="0"/>
          <w:sz w:val="18"/>
          <w:szCs w:val="18"/>
        </w:rPr>
        <w:t xml:space="preserve">0. </w:t>
      </w:r>
      <w:r>
        <w:rPr>
          <w:color w:val="000000"/>
          <w:spacing w:val="0"/>
          <w:w w:val="100"/>
          <w:position w:val="0"/>
          <w:sz w:val="18"/>
          <w:szCs w:val="18"/>
        </w:rPr>
        <w:t>8150%</w:t>
      </w:r>
      <w:r>
        <w:rPr>
          <w:color w:val="000000"/>
          <w:spacing w:val="0"/>
          <w:w w:val="100"/>
          <w:position w:val="0"/>
        </w:rPr>
        <w:t>股权分别转让给新股东纳维投资（赣州）合伙企业（有限合伙）、奇亓乂弈城市 科技（天津）合伙企业（有限合伙）；原股东</w:t>
      </w:r>
      <w:r>
        <w:rPr>
          <w:color w:val="000000"/>
          <w:spacing w:val="0"/>
          <w:w w:val="100"/>
          <w:position w:val="0"/>
          <w:sz w:val="18"/>
          <w:szCs w:val="18"/>
        </w:rPr>
        <w:t>CEL Cherish Limited</w:t>
      </w:r>
      <w:r>
        <w:rPr>
          <w:color w:val="000000"/>
          <w:spacing w:val="0"/>
          <w:w w:val="100"/>
          <w:position w:val="0"/>
        </w:rPr>
        <w:t>将其持有的</w:t>
      </w:r>
      <w:r>
        <w:rPr>
          <w:color w:val="000000"/>
          <w:spacing w:val="0"/>
          <w:w w:val="100"/>
          <w:position w:val="0"/>
          <w:sz w:val="18"/>
          <w:szCs w:val="18"/>
        </w:rPr>
        <w:t>0.6197%</w:t>
      </w:r>
      <w:r>
        <w:rPr>
          <w:color w:val="000000"/>
          <w:spacing w:val="0"/>
          <w:w w:val="100"/>
          <w:position w:val="0"/>
        </w:rPr>
        <w:t>、</w:t>
      </w:r>
      <w:r>
        <w:rPr>
          <w:color w:val="000000"/>
          <w:spacing w:val="0"/>
          <w:w w:val="100"/>
          <w:position w:val="0"/>
          <w:sz w:val="18"/>
          <w:szCs w:val="18"/>
        </w:rPr>
        <w:t>0.1859%</w:t>
      </w:r>
      <w:r>
        <w:rPr>
          <w:color w:val="000000"/>
          <w:spacing w:val="0"/>
          <w:w w:val="100"/>
          <w:position w:val="0"/>
        </w:rPr>
        <w:t>、</w:t>
      </w:r>
      <w:r>
        <w:rPr>
          <w:color w:val="000000"/>
          <w:spacing w:val="0"/>
          <w:w w:val="100"/>
          <w:position w:val="0"/>
          <w:sz w:val="18"/>
          <w:szCs w:val="18"/>
        </w:rPr>
        <w:t xml:space="preserve">0. </w:t>
      </w:r>
      <w:r>
        <w:rPr>
          <w:color w:val="000000"/>
          <w:spacing w:val="0"/>
          <w:w w:val="100"/>
          <w:position w:val="0"/>
          <w:sz w:val="18"/>
          <w:szCs w:val="18"/>
        </w:rPr>
        <w:t>8056%</w:t>
      </w:r>
      <w:r>
        <w:rPr>
          <w:color w:val="000000"/>
          <w:spacing w:val="0"/>
          <w:w w:val="100"/>
          <w:position w:val="0"/>
        </w:rPr>
        <w:t>股权转让给新股 东珠海市光远创富投资中心（有限合伙）、深圳光远通慧创业投资合伙企业（有限合伙）、</w:t>
      </w:r>
      <w:r>
        <w:rPr>
          <w:color w:val="000000"/>
          <w:spacing w:val="0"/>
          <w:w w:val="100"/>
          <w:position w:val="0"/>
          <w:sz w:val="18"/>
          <w:szCs w:val="18"/>
        </w:rPr>
        <w:t>CHINA EVERBRIGHT FINANCIAL INVESTMENTS LIMITED</w:t>
      </w:r>
      <w:r>
        <w:rPr>
          <w:color w:val="000000"/>
          <w:spacing w:val="0"/>
          <w:w w:val="100"/>
          <w:position w:val="0"/>
        </w:rPr>
        <w:t>。</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27</w:t>
      </w:r>
      <w:r>
        <w:rPr>
          <w:color w:val="000000"/>
          <w:spacing w:val="0"/>
          <w:w w:val="100"/>
          <w:position w:val="0"/>
        </w:rPr>
        <w:t>日完成工商变更登记，变更后各股东出资情况如下：</w:t>
      </w:r>
    </w:p>
    <w:tbl>
      <w:tblPr>
        <w:tblOverlap w:val="never"/>
        <w:jc w:val="center"/>
        <w:tblLayout w:type="fixed"/>
      </w:tblPr>
      <w:tblGrid>
        <w:gridCol w:w="787"/>
        <w:gridCol w:w="4334"/>
        <w:gridCol w:w="1978"/>
        <w:gridCol w:w="1152"/>
        <w:gridCol w:w="145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出资金额（万美元）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出资方式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出资比例（%）</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1,076.6398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w:t>
            </w:r>
            <w:r>
              <w:rPr>
                <w:color w:val="000000"/>
                <w:spacing w:val="0"/>
                <w:w w:val="100"/>
                <w:position w:val="0"/>
                <w:sz w:val="18"/>
                <w:szCs w:val="18"/>
              </w:rPr>
              <w:t>9450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439.5320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11.4084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舟山长通投资合伙企业（有限合伙）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226.8750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 </w:t>
            </w:r>
            <w:r>
              <w:rPr>
                <w:color w:val="000000"/>
                <w:spacing w:val="0"/>
                <w:w w:val="100"/>
                <w:position w:val="0"/>
                <w:sz w:val="18"/>
                <w:szCs w:val="18"/>
              </w:rPr>
              <w:t>8887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无锡软石智动资产管理企业（有限合伙）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220.0848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 </w:t>
            </w:r>
            <w:r>
              <w:rPr>
                <w:color w:val="000000"/>
                <w:spacing w:val="0"/>
                <w:w w:val="100"/>
                <w:position w:val="0"/>
                <w:sz w:val="18"/>
                <w:szCs w:val="18"/>
              </w:rPr>
              <w:t>7125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 (HK)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216.2809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5. </w:t>
            </w:r>
            <w:r>
              <w:rPr>
                <w:color w:val="000000"/>
                <w:spacing w:val="0"/>
                <w:w w:val="100"/>
                <w:position w:val="0"/>
                <w:sz w:val="18"/>
                <w:szCs w:val="18"/>
              </w:rPr>
              <w:t>6137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187.3130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4. </w:t>
            </w:r>
            <w:r>
              <w:rPr>
                <w:color w:val="000000"/>
                <w:spacing w:val="0"/>
                <w:w w:val="100"/>
                <w:position w:val="0"/>
                <w:sz w:val="18"/>
                <w:szCs w:val="18"/>
              </w:rPr>
              <w:t>8619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上海云锋麟泰投资中心（有限合伙）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149.8171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 </w:t>
            </w:r>
            <w:r>
              <w:rPr>
                <w:color w:val="000000"/>
                <w:spacing w:val="0"/>
                <w:w w:val="100"/>
                <w:position w:val="0"/>
                <w:sz w:val="18"/>
                <w:szCs w:val="18"/>
              </w:rPr>
              <w:t>8886</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福州经济技术开发区兴睿永瀛股权投资合伙企业（有限 合伙）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110.1965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 </w:t>
            </w:r>
            <w:r>
              <w:rPr>
                <w:color w:val="000000"/>
                <w:spacing w:val="0"/>
                <w:w w:val="100"/>
                <w:position w:val="0"/>
                <w:sz w:val="18"/>
                <w:szCs w:val="18"/>
              </w:rPr>
              <w:t>8602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100.0889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 </w:t>
            </w:r>
            <w:r>
              <w:rPr>
                <w:color w:val="000000"/>
                <w:spacing w:val="0"/>
                <w:w w:val="100"/>
                <w:position w:val="0"/>
                <w:sz w:val="18"/>
                <w:szCs w:val="18"/>
              </w:rPr>
              <w:t>5979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青岛学而民和投资中心（有限合伙）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94.5313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 </w:t>
            </w:r>
            <w:r>
              <w:rPr>
                <w:color w:val="000000"/>
                <w:spacing w:val="0"/>
                <w:w w:val="100"/>
                <w:position w:val="0"/>
                <w:sz w:val="18"/>
                <w:szCs w:val="18"/>
              </w:rPr>
              <w:t>4536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青岛观岫投资管理合伙企业（有限合伙）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94.4829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 </w:t>
            </w:r>
            <w:r>
              <w:rPr>
                <w:color w:val="000000"/>
                <w:spacing w:val="0"/>
                <w:w w:val="100"/>
                <w:position w:val="0"/>
                <w:sz w:val="18"/>
                <w:szCs w:val="18"/>
              </w:rPr>
              <w:t>4524</w:t>
            </w:r>
          </w:p>
        </w:tc>
      </w:tr>
      <w:tr>
        <w:trPr>
          <w:trHeight w:val="66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深圳市红土长城中通股权投资基金合伙企业（有限合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83.5318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 </w:t>
            </w:r>
            <w:r>
              <w:rPr>
                <w:color w:val="000000"/>
                <w:spacing w:val="0"/>
                <w:w w:val="100"/>
                <w:position w:val="0"/>
                <w:sz w:val="18"/>
                <w:szCs w:val="18"/>
              </w:rPr>
              <w:t>1681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深圳市达晨创联股权投资基金合伙企业（有限合伙）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50.7384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 </w:t>
            </w:r>
            <w:r>
              <w:rPr>
                <w:color w:val="000000"/>
                <w:spacing w:val="0"/>
                <w:w w:val="100"/>
                <w:position w:val="0"/>
                <w:sz w:val="18"/>
                <w:szCs w:val="18"/>
              </w:rPr>
              <w:t>3170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 </w:t>
            </w:r>
            <w:r>
              <w:rPr>
                <w:color w:val="000000"/>
                <w:spacing w:val="0"/>
                <w:w w:val="100"/>
                <w:position w:val="0"/>
                <w:sz w:val="18"/>
                <w:szCs w:val="18"/>
              </w:rPr>
              <w:t>2989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 </w:t>
            </w:r>
            <w:r>
              <w:rPr>
                <w:color w:val="000000"/>
                <w:spacing w:val="0"/>
                <w:w w:val="100"/>
                <w:position w:val="0"/>
                <w:sz w:val="18"/>
                <w:szCs w:val="18"/>
              </w:rPr>
              <w:t>2989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北京渤海华盖股权投资合伙企业（有限合伙）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50.0444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 </w:t>
            </w:r>
            <w:r>
              <w:rPr>
                <w:color w:val="000000"/>
                <w:spacing w:val="0"/>
                <w:w w:val="100"/>
                <w:position w:val="0"/>
                <w:sz w:val="18"/>
                <w:szCs w:val="18"/>
              </w:rPr>
              <w:t>2989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领富中国投资有限公司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44.5487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 </w:t>
            </w:r>
            <w:r>
              <w:rPr>
                <w:color w:val="000000"/>
                <w:spacing w:val="0"/>
                <w:w w:val="100"/>
                <w:position w:val="0"/>
                <w:sz w:val="18"/>
                <w:szCs w:val="18"/>
              </w:rPr>
              <w:t>1563</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无锡软石创新六号资产管理企业（有限合伙）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43.7739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1362</w:t>
            </w:r>
          </w:p>
        </w:tc>
      </w:tr>
    </w:tbl>
    <w:p>
      <w:pPr>
        <w:widowControl w:val="0"/>
        <w:spacing w:line="1" w:lineRule="exact"/>
      </w:pPr>
      <w:r>
        <w:br w:type="page"/>
      </w:r>
    </w:p>
    <w:tbl>
      <w:tblPr>
        <w:tblOverlap w:val="never"/>
        <w:jc w:val="center"/>
        <w:tblLayout w:type="fixed"/>
      </w:tblPr>
      <w:tblGrid>
        <w:gridCol w:w="787"/>
        <w:gridCol w:w="4334"/>
        <w:gridCol w:w="1978"/>
        <w:gridCol w:w="1152"/>
        <w:gridCol w:w="1450"/>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宁波天时仁合股权投资合伙企业（有限合伙）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43.6403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w:t>
            </w:r>
            <w:r>
              <w:rPr>
                <w:color w:val="000000"/>
                <w:spacing w:val="0"/>
                <w:w w:val="100"/>
                <w:position w:val="0"/>
                <w:sz w:val="18"/>
                <w:szCs w:val="18"/>
              </w:rPr>
              <w:t>1327</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上海金浦信诚移动互联股权投资基金合伙企业（有限合 伙）</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38.2962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9940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珠海寅虎四方投资合伙企业（有限合伙）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37.8125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9815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36.0320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9352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上饶市天数通投资管理中心（有限合伙）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35.7189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9271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32.4790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8430</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31.8095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8256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奇亓乂弈城市科技天津合伙企业（有限合伙）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31.3981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8150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CHINA EVERBRIGHT FINANCIAL INVESTMENTS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31.0373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8056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北京华盖创富壹号股权投资合伙企业（有限合伙）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31.0316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8054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赣州旭荣投资合伙企业（有限合伙）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25.0222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6495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上海安旻通煜投资中心（有限合伙）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24.8018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6438</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珠海市光远创富投资中心（有限合伙）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23.8759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6197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21.0408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5461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纳维投资（赣州）合伙企业（有限合伙）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18.3661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4767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西藏腾云投资管理有限公司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16.1587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0.4194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深圳市安鑫二号投资管理企业（有限合伙）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14.9355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3877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安徽高新毅达皖江产业发展创业投资基金（有限合伙）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12.2318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3175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江苏省现代服务业发展创业投资基金（有限合伙）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12.2318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3175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江苏紫金文化产业二期创业投资基金（有限合伙）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12.2318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3175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宁波梅山保税港区寅虎伍号投资合伙企业（有限合伙）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11.3438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2944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珠海臻泰大靖创新投资企业（有限合伙）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2516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深圳光远通慧创业投资合伙企业（有限合伙）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1859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深圳市罗湖红土创业投资有限公司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0. </w:t>
            </w:r>
            <w:r>
              <w:rPr>
                <w:color w:val="000000"/>
                <w:spacing w:val="0"/>
                <w:w w:val="100"/>
                <w:position w:val="0"/>
                <w:sz w:val="18"/>
                <w:szCs w:val="18"/>
              </w:rPr>
              <w:t>1504</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3,852.7058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sz w:val="18"/>
          <w:szCs w:val="18"/>
        </w:rPr>
        <w:t>21</w:t>
      </w:r>
      <w:r>
        <w:rPr>
          <w:color w:val="000000"/>
          <w:spacing w:val="0"/>
          <w:w w:val="100"/>
          <w:position w:val="0"/>
        </w:rPr>
        <w:t>.以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日为基准日进行股改情况</w:t>
      </w:r>
    </w:p>
    <w:p>
      <w:pPr>
        <w:pStyle w:val="Style22"/>
        <w:keepNext w:val="0"/>
        <w:keepLines w:val="0"/>
        <w:widowControl w:val="0"/>
        <w:shd w:val="clear" w:color="auto" w:fill="auto"/>
        <w:bidi w:val="0"/>
        <w:spacing w:before="0" w:after="60" w:line="312" w:lineRule="exact"/>
        <w:ind w:left="0" w:right="0" w:firstLine="44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日，经软通动力公司董事会决议同意，以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日为基准日，采用整体变更方式设立变更为股份有 限公司。将软通动力公司截至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日经审计的净资产</w:t>
      </w:r>
      <w:r>
        <w:rPr>
          <w:color w:val="000000"/>
          <w:spacing w:val="0"/>
          <w:w w:val="100"/>
          <w:position w:val="0"/>
          <w:sz w:val="18"/>
          <w:szCs w:val="18"/>
        </w:rPr>
        <w:t xml:space="preserve">2, 426, 561, </w:t>
      </w:r>
      <w:r>
        <w:rPr>
          <w:color w:val="000000"/>
          <w:spacing w:val="0"/>
          <w:w w:val="100"/>
          <w:position w:val="0"/>
          <w:sz w:val="18"/>
          <w:szCs w:val="18"/>
        </w:rPr>
        <w:t xml:space="preserve">876. </w:t>
      </w:r>
      <w:r>
        <w:rPr>
          <w:color w:val="000000"/>
          <w:spacing w:val="0"/>
          <w:w w:val="100"/>
          <w:position w:val="0"/>
          <w:sz w:val="18"/>
          <w:szCs w:val="18"/>
        </w:rPr>
        <w:t>02</w:t>
      </w:r>
      <w:r>
        <w:rPr>
          <w:color w:val="000000"/>
          <w:spacing w:val="0"/>
          <w:w w:val="100"/>
          <w:position w:val="0"/>
        </w:rPr>
        <w:t>元（评估值</w:t>
      </w:r>
      <w:r>
        <w:rPr>
          <w:color w:val="000000"/>
          <w:spacing w:val="0"/>
          <w:w w:val="100"/>
          <w:position w:val="0"/>
          <w:sz w:val="18"/>
          <w:szCs w:val="18"/>
        </w:rPr>
        <w:t xml:space="preserve">395, </w:t>
      </w:r>
      <w:r>
        <w:rPr>
          <w:color w:val="000000"/>
          <w:spacing w:val="0"/>
          <w:w w:val="100"/>
          <w:position w:val="0"/>
          <w:sz w:val="18"/>
          <w:szCs w:val="18"/>
        </w:rPr>
        <w:t xml:space="preserve">500. </w:t>
      </w:r>
      <w:r>
        <w:rPr>
          <w:color w:val="000000"/>
          <w:spacing w:val="0"/>
          <w:w w:val="100"/>
          <w:position w:val="0"/>
          <w:sz w:val="18"/>
          <w:szCs w:val="18"/>
        </w:rPr>
        <w:t>84</w:t>
      </w:r>
      <w:r>
        <w:rPr>
          <w:color w:val="000000"/>
          <w:spacing w:val="0"/>
          <w:w w:val="100"/>
          <w:position w:val="0"/>
        </w:rPr>
        <w:t>万元）折合</w:t>
      </w:r>
      <w:r>
        <w:rPr>
          <w:color w:val="000000"/>
          <w:spacing w:val="0"/>
          <w:w w:val="100"/>
          <w:position w:val="0"/>
          <w:sz w:val="18"/>
          <w:szCs w:val="18"/>
        </w:rPr>
        <w:t>36,000</w:t>
      </w:r>
      <w:r>
        <w:rPr>
          <w:color w:val="000000"/>
          <w:spacing w:val="0"/>
          <w:w w:val="100"/>
          <w:position w:val="0"/>
        </w:rPr>
        <w:t>万股 份（每股面值</w:t>
      </w:r>
      <w:r>
        <w:rPr>
          <w:color w:val="000000"/>
          <w:spacing w:val="0"/>
          <w:w w:val="100"/>
          <w:position w:val="0"/>
          <w:sz w:val="18"/>
          <w:szCs w:val="18"/>
        </w:rPr>
        <w:t>1</w:t>
      </w:r>
      <w:r>
        <w:rPr>
          <w:color w:val="000000"/>
          <w:spacing w:val="0"/>
          <w:w w:val="100"/>
          <w:position w:val="0"/>
        </w:rPr>
        <w:t>元），折余金额</w:t>
      </w:r>
      <w:r>
        <w:rPr>
          <w:color w:val="000000"/>
          <w:spacing w:val="0"/>
          <w:w w:val="100"/>
          <w:position w:val="0"/>
          <w:sz w:val="18"/>
          <w:szCs w:val="18"/>
        </w:rPr>
        <w:t xml:space="preserve">2, 066, 561, </w:t>
      </w:r>
      <w:r>
        <w:rPr>
          <w:color w:val="000000"/>
          <w:spacing w:val="0"/>
          <w:w w:val="100"/>
          <w:position w:val="0"/>
          <w:sz w:val="18"/>
          <w:szCs w:val="18"/>
        </w:rPr>
        <w:t xml:space="preserve">876. </w:t>
      </w:r>
      <w:r>
        <w:rPr>
          <w:color w:val="000000"/>
          <w:spacing w:val="0"/>
          <w:w w:val="100"/>
          <w:position w:val="0"/>
          <w:sz w:val="18"/>
          <w:szCs w:val="18"/>
        </w:rPr>
        <w:t>02</w:t>
      </w:r>
      <w:r>
        <w:rPr>
          <w:color w:val="000000"/>
          <w:spacing w:val="0"/>
          <w:w w:val="100"/>
          <w:position w:val="0"/>
        </w:rPr>
        <w:t>元计入资本公积。</w:t>
      </w:r>
    </w:p>
    <w:p>
      <w:pPr>
        <w:pStyle w:val="Style29"/>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整体变更后，本公司股本</w:t>
      </w:r>
      <w:r>
        <w:rPr>
          <w:color w:val="000000"/>
          <w:spacing w:val="0"/>
          <w:w w:val="100"/>
          <w:position w:val="0"/>
          <w:sz w:val="18"/>
          <w:szCs w:val="18"/>
        </w:rPr>
        <w:t xml:space="preserve">36,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万元。本次变更业经北京中天华茂会计师事务所（普通合伙）于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日出具“中 天华茂验字</w:t>
      </w:r>
      <w:r>
        <w:rPr>
          <w:color w:val="000000"/>
          <w:spacing w:val="0"/>
          <w:w w:val="100"/>
          <w:position w:val="0"/>
          <w:sz w:val="18"/>
          <w:szCs w:val="18"/>
        </w:rPr>
        <w:t>[2020]003</w:t>
      </w:r>
      <w:r>
        <w:rPr>
          <w:color w:val="000000"/>
          <w:spacing w:val="0"/>
          <w:w w:val="100"/>
          <w:position w:val="0"/>
        </w:rPr>
        <w:t>号”验资报告予以验证。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11</w:t>
      </w:r>
      <w:r>
        <w:rPr>
          <w:color w:val="000000"/>
          <w:spacing w:val="0"/>
          <w:w w:val="100"/>
          <w:position w:val="0"/>
        </w:rPr>
        <w:t>日在北京市市场监督管理局海淀分局登记注册，变更后公司股份 结构如下：</w:t>
      </w:r>
    </w:p>
    <w:tbl>
      <w:tblPr>
        <w:tblOverlap w:val="never"/>
        <w:jc w:val="center"/>
        <w:tblLayout w:type="fixed"/>
      </w:tblPr>
      <w:tblGrid>
        <w:gridCol w:w="893"/>
        <w:gridCol w:w="5314"/>
        <w:gridCol w:w="1718"/>
        <w:gridCol w:w="177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股本（元）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股权比例（%）</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100, 602, </w:t>
            </w:r>
            <w:r>
              <w:rPr>
                <w:color w:val="000000"/>
                <w:spacing w:val="0"/>
                <w:w w:val="100"/>
                <w:position w:val="0"/>
                <w:sz w:val="18"/>
                <w:szCs w:val="18"/>
              </w:rPr>
              <w:t xml:space="preserve">111.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27.9450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CEL Bravo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41,070, </w:t>
            </w:r>
            <w:r>
              <w:rPr>
                <w:color w:val="000000"/>
                <w:spacing w:val="0"/>
                <w:w w:val="100"/>
                <w:position w:val="0"/>
                <w:sz w:val="18"/>
                <w:szCs w:val="18"/>
              </w:rPr>
              <w:t>232.00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11.4084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舟山长通投资合伙企业（有限合伙）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21,199, </w:t>
            </w:r>
            <w:r>
              <w:rPr>
                <w:color w:val="000000"/>
                <w:spacing w:val="0"/>
                <w:w w:val="100"/>
                <w:position w:val="0"/>
                <w:sz w:val="18"/>
                <w:szCs w:val="18"/>
              </w:rPr>
              <w:t>387.00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5.8887</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无锡软石智动投资企业（有限合伙）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20, 564, </w:t>
            </w:r>
            <w:r>
              <w:rPr>
                <w:color w:val="000000"/>
                <w:spacing w:val="0"/>
                <w:w w:val="100"/>
                <w:position w:val="0"/>
                <w:sz w:val="18"/>
                <w:szCs w:val="18"/>
              </w:rPr>
              <w:t>905.00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5.7125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FNOF Easynet(HK)Limited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20, </w:t>
            </w:r>
            <w:r>
              <w:rPr>
                <w:color w:val="000000"/>
                <w:spacing w:val="0"/>
                <w:w w:val="100"/>
                <w:position w:val="0"/>
                <w:sz w:val="18"/>
                <w:szCs w:val="18"/>
              </w:rPr>
              <w:t>209,465.00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5.6137</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晋汇国际（香港）有限公司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17, 502, </w:t>
            </w:r>
            <w:r>
              <w:rPr>
                <w:color w:val="000000"/>
                <w:spacing w:val="0"/>
                <w:w w:val="100"/>
                <w:position w:val="0"/>
                <w:sz w:val="18"/>
                <w:szCs w:val="18"/>
              </w:rPr>
              <w:t>681.00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4.8619</w:t>
            </w:r>
          </w:p>
        </w:tc>
      </w:tr>
    </w:tbl>
    <w:p>
      <w:pPr>
        <w:widowControl w:val="0"/>
        <w:spacing w:line="1" w:lineRule="exact"/>
      </w:pPr>
      <w:r>
        <w:br w:type="page"/>
      </w:r>
    </w:p>
    <w:tbl>
      <w:tblPr>
        <w:tblOverlap w:val="never"/>
        <w:jc w:val="center"/>
        <w:tblLayout w:type="fixed"/>
      </w:tblPr>
      <w:tblGrid>
        <w:gridCol w:w="893"/>
        <w:gridCol w:w="5314"/>
        <w:gridCol w:w="1718"/>
        <w:gridCol w:w="1776"/>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上海云锋麒泰投资中心（有限合伙）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13, 999, </w:t>
            </w:r>
            <w:r>
              <w:rPr>
                <w:color w:val="000000"/>
                <w:spacing w:val="0"/>
                <w:w w:val="100"/>
                <w:position w:val="0"/>
                <w:sz w:val="18"/>
                <w:szCs w:val="18"/>
              </w:rPr>
              <w:t>033.00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3.8886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福州经济技术开发区兴睿永瀛股权投资合伙企业（有限合伙）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10, 296, </w:t>
            </w:r>
            <w:r>
              <w:rPr>
                <w:color w:val="000000"/>
                <w:spacing w:val="0"/>
                <w:w w:val="100"/>
                <w:position w:val="0"/>
                <w:sz w:val="18"/>
                <w:szCs w:val="18"/>
              </w:rPr>
              <w:t>852.00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2.8602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春华秋实（天津）股权投资合伙企业（有限合伙）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9, 352, </w:t>
            </w:r>
            <w:r>
              <w:rPr>
                <w:color w:val="000000"/>
                <w:spacing w:val="0"/>
                <w:w w:val="100"/>
                <w:position w:val="0"/>
                <w:sz w:val="18"/>
                <w:szCs w:val="18"/>
              </w:rPr>
              <w:t xml:space="preserve">389.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2.5979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青岛学而民和投资中心（有限合伙）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8, 833, </w:t>
            </w:r>
            <w:r>
              <w:rPr>
                <w:color w:val="000000"/>
                <w:spacing w:val="0"/>
                <w:w w:val="100"/>
                <w:position w:val="0"/>
                <w:sz w:val="18"/>
                <w:szCs w:val="18"/>
              </w:rPr>
              <w:t xml:space="preserve">082.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2.4536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青岛观岫投资管理合伙企业（有限合伙）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8, 828, </w:t>
            </w:r>
            <w:r>
              <w:rPr>
                <w:color w:val="000000"/>
                <w:spacing w:val="0"/>
                <w:w w:val="100"/>
                <w:position w:val="0"/>
                <w:sz w:val="18"/>
                <w:szCs w:val="18"/>
              </w:rPr>
              <w:t xml:space="preserve">560.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2.4524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深圳市红土长城中通股权投资基金合伙企业（有限合伙）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7, 805, </w:t>
            </w:r>
            <w:r>
              <w:rPr>
                <w:color w:val="000000"/>
                <w:spacing w:val="0"/>
                <w:w w:val="100"/>
                <w:position w:val="0"/>
                <w:sz w:val="18"/>
                <w:szCs w:val="18"/>
              </w:rPr>
              <w:t xml:space="preserve">280.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2.1681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深圳市达晨创联股权投资基金合伙企业（有限合伙）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 </w:t>
            </w:r>
            <w:r>
              <w:rPr>
                <w:color w:val="000000"/>
                <w:spacing w:val="0"/>
                <w:w w:val="100"/>
                <w:position w:val="0"/>
                <w:sz w:val="18"/>
                <w:szCs w:val="18"/>
              </w:rPr>
              <w:t>741,038.00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1.3170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上海易方达合臻投资中心（有限合伙）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4, 676, </w:t>
            </w:r>
            <w:r>
              <w:rPr>
                <w:color w:val="000000"/>
                <w:spacing w:val="0"/>
                <w:w w:val="100"/>
                <w:position w:val="0"/>
                <w:sz w:val="18"/>
                <w:szCs w:val="18"/>
              </w:rPr>
              <w:t xml:space="preserve">190.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1.2989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北京渤海华盖股权投资合伙企业（有限合伙）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4, 676, </w:t>
            </w:r>
            <w:r>
              <w:rPr>
                <w:color w:val="000000"/>
                <w:spacing w:val="0"/>
                <w:w w:val="100"/>
                <w:position w:val="0"/>
                <w:sz w:val="18"/>
                <w:szCs w:val="18"/>
              </w:rPr>
              <w:t xml:space="preserve">190.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1.2989</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上海华晟领势创业投资合伙企业（有限合伙）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4, 676, </w:t>
            </w:r>
            <w:r>
              <w:rPr>
                <w:color w:val="000000"/>
                <w:spacing w:val="0"/>
                <w:w w:val="100"/>
                <w:position w:val="0"/>
                <w:sz w:val="18"/>
                <w:szCs w:val="18"/>
              </w:rPr>
              <w:t xml:space="preserve">190.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1.2989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领富中国投资有限公司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4, 162, </w:t>
            </w:r>
            <w:r>
              <w:rPr>
                <w:color w:val="000000"/>
                <w:spacing w:val="0"/>
                <w:w w:val="100"/>
                <w:position w:val="0"/>
                <w:sz w:val="18"/>
                <w:szCs w:val="18"/>
              </w:rPr>
              <w:t xml:space="preserve">667.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1.1563</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无锡软石创新六号投资企业（有限合伙）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4, 090, </w:t>
            </w:r>
            <w:r>
              <w:rPr>
                <w:color w:val="000000"/>
                <w:spacing w:val="0"/>
                <w:w w:val="100"/>
                <w:position w:val="0"/>
                <w:sz w:val="18"/>
                <w:szCs w:val="18"/>
              </w:rPr>
              <w:t xml:space="preserve">269.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1.1362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宁波天时仁合股权投资合伙企业（有限合伙）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4, 077, </w:t>
            </w:r>
            <w:r>
              <w:rPr>
                <w:color w:val="000000"/>
                <w:spacing w:val="0"/>
                <w:w w:val="100"/>
                <w:position w:val="0"/>
                <w:sz w:val="18"/>
                <w:szCs w:val="18"/>
              </w:rPr>
              <w:t xml:space="preserve">786.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1.1327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上海金浦信诚移动互联股权投资基金合伙企业（有限合伙）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3, 578, </w:t>
            </w:r>
            <w:r>
              <w:rPr>
                <w:color w:val="000000"/>
                <w:spacing w:val="0"/>
                <w:w w:val="100"/>
                <w:position w:val="0"/>
                <w:sz w:val="18"/>
                <w:szCs w:val="18"/>
              </w:rPr>
              <w:t xml:space="preserve">428.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0.9940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珠海寅虎四方投资合伙企业（有限合伙）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3, 533, </w:t>
            </w:r>
            <w:r>
              <w:rPr>
                <w:color w:val="000000"/>
                <w:spacing w:val="0"/>
                <w:w w:val="100"/>
                <w:position w:val="0"/>
                <w:sz w:val="18"/>
                <w:szCs w:val="18"/>
              </w:rPr>
              <w:t>231.00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0.9815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境外合伙人（香港）有限公司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3, 366, </w:t>
            </w:r>
            <w:r>
              <w:rPr>
                <w:color w:val="000000"/>
                <w:spacing w:val="0"/>
                <w:w w:val="100"/>
                <w:position w:val="0"/>
                <w:sz w:val="18"/>
                <w:szCs w:val="18"/>
              </w:rPr>
              <w:t xml:space="preserve">860.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0.9352</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上饶市天数通投资管理中心（有限合伙）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3, 337, </w:t>
            </w:r>
            <w:r>
              <w:rPr>
                <w:color w:val="000000"/>
                <w:spacing w:val="0"/>
                <w:w w:val="100"/>
                <w:position w:val="0"/>
                <w:sz w:val="18"/>
                <w:szCs w:val="18"/>
              </w:rPr>
              <w:t xml:space="preserve">603.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0.9271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3, 034, </w:t>
            </w:r>
            <w:r>
              <w:rPr>
                <w:color w:val="000000"/>
                <w:spacing w:val="0"/>
                <w:w w:val="100"/>
                <w:position w:val="0"/>
                <w:sz w:val="18"/>
                <w:szCs w:val="18"/>
              </w:rPr>
              <w:t xml:space="preserve">864.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0.8430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VENTUROUS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2, 972, </w:t>
            </w:r>
            <w:r>
              <w:rPr>
                <w:color w:val="000000"/>
                <w:spacing w:val="0"/>
                <w:w w:val="100"/>
                <w:position w:val="0"/>
                <w:sz w:val="18"/>
                <w:szCs w:val="18"/>
              </w:rPr>
              <w:t xml:space="preserve">306.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0.8256</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奇亓乂弈城市科技（天津）合伙企业（有限合伙）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2, 933, </w:t>
            </w:r>
            <w:r>
              <w:rPr>
                <w:color w:val="000000"/>
                <w:spacing w:val="0"/>
                <w:w w:val="100"/>
                <w:position w:val="0"/>
                <w:sz w:val="18"/>
                <w:szCs w:val="18"/>
              </w:rPr>
              <w:t xml:space="preserve">864.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0.8150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CHINA EVERBRIGHT FINANCIAL INVESTMENTS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2, 900, </w:t>
            </w:r>
            <w:r>
              <w:rPr>
                <w:color w:val="000000"/>
                <w:spacing w:val="0"/>
                <w:w w:val="100"/>
                <w:position w:val="0"/>
                <w:sz w:val="18"/>
                <w:szCs w:val="18"/>
              </w:rPr>
              <w:t xml:space="preserve">151.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0.8056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北京华盖创富壹号股权投资合伙企业（有限合伙）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 </w:t>
            </w:r>
            <w:r>
              <w:rPr>
                <w:color w:val="000000"/>
                <w:spacing w:val="0"/>
                <w:w w:val="100"/>
                <w:position w:val="0"/>
                <w:sz w:val="18"/>
                <w:szCs w:val="18"/>
              </w:rPr>
              <w:t>899,618.00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0.8054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赣州旭荣投资合伙企业（有限合伙）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2, 338, </w:t>
            </w:r>
            <w:r>
              <w:rPr>
                <w:color w:val="000000"/>
                <w:spacing w:val="0"/>
                <w:w w:val="100"/>
                <w:position w:val="0"/>
                <w:sz w:val="18"/>
                <w:szCs w:val="18"/>
              </w:rPr>
              <w:t xml:space="preserve">095.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0.6495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上海安旻通煜投资中心（有限合伙）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2,317, </w:t>
            </w:r>
            <w:r>
              <w:rPr>
                <w:color w:val="000000"/>
                <w:spacing w:val="0"/>
                <w:w w:val="100"/>
                <w:position w:val="0"/>
                <w:sz w:val="18"/>
                <w:szCs w:val="18"/>
              </w:rPr>
              <w:t xml:space="preserve">501.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0.6438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珠海市光远创富投资中心（有限合伙）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2, 230, </w:t>
            </w:r>
            <w:r>
              <w:rPr>
                <w:color w:val="000000"/>
                <w:spacing w:val="0"/>
                <w:w w:val="100"/>
                <w:position w:val="0"/>
                <w:sz w:val="18"/>
                <w:szCs w:val="18"/>
              </w:rPr>
              <w:t xml:space="preserve">984.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0.6197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班诺（香港）有限公司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070.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0.5461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纳维投资（赣州）合伙企业（有限合伙）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1,716, </w:t>
            </w:r>
            <w:r>
              <w:rPr>
                <w:color w:val="000000"/>
                <w:spacing w:val="0"/>
                <w:w w:val="100"/>
                <w:position w:val="0"/>
                <w:sz w:val="18"/>
                <w:szCs w:val="18"/>
              </w:rPr>
              <w:t>143.00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0.4767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西藏腾云投资管理有限公司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1,509, </w:t>
            </w:r>
            <w:r>
              <w:rPr>
                <w:color w:val="000000"/>
                <w:spacing w:val="0"/>
                <w:w w:val="100"/>
                <w:position w:val="0"/>
                <w:sz w:val="18"/>
                <w:szCs w:val="18"/>
              </w:rPr>
              <w:t xml:space="preserve">882.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0.4194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深圳市安鑫二号投资管理企业（有限合伙）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1,395, </w:t>
            </w:r>
            <w:r>
              <w:rPr>
                <w:color w:val="000000"/>
                <w:spacing w:val="0"/>
                <w:w w:val="100"/>
                <w:position w:val="0"/>
                <w:sz w:val="18"/>
                <w:szCs w:val="18"/>
              </w:rPr>
              <w:t xml:space="preserve">585.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0.3877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江苏紫金文化产业二期创业投资基金（有限合伙）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1, 142, </w:t>
            </w:r>
            <w:r>
              <w:rPr>
                <w:color w:val="000000"/>
                <w:spacing w:val="0"/>
                <w:w w:val="100"/>
                <w:position w:val="0"/>
                <w:sz w:val="18"/>
                <w:szCs w:val="18"/>
              </w:rPr>
              <w:t xml:space="preserve">949.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0.3175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安徽高新毅达皖江产业发展创业投资基金（有限合伙）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1, 142, </w:t>
            </w:r>
            <w:r>
              <w:rPr>
                <w:color w:val="000000"/>
                <w:spacing w:val="0"/>
                <w:w w:val="100"/>
                <w:position w:val="0"/>
                <w:sz w:val="18"/>
                <w:szCs w:val="18"/>
              </w:rPr>
              <w:t xml:space="preserve">949.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0.3175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江苏省现代服务业发展创业投资基金（有限合伙）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1, 142, </w:t>
            </w:r>
            <w:r>
              <w:rPr>
                <w:color w:val="000000"/>
                <w:spacing w:val="0"/>
                <w:w w:val="100"/>
                <w:position w:val="0"/>
                <w:sz w:val="18"/>
                <w:szCs w:val="18"/>
              </w:rPr>
              <w:t xml:space="preserve">949.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0.3175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宁波梅山保税港区寅虎伍号投资合伙企业（有限合伙）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1,059, </w:t>
            </w:r>
            <w:r>
              <w:rPr>
                <w:color w:val="000000"/>
                <w:spacing w:val="0"/>
                <w:w w:val="100"/>
                <w:position w:val="0"/>
                <w:sz w:val="18"/>
                <w:szCs w:val="18"/>
              </w:rPr>
              <w:t xml:space="preserve">974.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0.2944</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珠海臻泰大靖创新投资企业（有限合伙）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905, </w:t>
            </w:r>
            <w:r>
              <w:rPr>
                <w:color w:val="000000"/>
                <w:spacing w:val="0"/>
                <w:w w:val="100"/>
                <w:position w:val="0"/>
                <w:sz w:val="18"/>
                <w:szCs w:val="18"/>
              </w:rPr>
              <w:t xml:space="preserve">937.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0.2516</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深圳光远通慧创业投资合伙企业（有限合伙）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669, </w:t>
            </w:r>
            <w:r>
              <w:rPr>
                <w:color w:val="000000"/>
                <w:spacing w:val="0"/>
                <w:w w:val="100"/>
                <w:position w:val="0"/>
                <w:sz w:val="18"/>
                <w:szCs w:val="18"/>
              </w:rPr>
              <w:t xml:space="preserve">167.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0.1859</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深圳市罗湖红土创业投资有限公司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540, </w:t>
            </w:r>
            <w:r>
              <w:rPr>
                <w:color w:val="000000"/>
                <w:spacing w:val="0"/>
                <w:w w:val="100"/>
                <w:position w:val="0"/>
                <w:sz w:val="18"/>
                <w:szCs w:val="18"/>
              </w:rPr>
              <w:t xml:space="preserve">583.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0.1504</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100.00</w:t>
            </w:r>
          </w:p>
        </w:tc>
      </w:tr>
    </w:tbl>
    <w:p>
      <w:pPr>
        <w:widowControl w:val="0"/>
        <w:spacing w:after="359" w:line="1" w:lineRule="exact"/>
      </w:pPr>
    </w:p>
    <w:p>
      <w:pPr>
        <w:pStyle w:val="Style37"/>
        <w:keepNext/>
        <w:keepLines/>
        <w:widowControl w:val="0"/>
        <w:shd w:val="clear" w:color="auto" w:fill="auto"/>
        <w:bidi w:val="0"/>
        <w:spacing w:before="0" w:after="100" w:line="240" w:lineRule="auto"/>
        <w:ind w:left="0" w:right="0" w:firstLine="44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color w:val="000000"/>
          <w:spacing w:val="0"/>
          <w:w w:val="100"/>
          <w:position w:val="0"/>
        </w:rPr>
        <w:t>三）合并范围</w:t>
      </w:r>
      <w:bookmarkEnd w:id="809"/>
      <w:bookmarkEnd w:id="810"/>
      <w:bookmarkEnd w:id="812"/>
    </w:p>
    <w:p>
      <w:pPr>
        <w:pStyle w:val="Style22"/>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本公司</w:t>
      </w:r>
      <w:r>
        <w:rPr>
          <w:color w:val="000000"/>
          <w:spacing w:val="0"/>
          <w:w w:val="100"/>
          <w:position w:val="0"/>
          <w:sz w:val="18"/>
          <w:szCs w:val="18"/>
        </w:rPr>
        <w:t>2021</w:t>
      </w:r>
      <w:r>
        <w:rPr>
          <w:color w:val="000000"/>
          <w:spacing w:val="0"/>
          <w:w w:val="100"/>
          <w:position w:val="0"/>
        </w:rPr>
        <w:t>年度纳入合并范围的子公司共</w:t>
      </w:r>
      <w:r>
        <w:rPr>
          <w:color w:val="000000"/>
          <w:spacing w:val="0"/>
          <w:w w:val="100"/>
          <w:position w:val="0"/>
          <w:sz w:val="18"/>
          <w:szCs w:val="18"/>
        </w:rPr>
        <w:t>82</w:t>
      </w:r>
      <w:r>
        <w:rPr>
          <w:color w:val="000000"/>
          <w:spacing w:val="0"/>
          <w:w w:val="100"/>
          <w:position w:val="0"/>
        </w:rPr>
        <w:t xml:space="preserve">家，详见本附注九“在其他主体中的权益”。与上年度相比，本公司本年 </w:t>
      </w:r>
      <w:r>
        <w:rPr>
          <w:color w:val="000000"/>
          <w:spacing w:val="0"/>
          <w:w w:val="100"/>
          <w:position w:val="0"/>
        </w:rPr>
        <w:t>度合并范围增加</w:t>
      </w:r>
      <w:r>
        <w:rPr>
          <w:color w:val="000000"/>
          <w:spacing w:val="0"/>
          <w:w w:val="100"/>
          <w:position w:val="0"/>
          <w:sz w:val="18"/>
          <w:szCs w:val="18"/>
        </w:rPr>
        <w:t>7</w:t>
      </w:r>
      <w:r>
        <w:rPr>
          <w:color w:val="000000"/>
          <w:spacing w:val="0"/>
          <w:w w:val="100"/>
          <w:position w:val="0"/>
        </w:rPr>
        <w:t>家，详见本附注八“合并范围的变更”。</w:t>
      </w:r>
    </w:p>
    <w:p>
      <w:pPr>
        <w:pStyle w:val="Style37"/>
        <w:keepNext/>
        <w:keepLines/>
        <w:widowControl w:val="0"/>
        <w:numPr>
          <w:ilvl w:val="0"/>
          <w:numId w:val="11"/>
        </w:numPr>
        <w:shd w:val="clear" w:color="auto" w:fill="auto"/>
        <w:bidi w:val="0"/>
        <w:spacing w:before="0" w:after="0"/>
        <w:ind w:left="0" w:right="0" w:firstLine="440"/>
        <w:jc w:val="left"/>
      </w:pPr>
      <w:bookmarkStart w:id="813" w:name="bookmark813"/>
      <w:bookmarkStart w:id="814" w:name="bookmark814"/>
      <w:bookmarkStart w:id="815" w:name="bookmark815"/>
      <w:bookmarkStart w:id="816" w:name="bookmark816"/>
      <w:bookmarkEnd w:id="815"/>
      <w:r>
        <w:rPr>
          <w:color w:val="000000"/>
          <w:spacing w:val="0"/>
          <w:w w:val="100"/>
          <w:position w:val="0"/>
        </w:rPr>
        <w:t>本财务报告的批准</w:t>
      </w:r>
      <w:bookmarkEnd w:id="813"/>
      <w:bookmarkEnd w:id="814"/>
      <w:bookmarkEnd w:id="816"/>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本财务报告已于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日经公司第一届董事会第十四次会议批准对外报出。</w:t>
      </w:r>
    </w:p>
    <w:p>
      <w:pPr>
        <w:pStyle w:val="Style2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w:t>
      </w:r>
      <w:r>
        <w:rPr>
          <w:color w:val="000000"/>
          <w:spacing w:val="0"/>
          <w:w w:val="100"/>
          <w:position w:val="0"/>
          <w:sz w:val="18"/>
          <w:szCs w:val="18"/>
        </w:rPr>
        <w:t>2021</w:t>
      </w:r>
      <w:r>
        <w:rPr>
          <w:color w:val="000000"/>
          <w:spacing w:val="0"/>
          <w:w w:val="100"/>
          <w:position w:val="0"/>
        </w:rPr>
        <w:t>年度纳入合并范围的子公司共</w:t>
      </w:r>
      <w:r>
        <w:rPr>
          <w:color w:val="000000"/>
          <w:spacing w:val="0"/>
          <w:w w:val="100"/>
          <w:position w:val="0"/>
          <w:sz w:val="18"/>
          <w:szCs w:val="18"/>
        </w:rPr>
        <w:t>82</w:t>
      </w:r>
      <w:r>
        <w:rPr>
          <w:color w:val="000000"/>
          <w:spacing w:val="0"/>
          <w:w w:val="100"/>
          <w:position w:val="0"/>
        </w:rPr>
        <w:t>家，详见本附注九“在其他主体中的权益”。与上年度相比，本公司本年度合并 范围增加</w:t>
      </w:r>
      <w:r>
        <w:rPr>
          <w:color w:val="000000"/>
          <w:spacing w:val="0"/>
          <w:w w:val="100"/>
          <w:position w:val="0"/>
          <w:sz w:val="18"/>
          <w:szCs w:val="18"/>
        </w:rPr>
        <w:t>7</w:t>
      </w:r>
      <w:r>
        <w:rPr>
          <w:color w:val="000000"/>
          <w:spacing w:val="0"/>
          <w:w w:val="100"/>
          <w:position w:val="0"/>
        </w:rPr>
        <w:t>家，详见本附注八“合并范围的变更”。</w:t>
      </w:r>
    </w:p>
    <w:p>
      <w:pPr>
        <w:pStyle w:val="Style37"/>
        <w:keepNext/>
        <w:keepLines/>
        <w:widowControl w:val="0"/>
        <w:shd w:val="clear" w:color="auto" w:fill="auto"/>
        <w:tabs>
          <w:tab w:pos="421" w:val="left"/>
        </w:tabs>
        <w:bidi w:val="0"/>
        <w:spacing w:before="0" w:after="300" w:line="311" w:lineRule="exact"/>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四</w:t>
      </w:r>
      <w:bookmarkEnd w:id="819"/>
      <w:r>
        <w:rPr>
          <w:color w:val="000000"/>
          <w:spacing w:val="0"/>
          <w:w w:val="100"/>
          <w:position w:val="0"/>
        </w:rPr>
        <w:t>、</w:t>
        <w:tab/>
        <w:t>财务报表的编制基础</w:t>
      </w:r>
      <w:bookmarkEnd w:id="817"/>
      <w:bookmarkEnd w:id="818"/>
      <w:bookmarkEnd w:id="820"/>
    </w:p>
    <w:p>
      <w:pPr>
        <w:pStyle w:val="Style37"/>
        <w:keepNext/>
        <w:keepLines/>
        <w:widowControl w:val="0"/>
        <w:shd w:val="clear" w:color="auto" w:fill="auto"/>
        <w:tabs>
          <w:tab w:pos="339" w:val="left"/>
        </w:tabs>
        <w:bidi w:val="0"/>
        <w:spacing w:before="0" w:after="300" w:line="311" w:lineRule="exact"/>
        <w:ind w:left="0" w:right="0" w:firstLine="0"/>
        <w:jc w:val="left"/>
      </w:pPr>
      <w:bookmarkStart w:id="817" w:name="bookmark817"/>
      <w:bookmarkStart w:id="818" w:name="bookmark818"/>
      <w:bookmarkStart w:id="821" w:name="bookmark821"/>
      <w:bookmarkStart w:id="822" w:name="bookmark822"/>
      <w:r>
        <w:rPr>
          <w:color w:val="000000"/>
          <w:spacing w:val="0"/>
          <w:w w:val="100"/>
          <w:position w:val="0"/>
        </w:rPr>
        <w:t>1</w:t>
      </w:r>
      <w:bookmarkEnd w:id="821"/>
      <w:r>
        <w:rPr>
          <w:color w:val="000000"/>
          <w:spacing w:val="0"/>
          <w:w w:val="100"/>
          <w:position w:val="0"/>
        </w:rPr>
        <w:t>、</w:t>
        <w:tab/>
        <w:t>编制基础</w:t>
      </w:r>
      <w:bookmarkEnd w:id="817"/>
      <w:bookmarkEnd w:id="818"/>
      <w:bookmarkEnd w:id="822"/>
    </w:p>
    <w:p>
      <w:pPr>
        <w:pStyle w:val="Style22"/>
        <w:keepNext w:val="0"/>
        <w:keepLines w:val="0"/>
        <w:widowControl w:val="0"/>
        <w:shd w:val="clear" w:color="auto" w:fill="auto"/>
        <w:bidi w:val="0"/>
        <w:spacing w:before="0" w:after="300" w:line="310" w:lineRule="exact"/>
        <w:ind w:left="0" w:right="0" w:firstLine="0"/>
        <w:jc w:val="left"/>
      </w:pPr>
      <w:r>
        <w:rPr>
          <w:color w:val="000000"/>
          <w:spacing w:val="0"/>
          <w:w w:val="100"/>
          <w:position w:val="0"/>
        </w:rPr>
        <w:t>本公司以持续经营为基础，根据实际发生的交易和事项，按照财政部颁布的《企业会计准则</w:t>
      </w:r>
      <w:r>
        <w:rPr>
          <w:color w:val="000000"/>
          <w:spacing w:val="0"/>
          <w:w w:val="100"/>
          <w:position w:val="0"/>
        </w:rPr>
        <w:t>一一</w:t>
      </w:r>
      <w:r>
        <w:rPr>
          <w:color w:val="000000"/>
          <w:spacing w:val="0"/>
          <w:w w:val="100"/>
          <w:position w:val="0"/>
        </w:rPr>
        <w:t>基本准则》和各项具体会计 准则、企业会计准则应用指南、企业会计准则解释及其他相关规定(以下合称“企业会计准则”)，以及中国证券监督管理委 员会《公开发行证券的公司信息披露编报规则第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8"/>
          <w:szCs w:val="18"/>
        </w:rPr>
        <w:t>(2014</w:t>
      </w:r>
      <w:r>
        <w:rPr>
          <w:color w:val="000000"/>
          <w:spacing w:val="0"/>
          <w:w w:val="100"/>
          <w:position w:val="0"/>
        </w:rPr>
        <w:t>年修订)的披露规定编制财务报表。</w:t>
      </w:r>
    </w:p>
    <w:p>
      <w:pPr>
        <w:pStyle w:val="Style37"/>
        <w:keepNext/>
        <w:keepLines/>
        <w:widowControl w:val="0"/>
        <w:shd w:val="clear" w:color="auto" w:fill="auto"/>
        <w:tabs>
          <w:tab w:pos="349" w:val="left"/>
        </w:tabs>
        <w:bidi w:val="0"/>
        <w:spacing w:before="0" w:after="300" w:line="311" w:lineRule="exact"/>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2</w:t>
      </w:r>
      <w:bookmarkEnd w:id="825"/>
      <w:r>
        <w:rPr>
          <w:color w:val="000000"/>
          <w:spacing w:val="0"/>
          <w:w w:val="100"/>
          <w:position w:val="0"/>
        </w:rPr>
        <w:t>、</w:t>
        <w:tab/>
        <w:t>持续经营</w:t>
      </w:r>
      <w:bookmarkEnd w:id="823"/>
      <w:bookmarkEnd w:id="824"/>
      <w:bookmarkEnd w:id="826"/>
    </w:p>
    <w:p>
      <w:pPr>
        <w:pStyle w:val="Style22"/>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个月内的持续经营假设产生重大疑虑的事项或情况。</w:t>
      </w:r>
    </w:p>
    <w:p>
      <w:pPr>
        <w:pStyle w:val="Style27"/>
        <w:keepNext/>
        <w:keepLines/>
        <w:widowControl w:val="0"/>
        <w:shd w:val="clear" w:color="auto" w:fill="auto"/>
        <w:tabs>
          <w:tab w:pos="517" w:val="left"/>
        </w:tabs>
        <w:bidi w:val="0"/>
        <w:spacing w:before="0" w:line="240" w:lineRule="auto"/>
        <w:ind w:left="0" w:right="0" w:firstLine="0"/>
        <w:jc w:val="left"/>
      </w:pPr>
      <w:bookmarkStart w:id="827" w:name="bookmark827"/>
      <w:bookmarkStart w:id="828" w:name="bookmark828"/>
      <w:bookmarkStart w:id="829" w:name="bookmark829"/>
      <w:bookmarkStart w:id="830" w:name="bookmark830"/>
      <w:r>
        <w:rPr>
          <w:color w:val="000000"/>
          <w:spacing w:val="0"/>
          <w:w w:val="100"/>
          <w:position w:val="0"/>
          <w:sz w:val="24"/>
          <w:szCs w:val="24"/>
        </w:rPr>
        <w:t>五</w:t>
      </w:r>
      <w:bookmarkEnd w:id="829"/>
      <w:r>
        <w:rPr>
          <w:color w:val="000000"/>
          <w:spacing w:val="0"/>
          <w:w w:val="100"/>
          <w:position w:val="0"/>
          <w:sz w:val="24"/>
          <w:szCs w:val="24"/>
        </w:rPr>
        <w:t>、</w:t>
        <w:tab/>
        <w:t>重要会计政策及会计估计</w:t>
      </w:r>
      <w:bookmarkEnd w:id="827"/>
      <w:bookmarkEnd w:id="828"/>
      <w:bookmarkEnd w:id="830"/>
    </w:p>
    <w:p>
      <w:pPr>
        <w:pStyle w:val="Style22"/>
        <w:keepNext w:val="0"/>
        <w:keepLines w:val="0"/>
        <w:widowControl w:val="0"/>
        <w:shd w:val="clear" w:color="auto" w:fill="auto"/>
        <w:bidi w:val="0"/>
        <w:spacing w:before="0" w:line="311" w:lineRule="exact"/>
        <w:ind w:left="0" w:right="0" w:firstLine="0"/>
        <w:jc w:val="left"/>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300" w:line="309" w:lineRule="exact"/>
        <w:ind w:left="0" w:right="0" w:firstLine="440"/>
        <w:jc w:val="left"/>
      </w:pPr>
      <w:r>
        <w:rPr>
          <w:color w:val="000000"/>
          <w:spacing w:val="0"/>
          <w:w w:val="100"/>
          <w:position w:val="0"/>
        </w:rPr>
        <w:t>本公司及各子公司根据实际生产经营特点，依据相关企业会计准则的规定，对应收票据减值、应收账款减值、应收款 项融资减值、其他应收款减值、发出存货计量、固定资产折旧、无形资产摊销和收入确认原则等交易和事项指定了若干具体 会计政策和会计估计，具体会计政策参见本附注五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、本附注五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、本附注五</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、本附注五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、本附注五</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、本附 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、本附注五</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和本附注五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等相关说明。</w:t>
      </w:r>
    </w:p>
    <w:p>
      <w:pPr>
        <w:pStyle w:val="Style37"/>
        <w:keepNext/>
        <w:keepLines/>
        <w:widowControl w:val="0"/>
        <w:shd w:val="clear" w:color="auto" w:fill="auto"/>
        <w:tabs>
          <w:tab w:pos="339" w:val="left"/>
        </w:tabs>
        <w:bidi w:val="0"/>
        <w:spacing w:before="0" w:after="300" w:line="311" w:lineRule="exact"/>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sz w:val="18"/>
          <w:szCs w:val="18"/>
        </w:rPr>
        <w:t>1</w:t>
      </w:r>
      <w:bookmarkEnd w:id="833"/>
      <w:r>
        <w:rPr>
          <w:color w:val="000000"/>
          <w:spacing w:val="0"/>
          <w:w w:val="100"/>
          <w:position w:val="0"/>
        </w:rPr>
        <w:t>、</w:t>
        <w:tab/>
        <w:t>遵循企业会计准则的声明</w:t>
      </w:r>
      <w:bookmarkEnd w:id="831"/>
      <w:bookmarkEnd w:id="832"/>
      <w:bookmarkEnd w:id="834"/>
    </w:p>
    <w:p>
      <w:pPr>
        <w:pStyle w:val="Style22"/>
        <w:keepNext w:val="0"/>
        <w:keepLines w:val="0"/>
        <w:widowControl w:val="0"/>
        <w:shd w:val="clear" w:color="auto" w:fill="auto"/>
        <w:bidi w:val="0"/>
        <w:spacing w:before="0" w:after="300" w:line="311" w:lineRule="exact"/>
        <w:ind w:left="0" w:right="0" w:firstLine="0"/>
        <w:jc w:val="left"/>
      </w:pPr>
      <w:r>
        <w:rPr>
          <w:color w:val="000000"/>
          <w:spacing w:val="0"/>
          <w:w w:val="100"/>
          <w:position w:val="0"/>
        </w:rPr>
        <w:t>本公司编制的财务报表符合企业会计准则的要求，真实、完整地反映了公司的财务状况、经营成果和现金流量等有关信息。</w:t>
      </w:r>
    </w:p>
    <w:p>
      <w:pPr>
        <w:pStyle w:val="Style37"/>
        <w:keepNext/>
        <w:keepLines/>
        <w:widowControl w:val="0"/>
        <w:shd w:val="clear" w:color="auto" w:fill="auto"/>
        <w:tabs>
          <w:tab w:pos="354" w:val="left"/>
        </w:tabs>
        <w:bidi w:val="0"/>
        <w:spacing w:before="0" w:after="300" w:line="311" w:lineRule="exact"/>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sz w:val="18"/>
          <w:szCs w:val="18"/>
        </w:rPr>
        <w:t>2</w:t>
      </w:r>
      <w:bookmarkEnd w:id="837"/>
      <w:r>
        <w:rPr>
          <w:color w:val="000000"/>
          <w:spacing w:val="0"/>
          <w:w w:val="100"/>
          <w:position w:val="0"/>
        </w:rPr>
        <w:t>、</w:t>
        <w:tab/>
        <w:t>会计期间</w:t>
      </w:r>
      <w:bookmarkEnd w:id="835"/>
      <w:bookmarkEnd w:id="836"/>
      <w:bookmarkEnd w:id="838"/>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2"/>
        <w:keepNext w:val="0"/>
        <w:keepLines w:val="0"/>
        <w:widowControl w:val="0"/>
        <w:shd w:val="clear" w:color="auto" w:fill="auto"/>
        <w:bidi w:val="0"/>
        <w:spacing w:before="0" w:after="300" w:line="311" w:lineRule="exact"/>
        <w:ind w:left="0" w:right="0" w:firstLine="0"/>
        <w:jc w:val="left"/>
      </w:pPr>
      <w:r>
        <w:rPr>
          <w:color w:val="000000"/>
          <w:spacing w:val="0"/>
          <w:w w:val="100"/>
          <w:position w:val="0"/>
        </w:rPr>
        <w:t>本财务报表的实际会计期间为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7"/>
        <w:keepNext/>
        <w:keepLines/>
        <w:widowControl w:val="0"/>
        <w:shd w:val="clear" w:color="auto" w:fill="auto"/>
        <w:tabs>
          <w:tab w:pos="354" w:val="left"/>
        </w:tabs>
        <w:bidi w:val="0"/>
        <w:spacing w:before="0" w:after="300" w:line="311" w:lineRule="exact"/>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sz w:val="18"/>
          <w:szCs w:val="18"/>
        </w:rPr>
        <w:t>3</w:t>
      </w:r>
      <w:bookmarkEnd w:id="841"/>
      <w:r>
        <w:rPr>
          <w:color w:val="000000"/>
          <w:spacing w:val="0"/>
          <w:w w:val="100"/>
          <w:position w:val="0"/>
        </w:rPr>
        <w:t>、</w:t>
        <w:tab/>
        <w:t>营业周期</w:t>
      </w:r>
      <w:bookmarkEnd w:id="839"/>
      <w:bookmarkEnd w:id="840"/>
      <w:bookmarkEnd w:id="842"/>
    </w:p>
    <w:p>
      <w:pPr>
        <w:pStyle w:val="Style22"/>
        <w:keepNext w:val="0"/>
        <w:keepLines w:val="0"/>
        <w:widowControl w:val="0"/>
        <w:shd w:val="clear" w:color="auto" w:fill="auto"/>
        <w:bidi w:val="0"/>
        <w:spacing w:before="0" w:after="300" w:line="311" w:lineRule="exact"/>
        <w:ind w:left="0" w:right="0" w:firstLine="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7"/>
        <w:keepNext/>
        <w:keepLines/>
        <w:widowControl w:val="0"/>
        <w:shd w:val="clear" w:color="auto" w:fill="auto"/>
        <w:tabs>
          <w:tab w:pos="354" w:val="left"/>
        </w:tabs>
        <w:bidi w:val="0"/>
        <w:spacing w:before="0" w:after="300" w:line="311" w:lineRule="exact"/>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sz w:val="18"/>
          <w:szCs w:val="18"/>
        </w:rPr>
        <w:t>4</w:t>
      </w:r>
      <w:bookmarkEnd w:id="845"/>
      <w:r>
        <w:rPr>
          <w:color w:val="000000"/>
          <w:spacing w:val="0"/>
          <w:w w:val="100"/>
          <w:position w:val="0"/>
        </w:rPr>
        <w:t>、</w:t>
        <w:tab/>
        <w:t>记账本位币</w:t>
      </w:r>
      <w:bookmarkEnd w:id="843"/>
      <w:bookmarkEnd w:id="844"/>
      <w:bookmarkEnd w:id="846"/>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本公司及境内子公司采用人民币为记账本位币。本公司境外子公司根据其经营所处的主要经济环境中的货币确定其记账本位 币，编制财务报表时折算为人民币。</w:t>
      </w:r>
    </w:p>
    <w:p>
      <w:pPr>
        <w:pStyle w:val="Style2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本公司编制本财务报表时所采用的货币为人民币。</w:t>
      </w:r>
    </w:p>
    <w:p>
      <w:pPr>
        <w:pStyle w:val="Style37"/>
        <w:keepNext/>
        <w:keepLines/>
        <w:widowControl w:val="0"/>
        <w:shd w:val="clear" w:color="auto" w:fill="auto"/>
        <w:tabs>
          <w:tab w:pos="289" w:val="left"/>
        </w:tabs>
        <w:bidi w:val="0"/>
        <w:spacing w:before="0" w:after="300"/>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sz w:val="18"/>
          <w:szCs w:val="18"/>
        </w:rPr>
        <w:t>5</w:t>
      </w:r>
      <w:bookmarkEnd w:id="849"/>
      <w:r>
        <w:rPr>
          <w:color w:val="000000"/>
          <w:spacing w:val="0"/>
          <w:w w:val="100"/>
          <w:position w:val="0"/>
        </w:rPr>
        <w:t>、</w:t>
        <w:tab/>
        <w:t>同一控制下和非同一控制下企业合并的会计处理方法</w:t>
      </w:r>
      <w:bookmarkEnd w:id="847"/>
      <w:bookmarkEnd w:id="848"/>
      <w:bookmarkEnd w:id="850"/>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企业合并，是指将两个或两个以上单独的企业合并形成一个报告主体的交易或事项。企业合并分为同一控制下企业合 并和非同一控制下企业合并。</w:t>
      </w:r>
    </w:p>
    <w:p>
      <w:pPr>
        <w:pStyle w:val="Style22"/>
        <w:keepNext w:val="0"/>
        <w:keepLines w:val="0"/>
        <w:widowControl w:val="0"/>
        <w:numPr>
          <w:ilvl w:val="0"/>
          <w:numId w:val="13"/>
        </w:numPr>
        <w:shd w:val="clear" w:color="auto" w:fill="auto"/>
        <w:tabs>
          <w:tab w:pos="715" w:val="left"/>
        </w:tabs>
        <w:bidi w:val="0"/>
        <w:spacing w:before="0" w:after="0" w:line="312" w:lineRule="exact"/>
        <w:ind w:left="0" w:right="0" w:firstLine="440"/>
        <w:jc w:val="both"/>
      </w:pPr>
      <w:bookmarkStart w:id="851" w:name="bookmark851"/>
      <w:bookmarkEnd w:id="851"/>
      <w:r>
        <w:rPr>
          <w:color w:val="000000"/>
          <w:spacing w:val="0"/>
          <w:w w:val="100"/>
          <w:position w:val="0"/>
        </w:rPr>
        <w:t>同一控制下企业合并的会计处理</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参与合并的企业在合并前后均受同一方或相同的多方最终控制，且该控制并非暂时性的，为同一控制下的企业合并。</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公司在企业合并中取得的被合并方的资产、负债，除因会计政策不同而进行的调整以外，按照合并日被合并方在最终 控制方合并财务报表中的账面价值计量。公司取得的被合并方所有者权益在最终控制方合并财务报表中的账面价值的份额与 支付的合并对价账面价值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或发行股份面值总额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的差额，调整资本公积；资本公积不足冲减的，调整留存收益。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通过多次交易分步实现同一控制下的企业合并，合并前持有投资的账面价值加上合并日新支付对价的账面价值之和， 与合并中取得的净资产账面价值的差额，调整资本公积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，资本公积不足冲减的，调整留存收益。合并方在取得被 合并方控制权之前持有的长期股权投资，在取得原股权之日与合并方与被合并方同处于同一方最终控制之日孰晚日起至合并 日之间已确认有关损益、其他综合收益和其他所有者权益变动，应分别冲减比较报表期间的期初留存收益或当期损益，由于 被投资方重新计量设定受益计划净负债或净资产变动而产生的其他综合收益除外。</w:t>
      </w:r>
    </w:p>
    <w:p>
      <w:pPr>
        <w:pStyle w:val="Style22"/>
        <w:keepNext w:val="0"/>
        <w:keepLines w:val="0"/>
        <w:widowControl w:val="0"/>
        <w:numPr>
          <w:ilvl w:val="0"/>
          <w:numId w:val="13"/>
        </w:numPr>
        <w:shd w:val="clear" w:color="auto" w:fill="auto"/>
        <w:tabs>
          <w:tab w:pos="719" w:val="left"/>
        </w:tabs>
        <w:bidi w:val="0"/>
        <w:spacing w:before="0" w:after="0" w:line="312" w:lineRule="exact"/>
        <w:ind w:left="0" w:right="0" w:firstLine="440"/>
        <w:jc w:val="both"/>
      </w:pPr>
      <w:bookmarkStart w:id="852" w:name="bookmark852"/>
      <w:bookmarkEnd w:id="852"/>
      <w:r>
        <w:rPr>
          <w:color w:val="000000"/>
          <w:spacing w:val="0"/>
          <w:w w:val="100"/>
          <w:position w:val="0"/>
        </w:rPr>
        <w:t>非同一控制下企业合并的会计处理</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参与合并的企业在合并前后不受同一方或相同的多方最终控制的，为非同一控制下的企业合并。</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公司在购买日对合并成本大于合并中取得的被购买方可辨认净资产公允价值份额的差额，确认为商誉；对于合并成本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如果在购买日或合并当期期末，因各种因素影响无法合理确定作为合并对价付出的各项资产的公允价值，或合并中取 得被购买方各项可辨认资产、负债的公允价值，合并当期期末，公司以暂时确定的价值为基础对企业合并进行核算。自购买 日算起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个月内取得进一步的信息表明需对原暂时确定的价值进行调整的，则视同在购买日发生，进行追溯调整，同时对以 暂时性价值为基础提供的比较报表信息进行相关的调整；自购买日算起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个月以后对企业合并成本或合并中取得的可辨认资 产、负债价值的调整，按照《企业会计准则第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号——会计政策、会计估计变更和会计差错更正》的原则进行处理。</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公司在企业合并中取得的被购买方的可抵扣暂时性差异，在购买日不符合递延所得税资产确认条件的，不予以确认。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通过多次交易分步实现的非同一控制下企业合并，根据企业会计准则判断该多次交易是否属于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。多次交 易的条款、条件以及经济影响符合以下一种或多种情况，通常表明应将多次交易事项作为一揽子交易进行会计处理：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这 些交易是同时或者在考虑了彼此影响的情况下订立的；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这些交易整体才能达成一项完整的商业结果；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一项交易的发生 取决于其他至少一项交易的发生；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一项交易单独看是不经济的，但是和其他交易一并考虑时是经济的。</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的，在合并财务报 表中，对于购买日之前持有的被购买方的股权，按照该股权在购买日的公允价值进行重新计量，公允价值与其账面价值的差 额计入当期投资收益;购买日之前已经持有的被购买方的股权涉及其他综合收益、其他所有者权益变动转为购买日当期收益， 由于被投资方重新计量设定受益计划净负债或净资产变动而产生的其他综合收益除外。</w:t>
      </w:r>
    </w:p>
    <w:p>
      <w:pPr>
        <w:pStyle w:val="Style22"/>
        <w:keepNext w:val="0"/>
        <w:keepLines w:val="0"/>
        <w:widowControl w:val="0"/>
        <w:numPr>
          <w:ilvl w:val="0"/>
          <w:numId w:val="13"/>
        </w:numPr>
        <w:shd w:val="clear" w:color="auto" w:fill="auto"/>
        <w:tabs>
          <w:tab w:pos="719" w:val="left"/>
        </w:tabs>
        <w:bidi w:val="0"/>
        <w:spacing w:before="0" w:after="0" w:line="322" w:lineRule="exact"/>
        <w:ind w:left="0" w:right="0" w:firstLine="440"/>
        <w:jc w:val="both"/>
      </w:pPr>
      <w:bookmarkStart w:id="853" w:name="bookmark853"/>
      <w:bookmarkEnd w:id="853"/>
      <w:r>
        <w:rPr>
          <w:color w:val="000000"/>
          <w:spacing w:val="0"/>
          <w:w w:val="100"/>
          <w:position w:val="0"/>
        </w:rPr>
        <w:t>企业合并中有关交易费用的处理</w:t>
      </w:r>
    </w:p>
    <w:p>
      <w:pPr>
        <w:pStyle w:val="Style22"/>
        <w:keepNext w:val="0"/>
        <w:keepLines w:val="0"/>
        <w:widowControl w:val="0"/>
        <w:shd w:val="clear" w:color="auto" w:fill="auto"/>
        <w:bidi w:val="0"/>
        <w:spacing w:before="0" w:after="300" w:line="322" w:lineRule="exact"/>
        <w:ind w:left="0" w:right="0" w:firstLine="0"/>
        <w:jc w:val="both"/>
      </w:pPr>
      <w:r>
        <w:rPr>
          <w:color w:val="000000"/>
          <w:spacing w:val="0"/>
          <w:w w:val="100"/>
          <w:position w:val="0"/>
        </w:rPr>
        <w:t>为进行企业合并发生的审计、法律服务、评估咨询等中介费用以及其他相关管理费用，于发生时计入当期损益。作为合并对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37"/>
        <w:keepNext/>
        <w:keepLines/>
        <w:widowControl w:val="0"/>
        <w:shd w:val="clear" w:color="auto" w:fill="auto"/>
        <w:tabs>
          <w:tab w:pos="289" w:val="left"/>
        </w:tabs>
        <w:bidi w:val="0"/>
        <w:spacing w:before="0" w:after="300"/>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sz w:val="18"/>
          <w:szCs w:val="18"/>
        </w:rPr>
        <w:t>6</w:t>
      </w:r>
      <w:bookmarkEnd w:id="856"/>
      <w:r>
        <w:rPr>
          <w:color w:val="000000"/>
          <w:spacing w:val="0"/>
          <w:w w:val="100"/>
          <w:position w:val="0"/>
        </w:rPr>
        <w:t>、</w:t>
        <w:tab/>
        <w:t>合并财务报表的编制方法</w:t>
      </w:r>
      <w:bookmarkEnd w:id="854"/>
      <w:bookmarkEnd w:id="855"/>
      <w:bookmarkEnd w:id="857"/>
    </w:p>
    <w:p>
      <w:pPr>
        <w:pStyle w:val="Style22"/>
        <w:keepNext w:val="0"/>
        <w:keepLines w:val="0"/>
        <w:widowControl w:val="0"/>
        <w:numPr>
          <w:ilvl w:val="0"/>
          <w:numId w:val="15"/>
        </w:numPr>
        <w:shd w:val="clear" w:color="auto" w:fill="auto"/>
        <w:bidi w:val="0"/>
        <w:spacing w:before="0" w:after="140" w:line="312" w:lineRule="exact"/>
        <w:ind w:left="0" w:right="0" w:firstLine="440"/>
        <w:jc w:val="both"/>
      </w:pPr>
      <w:bookmarkStart w:id="858" w:name="bookmark858"/>
      <w:bookmarkEnd w:id="858"/>
      <w:r>
        <w:rPr>
          <w:color w:val="000000"/>
          <w:spacing w:val="0"/>
          <w:w w:val="100"/>
          <w:position w:val="0"/>
        </w:rPr>
        <w:t>合并范围</w:t>
      </w:r>
    </w:p>
    <w:p>
      <w:pPr>
        <w:pStyle w:val="Style2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合并财务报表的合并范围以控制为基础确定。控制是指本公司拥有对被投资方的权力，通过参与被投资方的相关活动 而享有可变回报，并且有能力运用对被投资方的权力影响该回报金额。合并范围包括本公司及全部子公司。子公司，是指被 本公司控制的主体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含企业、被投资单位中可分割的部分、结构化主体等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numPr>
          <w:ilvl w:val="0"/>
          <w:numId w:val="15"/>
        </w:numPr>
        <w:shd w:val="clear" w:color="auto" w:fill="auto"/>
        <w:tabs>
          <w:tab w:pos="719" w:val="left"/>
        </w:tabs>
        <w:bidi w:val="0"/>
        <w:spacing w:before="0" w:after="0" w:line="360" w:lineRule="auto"/>
        <w:ind w:left="0" w:right="0" w:firstLine="440"/>
        <w:jc w:val="left"/>
      </w:pPr>
      <w:bookmarkStart w:id="859" w:name="bookmark859"/>
      <w:bookmarkEnd w:id="859"/>
      <w:r>
        <w:rPr>
          <w:color w:val="000000"/>
          <w:spacing w:val="0"/>
          <w:w w:val="100"/>
          <w:position w:val="0"/>
        </w:rPr>
        <w:t>合并报表的编制方法</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本公司以自身和各子公司的财务报表为基础，根据其他有关资料，编制合并报表。本公司编制合并财务报表，将整个 企业集团视为一个会计主体，依据相关企业会计准则的确定、计量和列报要求，按照统一的会计政策，反映本公司整体财务 状况、经营成果和现金流量。</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合并财务报表时抵销本公司与各子公司、各子公司相互之间发生的内部交易和往来对合并资产负债表、合并利润表、 合并现金流量表、合并所有者权益变动表的影响。</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在报告期内因同一控制下企业合并增加的子公司以及业务，视同该子公司以及业务自同受最终控制方控制之日起纳入 本公司的合并范围，将其自同受最终控制方控制之日起的经营成果、现金流量分别纳入合并利润表、合并现金流量表中。在 报告期内，同时调整合并资产负债表的期初数，同时对比较报表的相关项目进行调整，视同合并后的报表主体自最终控制方 开始控制时点起一直存在。</w:t>
      </w:r>
    </w:p>
    <w:p>
      <w:pPr>
        <w:pStyle w:val="Style2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本期若因非同一控制下企业合并增加子公司的，则不调整合并资产负债表期初数；以购买日可辨认净资产公允价值为 基础对其财务报表进行调整。将子公司自购买日至期末的收入、费用、利润纳入合并利润表；该子公司自购买日至期末的现 金流量纳入合并现金流量表。</w:t>
      </w:r>
    </w:p>
    <w:p>
      <w:pPr>
        <w:pStyle w:val="Style2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子公司少数股东应占的权益、损益和当期综合收益中分别在合并资产负债表中所有者权益项目下、合并利润表中净利 润项目和综合收益总额项下单独列示。子公司少数股东分担的当期亏损超过了少数股东在该子公司期初所有者权益中所享有 份额而形成的余额，冲减少数股东权益。</w:t>
      </w:r>
    </w:p>
    <w:p>
      <w:pPr>
        <w:pStyle w:val="Style22"/>
        <w:keepNext w:val="0"/>
        <w:keepLines w:val="0"/>
        <w:widowControl w:val="0"/>
        <w:numPr>
          <w:ilvl w:val="0"/>
          <w:numId w:val="15"/>
        </w:numPr>
        <w:shd w:val="clear" w:color="auto" w:fill="auto"/>
        <w:tabs>
          <w:tab w:pos="719" w:val="left"/>
        </w:tabs>
        <w:bidi w:val="0"/>
        <w:spacing w:before="0" w:after="0" w:line="360" w:lineRule="auto"/>
        <w:ind w:left="0" w:right="0" w:firstLine="440"/>
        <w:jc w:val="both"/>
      </w:pPr>
      <w:bookmarkStart w:id="860" w:name="bookmark860"/>
      <w:bookmarkEnd w:id="860"/>
      <w:r>
        <w:rPr>
          <w:color w:val="000000"/>
          <w:spacing w:val="0"/>
          <w:w w:val="100"/>
          <w:position w:val="0"/>
        </w:rPr>
        <w:t>购买少数股东股权及不丧失控制权的部分处置子公司股权</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本公司因购买少数股权新取得的长期股权投资成本与按照新增持股比例计算应享有子公司自购买日或合并日开始持续 计算的净资产份额之间的差额，以及在不丧失控制权的情况下因部分处置对子公司的股权投资而取得的处置价款与处置长期 股权投资相对应享有子公司自购买日或合并日开始持续计算的净资产份额之间的差额，均调整合并资产负债表中的资本公积 中的股本溢价，资本公积中的股本溢价不足冲减的，调整留存收益。</w:t>
      </w:r>
    </w:p>
    <w:p>
      <w:pPr>
        <w:pStyle w:val="Style22"/>
        <w:keepNext w:val="0"/>
        <w:keepLines w:val="0"/>
        <w:widowControl w:val="0"/>
        <w:numPr>
          <w:ilvl w:val="0"/>
          <w:numId w:val="15"/>
        </w:numPr>
        <w:shd w:val="clear" w:color="auto" w:fill="auto"/>
        <w:bidi w:val="0"/>
        <w:spacing w:before="0" w:after="0" w:line="360" w:lineRule="auto"/>
        <w:ind w:left="0" w:right="0" w:firstLine="500"/>
        <w:jc w:val="both"/>
      </w:pPr>
      <w:bookmarkStart w:id="861" w:name="bookmark861"/>
      <w:bookmarkEnd w:id="861"/>
      <w:r>
        <w:rPr>
          <w:color w:val="000000"/>
          <w:spacing w:val="0"/>
          <w:w w:val="100"/>
          <w:position w:val="0"/>
        </w:rPr>
        <w:t>丧失控制权的处置子公司股权</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本期本公司处置子公司，则该子公司期初至处置日的收入、费用、利润纳入合并利润表；该子公司期初至处置日的现 金流量纳入合并现金流量表。因处置部分股权投资或其他原因丧失了对原有子公司控制权时，对于处置后的剩余股权投资， 本公司按照其在丧失控制权日的公允价值进行重新计量。处置股权取得的对价与剩余股权公允价值之和，减去按原持股比例 计算应享有原有子公司自购买日开始持续计算的净资产的份额与商誉之和，形成的差额计入丧失控制权当期的投资收益。与 原有子公司股权投资相关的其他综合收益，在丧失控制权时采用被购买方直接处置相关资产和负债相同的基础进行会计处理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即除了在该原有子公司重新计量设定受益计划外净负债或者净资产导致的变动以外，其余一并转入当期投资收益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。其后， 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 关规定进行后续计量，详见本附注五</w:t>
      </w:r>
      <w:r>
        <w:rPr>
          <w:rFonts w:ascii="Times New Roman" w:eastAsia="Times New Roman" w:hAnsi="Times New Roman" w:cs="Times New Roman"/>
          <w:color w:val="000000"/>
          <w:spacing w:val="0"/>
          <w:w w:val="100"/>
          <w:position w:val="0"/>
          <w:sz w:val="18"/>
          <w:szCs w:val="18"/>
        </w:rPr>
        <w:t>（22） “</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或本附注五</w:t>
      </w:r>
      <w:r>
        <w:rPr>
          <w:rFonts w:ascii="Times New Roman" w:eastAsia="Times New Roman" w:hAnsi="Times New Roman" w:cs="Times New Roman"/>
          <w:color w:val="000000"/>
          <w:spacing w:val="0"/>
          <w:w w:val="100"/>
          <w:position w:val="0"/>
          <w:sz w:val="18"/>
          <w:szCs w:val="18"/>
        </w:rPr>
        <w:t>（10） “</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numPr>
          <w:ilvl w:val="0"/>
          <w:numId w:val="15"/>
        </w:numPr>
        <w:shd w:val="clear" w:color="auto" w:fill="auto"/>
        <w:bidi w:val="0"/>
        <w:spacing w:before="0" w:after="0" w:line="360" w:lineRule="auto"/>
        <w:ind w:left="0" w:right="0" w:firstLine="440"/>
        <w:jc w:val="both"/>
      </w:pPr>
      <w:bookmarkStart w:id="862" w:name="bookmark862"/>
      <w:bookmarkEnd w:id="862"/>
      <w:r>
        <w:rPr>
          <w:color w:val="000000"/>
          <w:spacing w:val="0"/>
          <w:w w:val="100"/>
          <w:position w:val="0"/>
        </w:rPr>
        <w:t>分步处置对子公司股权投资至丧失控制权的处理</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本公司通过多次交易分步处置对子公司股权投资直至丧失控制权的，需区分处置对子公司股权投资直至丧失控制权的 各项交易是否属于一揽子交易。</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处置对子公司股权投资直至丧失控制权的各项交易属于一揽子交易的，将各项交易作为一项处置子公司并丧失控制权 的交易进行会计处理；但是，在丧失控制权之前每一次处置价款与处置投资对应的享有该子公司净资产份额的差额，在合并 财务报表中确认为其他综合收益，在丧失控制权时一并转入丧失控制权当期的损益。</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不丧失控制权的情况下部分处置对子公司的长期股权投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适用的原则进行会计处理。即在丧失控制权 之前每一次处置价款与处置投资对应的享有该子公司自购买日开始持续计算的净资产账面价值份额之间的差额，作为权益性 交易计入资本公积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。在丧失控制权时不得转入丧失控制权当期的损益。</w:t>
      </w:r>
    </w:p>
    <w:p>
      <w:pPr>
        <w:pStyle w:val="Style37"/>
        <w:keepNext/>
        <w:keepLines/>
        <w:widowControl w:val="0"/>
        <w:shd w:val="clear" w:color="auto" w:fill="auto"/>
        <w:tabs>
          <w:tab w:pos="314" w:val="left"/>
        </w:tabs>
        <w:bidi w:val="0"/>
        <w:spacing w:before="0" w:after="300" w:line="310" w:lineRule="exact"/>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sz w:val="18"/>
          <w:szCs w:val="18"/>
        </w:rPr>
        <w:t>7</w:t>
      </w:r>
      <w:bookmarkEnd w:id="865"/>
      <w:r>
        <w:rPr>
          <w:color w:val="000000"/>
          <w:spacing w:val="0"/>
          <w:w w:val="100"/>
          <w:position w:val="0"/>
        </w:rPr>
        <w:t>、</w:t>
        <w:tab/>
        <w:t>合营安排分类及共同经营会计处理方法</w:t>
      </w:r>
      <w:bookmarkEnd w:id="863"/>
      <w:bookmarkEnd w:id="864"/>
      <w:bookmarkEnd w:id="866"/>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合营企业，是指本公司仅对该安排的净资产享有权利的合营安排。本公司对合营企业的投资采用权益法核算，按照本 附注五</w:t>
      </w:r>
      <w:r>
        <w:rPr>
          <w:rFonts w:ascii="Times New Roman" w:eastAsia="Times New Roman" w:hAnsi="Times New Roman" w:cs="Times New Roman"/>
          <w:color w:val="000000"/>
          <w:spacing w:val="0"/>
          <w:w w:val="100"/>
          <w:position w:val="0"/>
          <w:sz w:val="18"/>
          <w:szCs w:val="18"/>
        </w:rPr>
        <w:t>（2 2）2（2）“</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中所述的会计政策处理。</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共同经营，是指本公司享有该安排相关资产且承担该安排相关负债的合营安排。本公司确认与共同经营中利益份额相 关的下列项目，并按照相关企业会计准则的规定进行会计处理：</w:t>
      </w:r>
    </w:p>
    <w:p>
      <w:pPr>
        <w:pStyle w:val="Style22"/>
        <w:keepNext w:val="0"/>
        <w:keepLines w:val="0"/>
        <w:widowControl w:val="0"/>
        <w:numPr>
          <w:ilvl w:val="0"/>
          <w:numId w:val="17"/>
        </w:numPr>
        <w:shd w:val="clear" w:color="auto" w:fill="auto"/>
        <w:tabs>
          <w:tab w:pos="725" w:val="left"/>
        </w:tabs>
        <w:bidi w:val="0"/>
        <w:spacing w:before="0" w:after="0" w:line="310" w:lineRule="exact"/>
        <w:ind w:left="0" w:right="0" w:firstLine="440"/>
        <w:jc w:val="both"/>
      </w:pPr>
      <w:bookmarkStart w:id="867" w:name="bookmark867"/>
      <w:bookmarkEnd w:id="867"/>
      <w:r>
        <w:rPr>
          <w:color w:val="000000"/>
          <w:spacing w:val="0"/>
          <w:w w:val="100"/>
          <w:position w:val="0"/>
        </w:rPr>
        <w:t>确认本公司单独所持有的资产，以及按本公司份额确认共同持有的资产；</w:t>
      </w:r>
    </w:p>
    <w:p>
      <w:pPr>
        <w:pStyle w:val="Style22"/>
        <w:keepNext w:val="0"/>
        <w:keepLines w:val="0"/>
        <w:widowControl w:val="0"/>
        <w:numPr>
          <w:ilvl w:val="0"/>
          <w:numId w:val="17"/>
        </w:numPr>
        <w:shd w:val="clear" w:color="auto" w:fill="auto"/>
        <w:tabs>
          <w:tab w:pos="744" w:val="left"/>
        </w:tabs>
        <w:bidi w:val="0"/>
        <w:spacing w:before="0" w:after="0" w:line="310" w:lineRule="exact"/>
        <w:ind w:left="0" w:right="0" w:firstLine="440"/>
        <w:jc w:val="both"/>
      </w:pPr>
      <w:bookmarkStart w:id="868" w:name="bookmark868"/>
      <w:bookmarkEnd w:id="868"/>
      <w:r>
        <w:rPr>
          <w:color w:val="000000"/>
          <w:spacing w:val="0"/>
          <w:w w:val="100"/>
          <w:position w:val="0"/>
        </w:rPr>
        <w:t>确认本公司单独所承担的负债，以及按本公司份额确认共同承担的负债；</w:t>
      </w:r>
    </w:p>
    <w:p>
      <w:pPr>
        <w:pStyle w:val="Style22"/>
        <w:keepNext w:val="0"/>
        <w:keepLines w:val="0"/>
        <w:widowControl w:val="0"/>
        <w:numPr>
          <w:ilvl w:val="0"/>
          <w:numId w:val="17"/>
        </w:numPr>
        <w:shd w:val="clear" w:color="auto" w:fill="auto"/>
        <w:tabs>
          <w:tab w:pos="744" w:val="left"/>
        </w:tabs>
        <w:bidi w:val="0"/>
        <w:spacing w:before="0" w:after="0" w:line="310" w:lineRule="exact"/>
        <w:ind w:left="0" w:right="0" w:firstLine="440"/>
        <w:jc w:val="both"/>
      </w:pPr>
      <w:bookmarkStart w:id="869" w:name="bookmark869"/>
      <w:bookmarkEnd w:id="869"/>
      <w:r>
        <w:rPr>
          <w:color w:val="000000"/>
          <w:spacing w:val="0"/>
          <w:w w:val="100"/>
          <w:position w:val="0"/>
        </w:rPr>
        <w:t>确认出售本公司享有的共同经营产出份额所产生的收入；</w:t>
      </w:r>
    </w:p>
    <w:p>
      <w:pPr>
        <w:pStyle w:val="Style22"/>
        <w:keepNext w:val="0"/>
        <w:keepLines w:val="0"/>
        <w:widowControl w:val="0"/>
        <w:numPr>
          <w:ilvl w:val="0"/>
          <w:numId w:val="17"/>
        </w:numPr>
        <w:shd w:val="clear" w:color="auto" w:fill="auto"/>
        <w:tabs>
          <w:tab w:pos="744" w:val="left"/>
        </w:tabs>
        <w:bidi w:val="0"/>
        <w:spacing w:before="0" w:after="0" w:line="310" w:lineRule="exact"/>
        <w:ind w:left="0" w:right="0" w:firstLine="440"/>
        <w:jc w:val="both"/>
      </w:pPr>
      <w:bookmarkStart w:id="870" w:name="bookmark870"/>
      <w:bookmarkEnd w:id="870"/>
      <w:r>
        <w:rPr>
          <w:color w:val="000000"/>
          <w:spacing w:val="0"/>
          <w:w w:val="100"/>
          <w:position w:val="0"/>
        </w:rPr>
        <w:t>按本公司份额确认共同经营因出售产出所产生的收入；</w:t>
      </w:r>
    </w:p>
    <w:p>
      <w:pPr>
        <w:pStyle w:val="Style22"/>
        <w:keepNext w:val="0"/>
        <w:keepLines w:val="0"/>
        <w:widowControl w:val="0"/>
        <w:numPr>
          <w:ilvl w:val="0"/>
          <w:numId w:val="17"/>
        </w:numPr>
        <w:shd w:val="clear" w:color="auto" w:fill="auto"/>
        <w:tabs>
          <w:tab w:pos="744" w:val="left"/>
        </w:tabs>
        <w:bidi w:val="0"/>
        <w:spacing w:before="0" w:after="0" w:line="310" w:lineRule="exact"/>
        <w:ind w:left="0" w:right="0" w:firstLine="440"/>
        <w:jc w:val="both"/>
      </w:pPr>
      <w:bookmarkStart w:id="871" w:name="bookmark871"/>
      <w:bookmarkEnd w:id="871"/>
      <w:r>
        <w:rPr>
          <w:color w:val="000000"/>
          <w:spacing w:val="0"/>
          <w:w w:val="100"/>
          <w:position w:val="0"/>
        </w:rPr>
        <w:t>确认单独所发生的费用，以及按本公司份额确认共同经营发生的费用。</w:t>
      </w:r>
    </w:p>
    <w:p>
      <w:pPr>
        <w:pStyle w:val="Style22"/>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当本公司作为合营方向共同经营投出或出售资产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该资产不构成业务，下同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或者自共同经营购买资产时，在该等资产出 售给第三方之前，本公司仅确认因该项交易产生的损益中属于共同经营其他参与方的部分。该等资产发生符合《企业会计准 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号——资产减值》等规定的资产减值损失的，对于由本公司向共同经营投出或者出售资产的情况，本公司全额确认损 失；对于本公司自共同经营购买资产的情况，本公司按承担的份额确认该损失。</w:t>
      </w:r>
    </w:p>
    <w:p>
      <w:pPr>
        <w:pStyle w:val="Style37"/>
        <w:keepNext/>
        <w:keepLines/>
        <w:widowControl w:val="0"/>
        <w:shd w:val="clear" w:color="auto" w:fill="auto"/>
        <w:tabs>
          <w:tab w:pos="314" w:val="left"/>
        </w:tabs>
        <w:bidi w:val="0"/>
        <w:spacing w:before="0" w:after="300" w:line="310" w:lineRule="exact"/>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sz w:val="18"/>
          <w:szCs w:val="18"/>
        </w:rPr>
        <w:t>8</w:t>
      </w:r>
      <w:bookmarkEnd w:id="874"/>
      <w:r>
        <w:rPr>
          <w:color w:val="000000"/>
          <w:spacing w:val="0"/>
          <w:w w:val="100"/>
          <w:position w:val="0"/>
        </w:rPr>
        <w:t>、</w:t>
        <w:tab/>
        <w:t>现金及现金等价物的确定标准</w:t>
      </w:r>
      <w:bookmarkEnd w:id="872"/>
      <w:bookmarkEnd w:id="873"/>
      <w:bookmarkEnd w:id="875"/>
    </w:p>
    <w:p>
      <w:pPr>
        <w:pStyle w:val="Style22"/>
        <w:keepNext w:val="0"/>
        <w:keepLines w:val="0"/>
        <w:widowControl w:val="0"/>
        <w:shd w:val="clear" w:color="auto" w:fill="auto"/>
        <w:bidi w:val="0"/>
        <w:spacing w:before="0" w:after="300" w:line="298" w:lineRule="exact"/>
        <w:ind w:left="0" w:right="0" w:firstLine="440"/>
        <w:jc w:val="left"/>
      </w:pPr>
      <w:r>
        <w:rPr>
          <w:color w:val="000000"/>
          <w:spacing w:val="0"/>
          <w:w w:val="100"/>
          <w:position w:val="0"/>
        </w:rPr>
        <w:t xml:space="preserve">在编制现金流量表时，将本公司库存现金及可以随时用于支付的存款确认为现金。现金等价物是指企业持有的期限短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一般是指从购买日起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、流动性强、易于转换为已知金额现金、价值变动风险很小的投资。</w:t>
      </w:r>
    </w:p>
    <w:p>
      <w:pPr>
        <w:pStyle w:val="Style37"/>
        <w:keepNext/>
        <w:keepLines/>
        <w:widowControl w:val="0"/>
        <w:shd w:val="clear" w:color="auto" w:fill="auto"/>
        <w:tabs>
          <w:tab w:pos="314" w:val="left"/>
        </w:tabs>
        <w:bidi w:val="0"/>
        <w:spacing w:before="0" w:after="300" w:line="310" w:lineRule="exact"/>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sz w:val="18"/>
          <w:szCs w:val="18"/>
        </w:rPr>
        <w:t>9</w:t>
      </w:r>
      <w:bookmarkEnd w:id="878"/>
      <w:r>
        <w:rPr>
          <w:color w:val="000000"/>
          <w:spacing w:val="0"/>
          <w:w w:val="100"/>
          <w:position w:val="0"/>
        </w:rPr>
        <w:t>、</w:t>
        <w:tab/>
        <w:t>外币业务和外币报表折算</w:t>
      </w:r>
      <w:bookmarkEnd w:id="876"/>
      <w:bookmarkEnd w:id="877"/>
      <w:bookmarkEnd w:id="879"/>
    </w:p>
    <w:p>
      <w:pPr>
        <w:pStyle w:val="Style22"/>
        <w:keepNext w:val="0"/>
        <w:keepLines w:val="0"/>
        <w:widowControl w:val="0"/>
        <w:numPr>
          <w:ilvl w:val="0"/>
          <w:numId w:val="19"/>
        </w:numPr>
        <w:shd w:val="clear" w:color="auto" w:fill="auto"/>
        <w:tabs>
          <w:tab w:pos="725" w:val="left"/>
        </w:tabs>
        <w:bidi w:val="0"/>
        <w:spacing w:before="0" w:after="0" w:line="310" w:lineRule="exact"/>
        <w:ind w:left="0" w:right="0" w:firstLine="440"/>
        <w:jc w:val="left"/>
      </w:pPr>
      <w:bookmarkStart w:id="880" w:name="bookmark880"/>
      <w:bookmarkEnd w:id="880"/>
      <w:r>
        <w:rPr>
          <w:color w:val="000000"/>
          <w:spacing w:val="0"/>
          <w:w w:val="100"/>
          <w:position w:val="0"/>
        </w:rPr>
        <w:t>外币交易业务</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对发生的外币业务，采用交易发生日的即期汇率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通常指中国人民银行公布的当日外汇牌价的中间价，下同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折合记账本 位币记账。但公司发生的外币兑换业务或涉及外币兑换的交易事项，按照实际采用的汇率折算为记账本位币金额。</w:t>
      </w:r>
    </w:p>
    <w:p>
      <w:pPr>
        <w:pStyle w:val="Style22"/>
        <w:keepNext w:val="0"/>
        <w:keepLines w:val="0"/>
        <w:widowControl w:val="0"/>
        <w:numPr>
          <w:ilvl w:val="0"/>
          <w:numId w:val="19"/>
        </w:numPr>
        <w:shd w:val="clear" w:color="auto" w:fill="auto"/>
        <w:tabs>
          <w:tab w:pos="744" w:val="left"/>
        </w:tabs>
        <w:bidi w:val="0"/>
        <w:spacing w:before="0" w:after="0" w:line="310" w:lineRule="exact"/>
        <w:ind w:left="0" w:right="0" w:firstLine="440"/>
        <w:jc w:val="both"/>
      </w:pPr>
      <w:bookmarkStart w:id="881" w:name="bookmark881"/>
      <w:bookmarkEnd w:id="881"/>
      <w:r>
        <w:rPr>
          <w:color w:val="000000"/>
          <w:spacing w:val="0"/>
          <w:w w:val="100"/>
          <w:position w:val="0"/>
        </w:rPr>
        <w:t>外币货币性项目和非货币性项目的折算方法</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资产负债表日，对于外币货币性项目采用资产负债表日即期汇率折算，由此产生的汇兑差额，除：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属于与购建符合 资本化条件的资产相关的外币专门借款产生的汇兑差额按照借款费用资本化的原则处理；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用于境外经营净投资有效套期 的套期工具的汇兑差额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该差额计入其他综合收益，直至净投资被处置才被确认为当期损益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以公允价值 计量且变动计入其他综合收益的外币货币性项目除摊余成本之外的其他账面余额变动产生的汇兑差额计入其他综合收益之 外，均计入当期损益。</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以历史成本计量的外币非货币性项目，仍采用交易发生日的即期汇率折算的记账本位币金额计量。以公允价值计量的 外币非货币性项目，采用公允价值确定日的即期汇率折算，折算后的记账本位币金额与原记账本位币金额的差额，计入当期 损益。</w:t>
      </w:r>
    </w:p>
    <w:p>
      <w:pPr>
        <w:pStyle w:val="Style22"/>
        <w:keepNext w:val="0"/>
        <w:keepLines w:val="0"/>
        <w:widowControl w:val="0"/>
        <w:numPr>
          <w:ilvl w:val="0"/>
          <w:numId w:val="19"/>
        </w:numPr>
        <w:shd w:val="clear" w:color="auto" w:fill="auto"/>
        <w:tabs>
          <w:tab w:pos="744" w:val="left"/>
        </w:tabs>
        <w:bidi w:val="0"/>
        <w:spacing w:before="0" w:after="0" w:line="310" w:lineRule="exact"/>
        <w:ind w:left="0" w:right="0" w:firstLine="440"/>
        <w:jc w:val="left"/>
      </w:pPr>
      <w:bookmarkStart w:id="882" w:name="bookmark882"/>
      <w:bookmarkEnd w:id="882"/>
      <w:r>
        <w:rPr>
          <w:color w:val="000000"/>
          <w:spacing w:val="0"/>
          <w:w w:val="100"/>
          <w:position w:val="0"/>
        </w:rPr>
        <w:t>外币报表折算</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项目采用发生时的即期汇率折算；利润表中的收入和费用项目，采用交易发生日的当期平均汇率折算；年初未分配利润为上 一年折算后的年末未分配利润；年末未分配利润按折算后的利润分配各项目计算列示；按照上述折算产生的外币财务报表折 算差额，在资产负债表股东权益项目下的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项目反映。处置境外经营并丧失控制权时，将资产负债表中股东权 益项目下列示的、与该境外经营相关的外币报表折算差额，全部或按处置该境外经营的比例转入处置当期损益。在处置部分 股权投资或其他原因导致持有境外经营权益比例降低但不丧失对境外经营控制权时，与该境外经营处置部分相关的外币报表 折算差额将归属于少数股东权益，不转入当期损益。</w:t>
      </w:r>
    </w:p>
    <w:p>
      <w:pPr>
        <w:pStyle w:val="Style22"/>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现金流量表采用现金流量发生日的当期平均汇率折算。汇率变动对现金的影响额作为调节项目，在现金流量表中单独 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p>
      <w:pPr>
        <w:pStyle w:val="Style37"/>
        <w:keepNext/>
        <w:keepLines/>
        <w:widowControl w:val="0"/>
        <w:shd w:val="clear" w:color="auto" w:fill="auto"/>
        <w:bidi w:val="0"/>
        <w:spacing w:before="0" w:after="180" w:line="360"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sz w:val="18"/>
          <w:szCs w:val="18"/>
        </w:rPr>
        <w:t>1</w:t>
      </w:r>
      <w:bookmarkEnd w:id="885"/>
      <w:r>
        <w:rPr>
          <w:rFonts w:ascii="Times New Roman" w:eastAsia="Times New Roman" w:hAnsi="Times New Roman" w:cs="Times New Roman"/>
          <w:color w:val="000000"/>
          <w:spacing w:val="0"/>
          <w:w w:val="100"/>
          <w:position w:val="0"/>
          <w:sz w:val="18"/>
          <w:szCs w:val="18"/>
        </w:rPr>
        <w:t>0</w:t>
      </w:r>
      <w:r>
        <w:rPr>
          <w:color w:val="000000"/>
          <w:spacing w:val="0"/>
          <w:w w:val="100"/>
          <w:position w:val="0"/>
        </w:rPr>
        <w:t>、金融工具</w:t>
      </w:r>
      <w:bookmarkEnd w:id="883"/>
      <w:bookmarkEnd w:id="884"/>
      <w:bookmarkEnd w:id="886"/>
    </w:p>
    <w:p>
      <w:pPr>
        <w:pStyle w:val="Style22"/>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金融工具是指形成一方的金融资产并形成其他方的金融负债或权益工具的合同。金融工具包括金融资产、金融负债和 权益工具。</w:t>
      </w:r>
    </w:p>
    <w:p>
      <w:pPr>
        <w:pStyle w:val="Style22"/>
        <w:keepNext w:val="0"/>
        <w:keepLines w:val="0"/>
        <w:widowControl w:val="0"/>
        <w:numPr>
          <w:ilvl w:val="0"/>
          <w:numId w:val="21"/>
        </w:numPr>
        <w:shd w:val="clear" w:color="auto" w:fill="auto"/>
        <w:bidi w:val="0"/>
        <w:spacing w:before="0" w:after="0" w:line="360" w:lineRule="auto"/>
        <w:ind w:left="0" w:right="0" w:firstLine="440"/>
        <w:jc w:val="both"/>
      </w:pPr>
      <w:bookmarkStart w:id="887" w:name="bookmark887"/>
      <w:bookmarkEnd w:id="887"/>
      <w:r>
        <w:rPr>
          <w:color w:val="000000"/>
          <w:spacing w:val="0"/>
          <w:w w:val="100"/>
          <w:position w:val="0"/>
        </w:rPr>
        <w:t>金融工具的分类、确认依据和计量方法</w:t>
      </w:r>
    </w:p>
    <w:p>
      <w:pPr>
        <w:pStyle w:val="Style22"/>
        <w:keepNext w:val="0"/>
        <w:keepLines w:val="0"/>
        <w:widowControl w:val="0"/>
        <w:numPr>
          <w:ilvl w:val="0"/>
          <w:numId w:val="23"/>
        </w:numPr>
        <w:shd w:val="clear" w:color="auto" w:fill="auto"/>
        <w:tabs>
          <w:tab w:pos="792" w:val="left"/>
        </w:tabs>
        <w:bidi w:val="0"/>
        <w:spacing w:before="0" w:after="0" w:line="360" w:lineRule="auto"/>
        <w:ind w:left="0" w:right="0" w:firstLine="440"/>
        <w:jc w:val="both"/>
      </w:pPr>
      <w:bookmarkStart w:id="888" w:name="bookmark888"/>
      <w:bookmarkEnd w:id="888"/>
      <w:r>
        <w:rPr>
          <w:color w:val="000000"/>
          <w:spacing w:val="0"/>
          <w:w w:val="100"/>
          <w:position w:val="0"/>
        </w:rPr>
        <w:t>金融资产和金融负债的确认和初始计量</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本公司成为金融工具合同的一方时，确认一项金融资产或金融负债。对于以常规方式购买或出售金融资产的，本公司 在交易日确认将收到的资产和为此将承担的负债，或者在交易日终止确认已出售的资产，同时确认处置利得或损失以及应向 买方收取的应收款项。</w:t>
      </w:r>
    </w:p>
    <w:p>
      <w:pPr>
        <w:pStyle w:val="Style22"/>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金融资产和金融负债在初始确认时以公允价值计量。对于以公允价值计量且其变动计入当期损益的金融资产和金融负 债，相关的交易费用直接计入当期损益，对于其他类别的金融资产和金融负债，相关交易费用计入初始确认金额。对于初始 确认时不具有重大融资成分的应收账款，按照本附注五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的收入确认方法确定的交易价格进行初始计量。</w:t>
      </w:r>
    </w:p>
    <w:p>
      <w:pPr>
        <w:pStyle w:val="Style22"/>
        <w:keepNext w:val="0"/>
        <w:keepLines w:val="0"/>
        <w:widowControl w:val="0"/>
        <w:numPr>
          <w:ilvl w:val="0"/>
          <w:numId w:val="23"/>
        </w:numPr>
        <w:shd w:val="clear" w:color="auto" w:fill="auto"/>
        <w:tabs>
          <w:tab w:pos="792" w:val="left"/>
        </w:tabs>
        <w:bidi w:val="0"/>
        <w:spacing w:before="0" w:after="0" w:line="360" w:lineRule="auto"/>
        <w:ind w:left="0" w:right="0" w:firstLine="440"/>
        <w:jc w:val="both"/>
      </w:pPr>
      <w:bookmarkStart w:id="889" w:name="bookmark889"/>
      <w:bookmarkEnd w:id="889"/>
      <w:r>
        <w:rPr>
          <w:color w:val="000000"/>
          <w:spacing w:val="0"/>
          <w:w w:val="100"/>
          <w:position w:val="0"/>
        </w:rPr>
        <w:t>金融资产的分类和后续计量</w:t>
      </w:r>
    </w:p>
    <w:p>
      <w:pPr>
        <w:pStyle w:val="Style22"/>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本公司根据管理金融资产的业务模式和金融资产的合同现金流量特征将金融资产分类为以摊余成本计量的金融资产、 以公允价值计量且其变动计入其他综合收益的金融资产和以公允价值计量且其变动计入当期损益的金融资产。</w:t>
      </w:r>
    </w:p>
    <w:p>
      <w:pPr>
        <w:pStyle w:val="Style22"/>
        <w:keepNext w:val="0"/>
        <w:keepLines w:val="0"/>
        <w:widowControl w:val="0"/>
        <w:numPr>
          <w:ilvl w:val="0"/>
          <w:numId w:val="25"/>
        </w:numPr>
        <w:shd w:val="clear" w:color="auto" w:fill="auto"/>
        <w:tabs>
          <w:tab w:pos="720" w:val="left"/>
        </w:tabs>
        <w:bidi w:val="0"/>
        <w:spacing w:before="0" w:after="0" w:line="360" w:lineRule="auto"/>
        <w:ind w:left="0" w:right="0" w:firstLine="440"/>
        <w:jc w:val="both"/>
      </w:pPr>
      <w:bookmarkStart w:id="890" w:name="bookmark890"/>
      <w:bookmarkEnd w:id="890"/>
      <w:r>
        <w:rPr>
          <w:color w:val="000000"/>
          <w:spacing w:val="0"/>
          <w:w w:val="100"/>
          <w:position w:val="0"/>
        </w:rPr>
        <w:t>以摊余成本计量的金融资产</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以摊余成本计量的金融资产，是指同时符合下列条件的金融资产：①本公司管理该金融资产的业务模式是以收取合同 现金流量为目标；②该金融资产的合同条款规定，在特定日期产生的现金流量，仅为对本金和以未偿付本金金额为基础的利 息的支付。</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该类金融资产在初始确认后采用实际利率法以摊余成本计量，所产生的利得或损失在终止确认、按照实际利率法摊销 或确认减值时，计入当期损益。</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对于金融资产的摊余成本，应当以该金融资产的初始确认金额经下列调整后的结果确定：①扣除已偿还的本金；②加 上或减去采用实际利率法将该初始确认金额与到期日金额之间的差额进行摊销形成的累计摊销额;③扣除累计计提的损失准 备。</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实际利率法，是指计算金融资产或金融负债的摊余成本以及将利息收入或利息费用分摊计入各会计期间的方法。实际 利率，是指将金融资产或金融负债在预计存续期的估计未来现金流量，折现为该金融资产账面余额或该金融负债摊余成本所 使用的利率。在确定实际利率时，本公司在考虑金融资产或金融负债所有合同条款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如提前还款、展期、看涨期权或其他类 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22"/>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本公司根据金融资产账面余额乘以实际利率计算确定利息收入，但下列情况除外：①对于购入或源生的已发生信用减 值的金融资产，自初始确认起，按照该金融资产的摊余成本和经信用调整的实际利率计算确定其利息收入。②对于购入或源 生的未发生信用减值、但在后续期间成为已发生信用减值的金融资产，按照该金融资产的摊余成本和实际利率计算确定其利 息收入。若该金融工具在后续期间因其信用风险有所改善而不再存在信用减值，并且这一改善在客观上可与应用上述规定之 后发生的某一事件相联系，应转按实际利率乘以该金融资产账面余额来计算确定利息收入。</w:t>
      </w:r>
    </w:p>
    <w:p>
      <w:pPr>
        <w:pStyle w:val="Style22"/>
        <w:keepNext w:val="0"/>
        <w:keepLines w:val="0"/>
        <w:widowControl w:val="0"/>
        <w:numPr>
          <w:ilvl w:val="0"/>
          <w:numId w:val="25"/>
        </w:numPr>
        <w:shd w:val="clear" w:color="auto" w:fill="auto"/>
        <w:tabs>
          <w:tab w:pos="739" w:val="left"/>
        </w:tabs>
        <w:bidi w:val="0"/>
        <w:spacing w:before="0" w:after="0" w:line="360" w:lineRule="auto"/>
        <w:ind w:left="0" w:right="0" w:firstLine="440"/>
        <w:jc w:val="both"/>
      </w:pPr>
      <w:bookmarkStart w:id="891" w:name="bookmark891"/>
      <w:bookmarkEnd w:id="891"/>
      <w:r>
        <w:rPr>
          <w:color w:val="000000"/>
          <w:spacing w:val="0"/>
          <w:w w:val="100"/>
          <w:position w:val="0"/>
        </w:rPr>
        <w:t>以公允价值计量且其变动计入其他综合收益的金融资产</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以公允价值计量且其变动计入其他综合收益的金融资产，是指同时符合下列条件的金融资产：①本公司管理该金融资 产的业务模式既以收取合同现金流量为目标又以出售该金融资产为目标。②该金融资产的合同条款规定，在特定日期产生的 现金流量，仅为对本金和以未偿付本金金额为基础的利息的支付。</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该类金融资产在初始确认后以公允价值进行后续计量。采用实际利率法计算的利息、减值损失或利得及汇兑损益计入 当期损益，其他利得或损失计入其他综合收益。终止确认时，将之前计入其他综合收益的累计利得或损失从其他综合收益中 转出，计入当期损益。</w:t>
      </w:r>
    </w:p>
    <w:p>
      <w:pPr>
        <w:pStyle w:val="Style22"/>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 xml:space="preserve">对于非交易性权益工具投资，本公司可在初始确认时将其不可撤销地指定为以公允价值计量且其变动计入其他综合收 </w:t>
      </w:r>
      <w:r>
        <w:rPr>
          <w:color w:val="000000"/>
          <w:spacing w:val="0"/>
          <w:w w:val="100"/>
          <w:position w:val="0"/>
        </w:rPr>
        <w:t>益的金融资产。该指定基于单项非交易性权益工具投资的基础上作出，且相关投资从工具发行者的角度符合权益工具的定义。 此类投资在初始指定后，除了获得的股利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属于投资成本收回部分的除外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计入当期损益外，其他相关的利得或损失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包括汇兑 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均计入其他综合收益。终止确认时，将之前计入其他综合收益的累计利得或损失从其他综合收益中转出，计入留存收 益。</w:t>
      </w:r>
    </w:p>
    <w:p>
      <w:pPr>
        <w:pStyle w:val="Style22"/>
        <w:keepNext w:val="0"/>
        <w:keepLines w:val="0"/>
        <w:widowControl w:val="0"/>
        <w:shd w:val="clear" w:color="auto" w:fill="auto"/>
        <w:bidi w:val="0"/>
        <w:spacing w:before="0" w:after="0" w:line="360" w:lineRule="auto"/>
        <w:ind w:left="0" w:right="0" w:firstLine="440"/>
        <w:jc w:val="both"/>
      </w:pPr>
      <w:bookmarkStart w:id="892" w:name="bookmark892"/>
      <w:r>
        <w:rPr>
          <w:rFonts w:ascii="Times New Roman" w:eastAsia="Times New Roman" w:hAnsi="Times New Roman" w:cs="Times New Roman"/>
          <w:color w:val="000000"/>
          <w:spacing w:val="0"/>
          <w:w w:val="100"/>
          <w:position w:val="0"/>
          <w:sz w:val="18"/>
          <w:szCs w:val="18"/>
        </w:rPr>
        <w:t>3</w:t>
      </w:r>
      <w:bookmarkEnd w:id="892"/>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以公允价值计量且其变动计入当期损益的金融资产</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情形外，本公司将其余所有的金融资产分类为以公允价值计量且其变动计入当期损益的金融资产。在初始 确认时，如果能够消除或显著减少会计错配，可以将金融资产不可撤销地指定为以公允价值计量且其变动计入当期损益的金 融资产。本公司在非同一控制下的企业合并中确认的或有对价构成金融资产的，该金融资产分类为以公允价值计量且其变动 计入当期损益的金融资产。</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该类金融资产在初始确认后以公允价值进行后续计量，产生的利得或损失计入当期损益。</w:t>
      </w:r>
    </w:p>
    <w:p>
      <w:pPr>
        <w:pStyle w:val="Style22"/>
        <w:keepNext w:val="0"/>
        <w:keepLines w:val="0"/>
        <w:widowControl w:val="0"/>
        <w:shd w:val="clear" w:color="auto" w:fill="auto"/>
        <w:tabs>
          <w:tab w:pos="814" w:val="left"/>
        </w:tabs>
        <w:bidi w:val="0"/>
        <w:spacing w:before="0" w:after="0" w:line="360" w:lineRule="auto"/>
        <w:ind w:left="0" w:right="0" w:firstLine="440"/>
        <w:jc w:val="both"/>
      </w:pPr>
      <w:bookmarkStart w:id="893" w:name="bookmark893"/>
      <w:r>
        <w:rPr>
          <w:rFonts w:ascii="Times New Roman" w:eastAsia="Times New Roman" w:hAnsi="Times New Roman" w:cs="Times New Roman"/>
          <w:color w:val="000000"/>
          <w:spacing w:val="0"/>
          <w:w w:val="100"/>
          <w:position w:val="0"/>
          <w:sz w:val="18"/>
          <w:szCs w:val="18"/>
        </w:rPr>
        <w:t>（</w:t>
      </w:r>
      <w:bookmarkEnd w:id="893"/>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金融负债的分类和后续计量</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本公司将金融负债分类为以公允价值计量且其变动计入当期损益的金融负债、金融资产转移不符合终止确认条件或继 续涉入被转移金融资产所形成的金融负债、财务担保合同及以摊余成本计量的金融负债。</w:t>
      </w:r>
    </w:p>
    <w:p>
      <w:pPr>
        <w:pStyle w:val="Style22"/>
        <w:keepNext w:val="0"/>
        <w:keepLines w:val="0"/>
        <w:widowControl w:val="0"/>
        <w:shd w:val="clear" w:color="auto" w:fill="auto"/>
        <w:tabs>
          <w:tab w:pos="742" w:val="left"/>
        </w:tabs>
        <w:bidi w:val="0"/>
        <w:spacing w:before="0" w:after="0" w:line="360" w:lineRule="auto"/>
        <w:ind w:left="0" w:right="0" w:firstLine="440"/>
        <w:jc w:val="both"/>
      </w:pPr>
      <w:bookmarkStart w:id="894" w:name="bookmark894"/>
      <w:r>
        <w:rPr>
          <w:rFonts w:ascii="Times New Roman" w:eastAsia="Times New Roman" w:hAnsi="Times New Roman" w:cs="Times New Roman"/>
          <w:color w:val="000000"/>
          <w:spacing w:val="0"/>
          <w:w w:val="100"/>
          <w:position w:val="0"/>
          <w:sz w:val="18"/>
          <w:szCs w:val="18"/>
        </w:rPr>
        <w:t>1</w:t>
      </w:r>
      <w:bookmarkEnd w:id="8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以公允价值计量且其变动计入当期损益的金融负债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以公允价值计量且其变动计入当期损益的金融负债，包括交易性金融负债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和指定为以公允 价值计量且其变动计入当期损益的金融负债。在非同一控制下的企业合并中，本公司作为购买方确认的或有对价形成金融负 债的，该金融负债应当按照以公允价值计量且其变动计入当期损益进行会计处理。</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以公允价值计量且其变动计入当期损益的金融负债在初始确认后以公允价值进行后续计量，产生的利得或损失计入当 期损益。</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因公司自身信用风险变动引起的指定为以公允价值计量且其变动计入当期损益的金融负债的公允价值变动金额计入其 他综合收益，除非该处理会造成或扩大损益中的会计错配。该金融负债的其他公允价值变动计入当期损益。终止确认时，将 之前计入其他综合收益的累计利得或损失从其他综合收益中转出，计入留存收益。</w:t>
      </w:r>
    </w:p>
    <w:p>
      <w:pPr>
        <w:pStyle w:val="Style22"/>
        <w:keepNext w:val="0"/>
        <w:keepLines w:val="0"/>
        <w:widowControl w:val="0"/>
        <w:shd w:val="clear" w:color="auto" w:fill="auto"/>
        <w:tabs>
          <w:tab w:pos="761" w:val="left"/>
        </w:tabs>
        <w:bidi w:val="0"/>
        <w:spacing w:before="0" w:after="0" w:line="360" w:lineRule="auto"/>
        <w:ind w:left="0" w:right="0" w:firstLine="440"/>
        <w:jc w:val="both"/>
      </w:pPr>
      <w:bookmarkStart w:id="895" w:name="bookmark895"/>
      <w:r>
        <w:rPr>
          <w:rFonts w:ascii="Times New Roman" w:eastAsia="Times New Roman" w:hAnsi="Times New Roman" w:cs="Times New Roman"/>
          <w:color w:val="000000"/>
          <w:spacing w:val="0"/>
          <w:w w:val="100"/>
          <w:position w:val="0"/>
          <w:sz w:val="18"/>
          <w:szCs w:val="18"/>
        </w:rPr>
        <w:t>2</w:t>
      </w:r>
      <w:bookmarkEnd w:id="8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该类金融负债按照本附注五</w:t>
      </w:r>
      <w:r>
        <w:rPr>
          <w:rFonts w:ascii="Times New Roman" w:eastAsia="Times New Roman" w:hAnsi="Times New Roman" w:cs="Times New Roman"/>
          <w:color w:val="000000"/>
          <w:spacing w:val="0"/>
          <w:w w:val="100"/>
          <w:position w:val="0"/>
          <w:sz w:val="18"/>
          <w:szCs w:val="18"/>
        </w:rPr>
        <w:t>（10） 2（</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日起适用的会计政策部分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金融资产转移的会计政策确定的方法进行计 量。</w:t>
      </w:r>
    </w:p>
    <w:p>
      <w:pPr>
        <w:pStyle w:val="Style22"/>
        <w:keepNext w:val="0"/>
        <w:keepLines w:val="0"/>
        <w:widowControl w:val="0"/>
        <w:shd w:val="clear" w:color="auto" w:fill="auto"/>
        <w:tabs>
          <w:tab w:pos="761" w:val="left"/>
        </w:tabs>
        <w:bidi w:val="0"/>
        <w:spacing w:before="0" w:after="0" w:line="360" w:lineRule="auto"/>
        <w:ind w:left="0" w:right="0" w:firstLine="440"/>
        <w:jc w:val="both"/>
      </w:pPr>
      <w:bookmarkStart w:id="896" w:name="bookmark896"/>
      <w:r>
        <w:rPr>
          <w:rFonts w:ascii="Times New Roman" w:eastAsia="Times New Roman" w:hAnsi="Times New Roman" w:cs="Times New Roman"/>
          <w:color w:val="000000"/>
          <w:spacing w:val="0"/>
          <w:w w:val="100"/>
          <w:position w:val="0"/>
          <w:sz w:val="18"/>
          <w:szCs w:val="18"/>
        </w:rPr>
        <w:t>3</w:t>
      </w:r>
      <w:bookmarkEnd w:id="8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财务担保合同</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财务担保合同，是指当特定债务人到期不能按照最初或修改后的债务工具条款偿付债务时，要求本公司向蒙受损失的 合同持有人赔付特定金额的合同。</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情形的财务担保合同，在初始确认后按照下列两项金额之中的较高者进行后续计量：①按照本附注五 </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日起适用的会计政策部分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金融工具的减值方法确定的损失准备金额；②初始确认金额扣除按照本附注五 </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的收入确认方法所确定的累计摊销额后的余额。</w:t>
      </w:r>
    </w:p>
    <w:p>
      <w:pPr>
        <w:pStyle w:val="Style22"/>
        <w:keepNext w:val="0"/>
        <w:keepLines w:val="0"/>
        <w:widowControl w:val="0"/>
        <w:shd w:val="clear" w:color="auto" w:fill="auto"/>
        <w:tabs>
          <w:tab w:pos="761" w:val="left"/>
        </w:tabs>
        <w:bidi w:val="0"/>
        <w:spacing w:before="0" w:after="0" w:line="360" w:lineRule="auto"/>
        <w:ind w:left="0" w:right="0" w:firstLine="440"/>
        <w:jc w:val="both"/>
      </w:pPr>
      <w:bookmarkStart w:id="897" w:name="bookmark897"/>
      <w:r>
        <w:rPr>
          <w:rFonts w:ascii="Times New Roman" w:eastAsia="Times New Roman" w:hAnsi="Times New Roman" w:cs="Times New Roman"/>
          <w:color w:val="000000"/>
          <w:spacing w:val="0"/>
          <w:w w:val="100"/>
          <w:position w:val="0"/>
          <w:sz w:val="18"/>
          <w:szCs w:val="18"/>
        </w:rPr>
        <w:t>4</w:t>
      </w:r>
      <w:bookmarkEnd w:id="8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以摊余成本计量的金融负债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情形外，本公司将其余所有的金融负债分类为以摊余成本计量的金融负债。</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该类金融负债在初始确认后采用实际利率法以摊余成本计量，产生的利得或损失在终止确认或在按照实际利率法摊销 时计入当期损益。</w:t>
      </w:r>
    </w:p>
    <w:p>
      <w:pPr>
        <w:pStyle w:val="Style22"/>
        <w:keepNext w:val="0"/>
        <w:keepLines w:val="0"/>
        <w:widowControl w:val="0"/>
        <w:shd w:val="clear" w:color="auto" w:fill="auto"/>
        <w:tabs>
          <w:tab w:pos="814" w:val="left"/>
        </w:tabs>
        <w:bidi w:val="0"/>
        <w:spacing w:before="0" w:after="0" w:line="360" w:lineRule="auto"/>
        <w:ind w:left="0" w:right="0" w:firstLine="440"/>
        <w:jc w:val="both"/>
      </w:pPr>
      <w:bookmarkStart w:id="898" w:name="bookmark898"/>
      <w:r>
        <w:rPr>
          <w:rFonts w:ascii="Times New Roman" w:eastAsia="Times New Roman" w:hAnsi="Times New Roman" w:cs="Times New Roman"/>
          <w:color w:val="000000"/>
          <w:spacing w:val="0"/>
          <w:w w:val="100"/>
          <w:position w:val="0"/>
          <w:sz w:val="18"/>
          <w:szCs w:val="18"/>
        </w:rPr>
        <w:t>（</w:t>
      </w:r>
      <w:bookmarkEnd w:id="898"/>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权益工具</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权益工具是指能证明拥有本公司在扣除所有负债后的资产中的剩余权益的合同。本公司发行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含再融资）、回购、出售或 注销权益工具作为权益的变动处理。与权益性交易相关的交易费用从权益中扣减。本公司对权益工具持有方的各种分配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包括股票股利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，减少股东权益。本公司不确认权益工具的公允价值变动额。</w:t>
      </w:r>
    </w:p>
    <w:p>
      <w:pPr>
        <w:pStyle w:val="Style22"/>
        <w:keepNext w:val="0"/>
        <w:keepLines w:val="0"/>
        <w:widowControl w:val="0"/>
        <w:shd w:val="clear" w:color="auto" w:fill="auto"/>
        <w:tabs>
          <w:tab w:pos="814" w:val="left"/>
        </w:tabs>
        <w:bidi w:val="0"/>
        <w:spacing w:before="0" w:after="0" w:line="360" w:lineRule="auto"/>
        <w:ind w:left="0" w:right="0" w:firstLine="440"/>
        <w:jc w:val="both"/>
      </w:pPr>
      <w:bookmarkStart w:id="899" w:name="bookmark899"/>
      <w:r>
        <w:rPr>
          <w:rFonts w:ascii="Times New Roman" w:eastAsia="Times New Roman" w:hAnsi="Times New Roman" w:cs="Times New Roman"/>
          <w:color w:val="000000"/>
          <w:spacing w:val="0"/>
          <w:w w:val="100"/>
          <w:position w:val="0"/>
          <w:sz w:val="18"/>
          <w:szCs w:val="18"/>
        </w:rPr>
        <w:t>（</w:t>
      </w:r>
      <w:bookmarkEnd w:id="899"/>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衍生工具及嵌入衍生工具</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衍生工具，包括远期外汇合约、货币汇率互换合同、利率互换合同及外汇期权合同等。衍生工具于初始确认时以公允 价值进行初始计量，并以公允价值进行后续计量。衍生工具的公允价值变动计入当期损益。</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嵌入衍生工具，是指嵌入到非衍生工具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即主合同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中的衍生工具。对于嵌入衍生工具与主合同构成的混合合同，若主合 同属于金融资产的，本公司不从该混合合同中分拆嵌入衍生工具，而将该混合合同作为一个整体适用本公司关于金融资产分 </w:t>
      </w:r>
      <w:r>
        <w:rPr>
          <w:color w:val="000000"/>
          <w:spacing w:val="0"/>
          <w:w w:val="100"/>
          <w:position w:val="0"/>
        </w:rPr>
        <w:t>类的会计政策。若混合合同包含的主合同不属于金融资产，且同时符合下列条件的，本公司将嵌入衍生工具从混合合同中分 拆，作为单独的衍生工具处理：</w:t>
      </w:r>
    </w:p>
    <w:p>
      <w:pPr>
        <w:pStyle w:val="Style22"/>
        <w:keepNext w:val="0"/>
        <w:keepLines w:val="0"/>
        <w:widowControl w:val="0"/>
        <w:shd w:val="clear" w:color="auto" w:fill="auto"/>
        <w:tabs>
          <w:tab w:pos="710" w:val="left"/>
        </w:tabs>
        <w:bidi w:val="0"/>
        <w:spacing w:before="0" w:after="0" w:line="360" w:lineRule="auto"/>
        <w:ind w:left="0" w:right="0" w:firstLine="440"/>
        <w:jc w:val="both"/>
      </w:pPr>
      <w:bookmarkStart w:id="900" w:name="bookmark900"/>
      <w:r>
        <w:rPr>
          <w:rFonts w:ascii="Times New Roman" w:eastAsia="Times New Roman" w:hAnsi="Times New Roman" w:cs="Times New Roman"/>
          <w:color w:val="000000"/>
          <w:spacing w:val="0"/>
          <w:w w:val="100"/>
          <w:position w:val="0"/>
          <w:sz w:val="18"/>
          <w:szCs w:val="18"/>
        </w:rPr>
        <w:t>1</w:t>
      </w:r>
      <w:bookmarkEnd w:id="9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嵌入衍生工具的经济特征及风险与主合同的经济特征及风险不紧密相关。</w:t>
      </w:r>
    </w:p>
    <w:p>
      <w:pPr>
        <w:pStyle w:val="Style22"/>
        <w:keepNext w:val="0"/>
        <w:keepLines w:val="0"/>
        <w:widowControl w:val="0"/>
        <w:shd w:val="clear" w:color="auto" w:fill="auto"/>
        <w:tabs>
          <w:tab w:pos="729" w:val="left"/>
        </w:tabs>
        <w:bidi w:val="0"/>
        <w:spacing w:before="0" w:after="0" w:line="360" w:lineRule="auto"/>
        <w:ind w:left="0" w:right="0" w:firstLine="440"/>
        <w:jc w:val="both"/>
      </w:pPr>
      <w:bookmarkStart w:id="901" w:name="bookmark901"/>
      <w:r>
        <w:rPr>
          <w:rFonts w:ascii="Times New Roman" w:eastAsia="Times New Roman" w:hAnsi="Times New Roman" w:cs="Times New Roman"/>
          <w:color w:val="000000"/>
          <w:spacing w:val="0"/>
          <w:w w:val="100"/>
          <w:position w:val="0"/>
          <w:sz w:val="18"/>
          <w:szCs w:val="18"/>
        </w:rPr>
        <w:t>2</w:t>
      </w:r>
      <w:bookmarkEnd w:id="9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与该嵌入衍生工具具有相同条款的单独工具符合衍生工具的定义。</w:t>
      </w:r>
    </w:p>
    <w:p>
      <w:pPr>
        <w:pStyle w:val="Style22"/>
        <w:keepNext w:val="0"/>
        <w:keepLines w:val="0"/>
        <w:widowControl w:val="0"/>
        <w:shd w:val="clear" w:color="auto" w:fill="auto"/>
        <w:tabs>
          <w:tab w:pos="729" w:val="left"/>
        </w:tabs>
        <w:bidi w:val="0"/>
        <w:spacing w:before="0" w:after="0" w:line="360" w:lineRule="auto"/>
        <w:ind w:left="0" w:right="0" w:firstLine="440"/>
        <w:jc w:val="both"/>
      </w:pPr>
      <w:bookmarkStart w:id="902" w:name="bookmark902"/>
      <w:r>
        <w:rPr>
          <w:rFonts w:ascii="Times New Roman" w:eastAsia="Times New Roman" w:hAnsi="Times New Roman" w:cs="Times New Roman"/>
          <w:color w:val="000000"/>
          <w:spacing w:val="0"/>
          <w:w w:val="100"/>
          <w:position w:val="0"/>
          <w:sz w:val="18"/>
          <w:szCs w:val="18"/>
        </w:rPr>
        <w:t>3</w:t>
      </w:r>
      <w:bookmarkEnd w:id="90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该混合合同不是以公允价值计量且其变动计入当期损益进行会计处理。</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嵌入衍生工具从混合合同中分拆的，本公司按照适用的会计准则规定对混合合同的主合同进行会计处理。本公司无法 根据嵌入衍生工具的条款和条件对嵌入衍生工具的公允价值进行可靠计量的，该嵌入衍生工具的公允价值根据混合合同公允 价值和主合同公允价值之间的差额确定。使用了上述方法后，该嵌入衍生工具在取得日或后续资产负债表日的公允价值仍然 无法单独计量的，本公司将该混合合同整体指定为以公允价值计量且其变动计入当期损益的金融工具。</w:t>
      </w:r>
    </w:p>
    <w:p>
      <w:pPr>
        <w:pStyle w:val="Style22"/>
        <w:keepNext w:val="0"/>
        <w:keepLines w:val="0"/>
        <w:widowControl w:val="0"/>
        <w:numPr>
          <w:ilvl w:val="0"/>
          <w:numId w:val="21"/>
        </w:numPr>
        <w:shd w:val="clear" w:color="auto" w:fill="auto"/>
        <w:tabs>
          <w:tab w:pos="719" w:val="left"/>
        </w:tabs>
        <w:bidi w:val="0"/>
        <w:spacing w:before="0" w:after="0" w:line="360" w:lineRule="auto"/>
        <w:ind w:left="0" w:right="0" w:firstLine="440"/>
        <w:jc w:val="both"/>
      </w:pPr>
      <w:bookmarkStart w:id="903" w:name="bookmark903"/>
      <w:bookmarkEnd w:id="903"/>
      <w:r>
        <w:rPr>
          <w:color w:val="000000"/>
          <w:spacing w:val="0"/>
          <w:w w:val="100"/>
          <w:position w:val="0"/>
        </w:rPr>
        <w:t>金融资产转移的确认依据及计量方法</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金融资产转移，是指本公司将金融资产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或其现金流量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让与或交付该金融资产发行方以外的另一方。金融资产终止确认， 是指本公司将之前确认的金融资产从其资产负债表中予以转出。</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满足下列条件之一的金融资产，本公司予以终止确认：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收取该金融资产现金流量的合同权利终止；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该金融资产已 转移，且将金融资产所有权上几乎所有的风险和报酬转移给转入方；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该金融资产已转移，虽然本公司既没有转移也没有 保留金融资产所有权上几乎所有的风险和报酬，但是放弃了对该金融资产的控制。</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若本公司既没有转移也没有保留金融资产所有权上几乎所有的风险和报酬，且保留了对该金融资产的控制的，则按照 继续涉入被转移金融资产的程度继续确认有关金融资产，并相应确认有关负债。继续涉入所转移金融资产的程度，是指该金 融资产价值变动使企业面临的风险水平。</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被转移金融资产在终止确认日的账 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因转移金融资产而收到的对价，与原直接计入其他综合收益的公允价值变动累计额中对应终止确认部分的金额 之和。金融资产部分转移满足终止确认条件的，将所转移金融资产整体的账面价值，在终止确认部分和未终止确认部分之间， 按照各自的相对公允价值进行分摊，并将下列两项金额的差额计入当期损益：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终止确认部分在终止确认日的账面价值；</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终止确认部分收到的对价，与原直接计入其他综合收益的公允价值变动累计额中对应终止确认部分的金额之和。对于本公司 指定为以公允价值计量且其变动计入其他综合收益的非交易性权益工具，整体或部分转移满足终止确认条件的，按上述方法 计算的差额计入留存收益。</w:t>
      </w:r>
    </w:p>
    <w:p>
      <w:pPr>
        <w:pStyle w:val="Style22"/>
        <w:keepNext w:val="0"/>
        <w:keepLines w:val="0"/>
        <w:widowControl w:val="0"/>
        <w:numPr>
          <w:ilvl w:val="0"/>
          <w:numId w:val="21"/>
        </w:numPr>
        <w:shd w:val="clear" w:color="auto" w:fill="auto"/>
        <w:tabs>
          <w:tab w:pos="719" w:val="left"/>
        </w:tabs>
        <w:bidi w:val="0"/>
        <w:spacing w:before="0" w:after="0" w:line="360" w:lineRule="auto"/>
        <w:ind w:left="0" w:right="0" w:firstLine="440"/>
        <w:jc w:val="both"/>
      </w:pPr>
      <w:bookmarkStart w:id="904" w:name="bookmark904"/>
      <w:bookmarkEnd w:id="904"/>
      <w:r>
        <w:rPr>
          <w:color w:val="000000"/>
          <w:spacing w:val="0"/>
          <w:w w:val="100"/>
          <w:position w:val="0"/>
        </w:rPr>
        <w:t>金融负债终止确认条件</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的现时义务已经解除的，本公司终止确认该金融负债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或该部分金融负债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借入方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与借 出方之间签订协议，以承担新金融负债方式替换原金融负债，且新金融负债与原金融负债的合同条款实质上不同的，终止确 认原金融负债，同时确认一项新金融负债。本公司对原金融负债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的合同条款做出实质性修改的，终止确认原金 融负债，同时按照修改后的条款确认一项新金融负债。</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终止确认的，本公司将其账面价值与支付的对价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包括转出的非现金资产或承担的负债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 额，计入当期损益。本公司回购金融负债一部分的，按照继续确认部分和终止确认部分在回购日各自的公允价值占整体公允 价值的比例，对该金融负债整体的账面价值进行分配。分配给终止确认部分的账面价值与支付的对价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 产或承担的负债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之间的差额，计入当期损益。</w:t>
      </w:r>
    </w:p>
    <w:p>
      <w:pPr>
        <w:pStyle w:val="Style22"/>
        <w:keepNext w:val="0"/>
        <w:keepLines w:val="0"/>
        <w:widowControl w:val="0"/>
        <w:numPr>
          <w:ilvl w:val="0"/>
          <w:numId w:val="21"/>
        </w:numPr>
        <w:shd w:val="clear" w:color="auto" w:fill="auto"/>
        <w:tabs>
          <w:tab w:pos="719" w:val="left"/>
        </w:tabs>
        <w:bidi w:val="0"/>
        <w:spacing w:before="0" w:after="0" w:line="360" w:lineRule="auto"/>
        <w:ind w:left="0" w:right="0" w:firstLine="440"/>
        <w:jc w:val="both"/>
      </w:pPr>
      <w:bookmarkStart w:id="905" w:name="bookmark905"/>
      <w:bookmarkEnd w:id="905"/>
      <w:r>
        <w:rPr>
          <w:color w:val="000000"/>
          <w:spacing w:val="0"/>
          <w:w w:val="100"/>
          <w:position w:val="0"/>
        </w:rPr>
        <w:t>金融工具公允价值的确定</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金融资产和金融负债的公允价值确定方法见本附注五</w:t>
      </w:r>
      <w:r>
        <w:rPr>
          <w:rFonts w:ascii="Times New Roman" w:eastAsia="Times New Roman" w:hAnsi="Times New Roman" w:cs="Times New Roman"/>
          <w:color w:val="000000"/>
          <w:spacing w:val="0"/>
          <w:w w:val="100"/>
          <w:position w:val="0"/>
          <w:sz w:val="18"/>
          <w:szCs w:val="18"/>
        </w:rPr>
        <w:t>（43）1</w:t>
      </w:r>
      <w:r>
        <w:rPr>
          <w:color w:val="000000"/>
          <w:spacing w:val="0"/>
          <w:w w:val="100"/>
          <w:position w:val="0"/>
        </w:rPr>
        <w:t>。</w:t>
      </w:r>
    </w:p>
    <w:p>
      <w:pPr>
        <w:pStyle w:val="Style22"/>
        <w:keepNext w:val="0"/>
        <w:keepLines w:val="0"/>
        <w:widowControl w:val="0"/>
        <w:numPr>
          <w:ilvl w:val="0"/>
          <w:numId w:val="21"/>
        </w:numPr>
        <w:shd w:val="clear" w:color="auto" w:fill="auto"/>
        <w:tabs>
          <w:tab w:pos="719" w:val="left"/>
        </w:tabs>
        <w:bidi w:val="0"/>
        <w:spacing w:before="0" w:after="0" w:line="360" w:lineRule="auto"/>
        <w:ind w:left="0" w:right="0" w:firstLine="440"/>
        <w:jc w:val="both"/>
      </w:pPr>
      <w:bookmarkStart w:id="906" w:name="bookmark906"/>
      <w:bookmarkEnd w:id="906"/>
      <w:r>
        <w:rPr>
          <w:color w:val="000000"/>
          <w:spacing w:val="0"/>
          <w:w w:val="100"/>
          <w:position w:val="0"/>
        </w:rPr>
        <w:t>金融工具的减值</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本公司以预期信用损失为基础，对以摊余成本计量的金融资产、合同资产、以公允价值计量且其变动计入其他综合收 益的债务工具投资、租赁应收款以及本附注五</w:t>
      </w:r>
      <w:r>
        <w:rPr>
          <w:rFonts w:ascii="Times New Roman" w:eastAsia="Times New Roman" w:hAnsi="Times New Roman" w:cs="Times New Roman"/>
          <w:color w:val="000000"/>
          <w:spacing w:val="0"/>
          <w:w w:val="100"/>
          <w:position w:val="0"/>
          <w:sz w:val="18"/>
          <w:szCs w:val="18"/>
        </w:rPr>
        <w:t>（10）1（3）3）（</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日起适用的会计政策部分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所述的财务担保合同进行减 值处理并确认损失准备。预期信用损失，是指以发生违约的风险为权重的金融工具信用损失的加权平均值。信用损失，是指 本公司按照原实际利率折现的、根据合同应收的所有合同现金流量与预期收取的所有现金流量之间的差额，即全部现金短缺 的现值。</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对于购买或源生的已发生信用减值的金融资产，公司在资产负债表日仅将自初始确认后整个存续期内预期信用损失的 累计变动确认为损失准备。</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号——收入》规范的交易形成的应收款项或合同资产及租赁应收款，本公司运用简化计量 方法，按照相当于整个存续期内的预期信用损失金额计量损失准备。</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除上述计量方法以外的金融工具，本公司按照一般方法计量损失准备，在每个资产负债表日评估其信用风险自初始确 认后是否已经显著增加。如果信用风险自初始确认后已显著增加，公司按照整个存续期内预期信用损失的金额计量损失准备; 如果信用风险自初始确认后未显著增加，公司按照该金融工具未来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整个存续期预期信用损失，是指因金融工具整个预计存续期内所有可能发生的违约事件而导致的预期信用损失。未来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可能发生 的金融工具违约事件而导致的预期信用损失，是整个存续期预期信用损失的一部分。</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本公司考虑所有合理且有依据的信息，包括前瞻性信息，通过比较金融工具在资产负债表日发生违约的风险与在初始 确认日发生违约的风险，确定金融工具预计存续期内发生违约风险的相对变化，以评估金融工具的信用风险自初始确认后是 否已显著增加。对于在单项工具层面无法以合理成本获得关于信用风险显著增加的充分证据的金融工具，本公司以组合为基 础考虑评估信用风险是否显著增加。若本公司判断金融工具在资产负债表日只具有较低的信用风险，则假定该金融工具的信 用风险自初始确认后并未显著增加。</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本公司在每个资产负债表日重新计量预期信用损失，由此形成的损失准备的增加或转回金额，作为减值损失或利得计 入当期损益。对于以摊余成本计量的金融资产，损失准备抵减该金融资产在资产负债表中列示的账面价值；对于以公允价值 计量且其变动计入其他综合收益的债务工具投资，公司在其他综合收益中确认其损失准备，不抵减该金融资产在资产负债表 中列示的账面价值。</w:t>
      </w:r>
    </w:p>
    <w:p>
      <w:pPr>
        <w:pStyle w:val="Style22"/>
        <w:keepNext w:val="0"/>
        <w:keepLines w:val="0"/>
        <w:widowControl w:val="0"/>
        <w:numPr>
          <w:ilvl w:val="0"/>
          <w:numId w:val="21"/>
        </w:numPr>
        <w:shd w:val="clear" w:color="auto" w:fill="auto"/>
        <w:bidi w:val="0"/>
        <w:spacing w:before="0" w:after="0" w:line="313" w:lineRule="exact"/>
        <w:ind w:left="0" w:right="0" w:firstLine="440"/>
        <w:jc w:val="left"/>
      </w:pPr>
      <w:bookmarkStart w:id="907" w:name="bookmark907"/>
      <w:bookmarkEnd w:id="907"/>
      <w:r>
        <w:rPr>
          <w:color w:val="000000"/>
          <w:spacing w:val="0"/>
          <w:w w:val="100"/>
          <w:position w:val="0"/>
        </w:rPr>
        <w:t>金融资产和金融负债的抵销</w:t>
      </w:r>
    </w:p>
    <w:p>
      <w:pPr>
        <w:pStyle w:val="Style22"/>
        <w:keepNext w:val="0"/>
        <w:keepLines w:val="0"/>
        <w:widowControl w:val="0"/>
        <w:shd w:val="clear" w:color="auto" w:fill="auto"/>
        <w:bidi w:val="0"/>
        <w:spacing w:before="0" w:after="400" w:line="326" w:lineRule="exact"/>
        <w:ind w:left="0" w:right="0" w:firstLine="440"/>
        <w:jc w:val="both"/>
      </w:pPr>
      <w:r>
        <w:rPr>
          <w:color w:val="000000"/>
          <w:spacing w:val="0"/>
          <w:w w:val="100"/>
          <w:position w:val="0"/>
        </w:rPr>
        <w:t>当本公司具有抵销已确认金融资产和金融负债的法定权利，且目前可执行该种法定权利，同时本公司计划以净额结算 或同时变现该金融资产和清偿该金融负债时，金融资产和金融负债以相互抵销后的金额在资产负债表内列示。除此以外，金 融资产和金融负债在资产负债表内分别列示，不予相互抵销。</w:t>
      </w:r>
    </w:p>
    <w:p>
      <w:pPr>
        <w:pStyle w:val="Style37"/>
        <w:keepNext/>
        <w:keepLines/>
        <w:widowControl w:val="0"/>
        <w:shd w:val="clear" w:color="auto" w:fill="auto"/>
        <w:bidi w:val="0"/>
        <w:spacing w:before="0" w:after="180" w:line="36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sz w:val="18"/>
          <w:szCs w:val="18"/>
        </w:rPr>
        <w:t>1</w:t>
      </w:r>
      <w:bookmarkEnd w:id="9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、应收票据</w:t>
      </w:r>
      <w:bookmarkEnd w:id="908"/>
      <w:bookmarkEnd w:id="909"/>
      <w:bookmarkEnd w:id="911"/>
    </w:p>
    <w:p>
      <w:pPr>
        <w:pStyle w:val="Style22"/>
        <w:keepNext w:val="0"/>
        <w:keepLines w:val="0"/>
        <w:widowControl w:val="0"/>
        <w:shd w:val="clear" w:color="auto" w:fill="auto"/>
        <w:bidi w:val="0"/>
        <w:spacing w:before="0" w:after="60" w:line="314" w:lineRule="exact"/>
        <w:ind w:left="0" w:right="0" w:firstLine="44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sz w:val="18"/>
          <w:szCs w:val="18"/>
        </w:rPr>
        <w:t>（10）5 （</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日起适用的会计政策部分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所述的简化计量方法确定应收票据的预期信用损失 并进行会计处理。在资产负债表日，本公司按应收取的合同现金流量与预期收取的现金流量之间的差额的现值计量应收票据 的信用损失。当单项应收票据无法以合理成本评估预期信用损失的信息时，本公司根据信用风险特征将应收票据划分为若干 组合，参考历史信用损失经验、结合当前状况以及考虑前瞻性信息，在组合基础上估计预期信用损失，确定组合的依据如下：</w:t>
      </w:r>
    </w:p>
    <w:tbl>
      <w:tblPr>
        <w:tblOverlap w:val="never"/>
        <w:jc w:val="center"/>
        <w:tblLayout w:type="fixed"/>
      </w:tblPr>
      <w:tblGrid>
        <w:gridCol w:w="3840"/>
        <w:gridCol w:w="5837"/>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承兑人为信用风险较高的企业</w:t>
            </w:r>
          </w:p>
        </w:tc>
      </w:tr>
    </w:tbl>
    <w:p>
      <w:pPr>
        <w:widowControl w:val="0"/>
        <w:spacing w:after="239" w:line="1" w:lineRule="exact"/>
      </w:pPr>
    </w:p>
    <w:p>
      <w:pPr>
        <w:pStyle w:val="Style37"/>
        <w:keepNext/>
        <w:keepLines/>
        <w:widowControl w:val="0"/>
        <w:shd w:val="clear" w:color="auto" w:fill="auto"/>
        <w:bidi w:val="0"/>
        <w:spacing w:before="0" w:after="300" w:line="310" w:lineRule="exact"/>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sz w:val="18"/>
          <w:szCs w:val="18"/>
        </w:rPr>
        <w:t>1</w:t>
      </w:r>
      <w:bookmarkEnd w:id="9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w:t>
      </w:r>
      <w:bookmarkEnd w:id="912"/>
      <w:bookmarkEnd w:id="913"/>
      <w:bookmarkEnd w:id="915"/>
    </w:p>
    <w:p>
      <w:pPr>
        <w:pStyle w:val="Style22"/>
        <w:keepNext w:val="0"/>
        <w:keepLines w:val="0"/>
        <w:widowControl w:val="0"/>
        <w:shd w:val="clear" w:color="auto" w:fill="auto"/>
        <w:bidi w:val="0"/>
        <w:spacing w:before="0" w:after="60" w:line="310" w:lineRule="exact"/>
        <w:ind w:left="0" w:right="0" w:firstLine="44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sz w:val="18"/>
          <w:szCs w:val="18"/>
        </w:rPr>
        <w:t>（10）5 （</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日起适用的会计政策部分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所述的简化计量方法确定应收账款的预期信用损失 并进行会计处理。在资产负债表日，本公司按应收取的合同现金流量与预期收取的现金流量之间的差额的现值计量应收账款 的信用损失。当单项应收账款无法以合理成本评估预期信用损失的信息时，本公司根据信用风险特征将应收账款划分为若干 组合，参考历史信用损失经验，结合当前状况并考虑前瞻性信息，在组合基础上估计预期信用损失，确定组合的依据如下：</w:t>
      </w:r>
    </w:p>
    <w:tbl>
      <w:tblPr>
        <w:tblOverlap w:val="never"/>
        <w:jc w:val="center"/>
        <w:tblLayout w:type="fixed"/>
      </w:tblPr>
      <w:tblGrid>
        <w:gridCol w:w="3840"/>
        <w:gridCol w:w="5861"/>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按账龄划分的具有类似信用风险特征的应收账款</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应收本公司合并报表范围内关联方款项</w:t>
            </w:r>
          </w:p>
        </w:tc>
      </w:tr>
    </w:tbl>
    <w:p>
      <w:pPr>
        <w:pStyle w:val="Style33"/>
        <w:keepNext/>
        <w:keepLines/>
        <w:widowControl w:val="0"/>
        <w:shd w:val="clear" w:color="auto" w:fill="auto"/>
        <w:bidi w:val="0"/>
        <w:spacing w:before="0" w:after="280" w:line="240" w:lineRule="auto"/>
        <w:ind w:left="0" w:right="0" w:firstLine="0"/>
        <w:jc w:val="left"/>
      </w:pPr>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13</w:t>
      </w:r>
      <w:r>
        <w:rPr>
          <w:color w:val="000000"/>
          <w:spacing w:val="0"/>
          <w:w w:val="100"/>
          <w:position w:val="0"/>
        </w:rPr>
        <w:t>、应收款项融资</w:t>
      </w:r>
      <w:bookmarkEnd w:id="916"/>
      <w:bookmarkEnd w:id="917"/>
      <w:bookmarkEnd w:id="918"/>
    </w:p>
    <w:p>
      <w:pPr>
        <w:pStyle w:val="Style22"/>
        <w:keepNext w:val="0"/>
        <w:keepLines w:val="0"/>
        <w:widowControl w:val="0"/>
        <w:shd w:val="clear" w:color="auto" w:fill="auto"/>
        <w:bidi w:val="0"/>
        <w:spacing w:before="0" w:line="314" w:lineRule="exact"/>
        <w:ind w:left="0" w:right="0" w:firstLine="44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sz w:val="18"/>
          <w:szCs w:val="18"/>
        </w:rPr>
        <w:t>（10）5 （</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日起适用的会计政策部分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所述的一般方法确定应收款项融资的预期信用损失 并进行会计处理。在资产负债表日，本公司按应收取的合同现金流量与预期收取的现金流量之间的差额的现值计量应收款项 融资的信用损失。当单项应收款项融资无法以合理成本评估预期信用损失的信息时，本公司根据信用风险特征将应收款项融 资划分为若干组合，参考历史信用损失经验，结合当前状况并考虑前瞻性信息，在组合基础上估计预期信用损失，确定组合 的依据如下：</w:t>
      </w:r>
    </w:p>
    <w:tbl>
      <w:tblPr>
        <w:tblOverlap w:val="never"/>
        <w:jc w:val="center"/>
        <w:tblLayout w:type="fixed"/>
      </w:tblPr>
      <w:tblGrid>
        <w:gridCol w:w="3840"/>
        <w:gridCol w:w="5837"/>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承兑人为信用风险较低的银行</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按账龄划分的具有类似信用风险特征的应收账款</w:t>
            </w:r>
          </w:p>
        </w:tc>
      </w:tr>
    </w:tbl>
    <w:p>
      <w:pPr>
        <w:widowControl w:val="0"/>
        <w:spacing w:after="239" w:line="1" w:lineRule="exact"/>
      </w:pPr>
    </w:p>
    <w:p>
      <w:pPr>
        <w:pStyle w:val="Style37"/>
        <w:keepNext/>
        <w:keepLines/>
        <w:widowControl w:val="0"/>
        <w:shd w:val="clear" w:color="auto" w:fill="auto"/>
        <w:bidi w:val="0"/>
        <w:spacing w:before="0" w:after="280" w:line="311" w:lineRule="exact"/>
        <w:ind w:left="0" w:right="0" w:firstLine="0"/>
        <w:jc w:val="left"/>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sz w:val="18"/>
          <w:szCs w:val="18"/>
        </w:rPr>
        <w:t>1</w:t>
      </w:r>
      <w:bookmarkEnd w:id="921"/>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、其他应收款</w:t>
      </w:r>
      <w:bookmarkEnd w:id="919"/>
      <w:bookmarkEnd w:id="920"/>
      <w:bookmarkEnd w:id="922"/>
    </w:p>
    <w:p>
      <w:pPr>
        <w:pStyle w:val="Style22"/>
        <w:keepNext w:val="0"/>
        <w:keepLines w:val="0"/>
        <w:widowControl w:val="0"/>
        <w:shd w:val="clear" w:color="auto" w:fill="auto"/>
        <w:bidi w:val="0"/>
        <w:spacing w:before="0" w:line="311" w:lineRule="exact"/>
        <w:ind w:left="0" w:right="0" w:firstLine="0"/>
        <w:jc w:val="left"/>
      </w:pPr>
      <w:r>
        <w:rPr>
          <w:color w:val="000000"/>
          <w:spacing w:val="0"/>
          <w:w w:val="100"/>
          <w:position w:val="0"/>
        </w:rPr>
        <w:t>其他应收款的预期信用损失的确定方法及会计处理方法</w:t>
      </w:r>
    </w:p>
    <w:p>
      <w:pPr>
        <w:pStyle w:val="Style22"/>
        <w:keepNext w:val="0"/>
        <w:keepLines w:val="0"/>
        <w:widowControl w:val="0"/>
        <w:shd w:val="clear" w:color="auto" w:fill="auto"/>
        <w:bidi w:val="0"/>
        <w:spacing w:before="0" w:line="311" w:lineRule="exact"/>
        <w:ind w:left="0" w:right="0" w:firstLine="44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sz w:val="18"/>
          <w:szCs w:val="18"/>
        </w:rPr>
        <w:t>（10）5 （</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日起适用的会计政策部分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所述的一般方法确定其他应收款的预期信用损失并 进行会计处理。在资产负债表日，本公司按应收取的合同现金流量与预期收取的现金流量之间的差额的现值计量其他应收款 的信用损失。当单项其他应收款无法以合理成本评估预期信用损失的信息时，本公司根据信用风险特征将其他应收款划分为 若干组合，参考历史信用损失经验，结合当前状况并考虑前瞻性信息，在组合基础上估计预期信用损失，确定组合的依据如 下：</w:t>
      </w:r>
    </w:p>
    <w:tbl>
      <w:tblPr>
        <w:tblOverlap w:val="never"/>
        <w:jc w:val="center"/>
        <w:tblLayout w:type="fixed"/>
      </w:tblPr>
      <w:tblGrid>
        <w:gridCol w:w="3840"/>
        <w:gridCol w:w="5837"/>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按账龄划分的具有类似信用风险特征的应收账款</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应收本公司合并报表范围内关联方款项</w:t>
            </w:r>
          </w:p>
        </w:tc>
      </w:tr>
    </w:tbl>
    <w:p>
      <w:pPr>
        <w:widowControl w:val="0"/>
        <w:spacing w:after="239" w:line="1" w:lineRule="exact"/>
      </w:pPr>
    </w:p>
    <w:p>
      <w:pPr>
        <w:pStyle w:val="Style37"/>
        <w:keepNext/>
        <w:keepLines/>
        <w:widowControl w:val="0"/>
        <w:shd w:val="clear" w:color="auto" w:fill="auto"/>
        <w:tabs>
          <w:tab w:pos="406" w:val="left"/>
        </w:tabs>
        <w:bidi w:val="0"/>
        <w:spacing w:before="0" w:after="280" w:line="316" w:lineRule="exact"/>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sz w:val="18"/>
          <w:szCs w:val="18"/>
        </w:rPr>
        <w:t>1</w:t>
      </w:r>
      <w:bookmarkEnd w:id="92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存货</w:t>
      </w:r>
      <w:bookmarkEnd w:id="923"/>
      <w:bookmarkEnd w:id="924"/>
      <w:bookmarkEnd w:id="926"/>
    </w:p>
    <w:p>
      <w:pPr>
        <w:pStyle w:val="Style22"/>
        <w:keepNext w:val="0"/>
        <w:keepLines w:val="0"/>
        <w:widowControl w:val="0"/>
        <w:numPr>
          <w:ilvl w:val="0"/>
          <w:numId w:val="27"/>
        </w:numPr>
        <w:shd w:val="clear" w:color="auto" w:fill="auto"/>
        <w:tabs>
          <w:tab w:pos="736" w:val="left"/>
        </w:tabs>
        <w:bidi w:val="0"/>
        <w:spacing w:before="0" w:after="0" w:line="316" w:lineRule="exact"/>
        <w:ind w:left="0" w:right="0" w:firstLine="440"/>
        <w:jc w:val="both"/>
      </w:pPr>
      <w:bookmarkStart w:id="927" w:name="bookmark927"/>
      <w:bookmarkEnd w:id="927"/>
      <w:r>
        <w:rPr>
          <w:color w:val="000000"/>
          <w:spacing w:val="0"/>
          <w:w w:val="100"/>
          <w:position w:val="0"/>
        </w:rPr>
        <w:t>存货包括在日常活动中持有以备出售的商品、处在进行中的未完成项目成本等。</w:t>
      </w:r>
    </w:p>
    <w:p>
      <w:pPr>
        <w:pStyle w:val="Style22"/>
        <w:keepNext w:val="0"/>
        <w:keepLines w:val="0"/>
        <w:widowControl w:val="0"/>
        <w:numPr>
          <w:ilvl w:val="0"/>
          <w:numId w:val="27"/>
        </w:numPr>
        <w:shd w:val="clear" w:color="auto" w:fill="auto"/>
        <w:bidi w:val="0"/>
        <w:spacing w:before="0" w:after="0" w:line="316" w:lineRule="exact"/>
        <w:ind w:left="0" w:right="0" w:firstLine="440"/>
        <w:jc w:val="both"/>
      </w:pPr>
      <w:bookmarkStart w:id="928" w:name="bookmark928"/>
      <w:bookmarkEnd w:id="928"/>
      <w:r>
        <w:rPr>
          <w:color w:val="000000"/>
          <w:spacing w:val="0"/>
          <w:w w:val="100"/>
          <w:position w:val="0"/>
        </w:rPr>
        <w:t xml:space="preserve"> 企业取得存货按实际成本计量。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外购存货的成本即为该存货的采购成本。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以同一控制下的企业吸收合并方式 取得的存货按被合并方的账面价值确定其入账价值；以非同一控制下的企业吸收合并方式取得的存货按公允价值确定其入账 价值。</w:t>
      </w:r>
    </w:p>
    <w:p>
      <w:pPr>
        <w:pStyle w:val="Style22"/>
        <w:keepNext w:val="0"/>
        <w:keepLines w:val="0"/>
        <w:widowControl w:val="0"/>
        <w:numPr>
          <w:ilvl w:val="0"/>
          <w:numId w:val="27"/>
        </w:numPr>
        <w:shd w:val="clear" w:color="auto" w:fill="auto"/>
        <w:tabs>
          <w:tab w:pos="755" w:val="left"/>
        </w:tabs>
        <w:bidi w:val="0"/>
        <w:spacing w:before="0" w:after="0" w:line="316" w:lineRule="exact"/>
        <w:ind w:left="0" w:right="0" w:firstLine="440"/>
        <w:jc w:val="both"/>
      </w:pPr>
      <w:bookmarkStart w:id="929" w:name="bookmark929"/>
      <w:bookmarkEnd w:id="929"/>
      <w:r>
        <w:rPr>
          <w:color w:val="000000"/>
          <w:spacing w:val="0"/>
          <w:w w:val="100"/>
          <w:position w:val="0"/>
        </w:rPr>
        <w:t>企业发出存货的成本计量采用个别计价法。</w:t>
      </w:r>
    </w:p>
    <w:p>
      <w:pPr>
        <w:pStyle w:val="Style22"/>
        <w:keepNext w:val="0"/>
        <w:keepLines w:val="0"/>
        <w:widowControl w:val="0"/>
        <w:numPr>
          <w:ilvl w:val="0"/>
          <w:numId w:val="27"/>
        </w:numPr>
        <w:shd w:val="clear" w:color="auto" w:fill="auto"/>
        <w:tabs>
          <w:tab w:pos="755" w:val="left"/>
        </w:tabs>
        <w:bidi w:val="0"/>
        <w:spacing w:before="0" w:after="0" w:line="316" w:lineRule="exact"/>
        <w:ind w:left="0" w:right="0" w:firstLine="440"/>
        <w:jc w:val="both"/>
      </w:pPr>
      <w:bookmarkStart w:id="930" w:name="bookmark930"/>
      <w:bookmarkEnd w:id="930"/>
      <w:r>
        <w:rPr>
          <w:color w:val="000000"/>
          <w:spacing w:val="0"/>
          <w:w w:val="100"/>
          <w:position w:val="0"/>
        </w:rPr>
        <w:t>低值易耗品和包装物的摊销方法</w:t>
      </w:r>
    </w:p>
    <w:p>
      <w:pPr>
        <w:pStyle w:val="Style2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低值易耗品按照一次转销法进行摊销。</w:t>
      </w:r>
    </w:p>
    <w:p>
      <w:pPr>
        <w:pStyle w:val="Style2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包装物按照一次转销法进行摊销。</w:t>
      </w:r>
    </w:p>
    <w:p>
      <w:pPr>
        <w:pStyle w:val="Style22"/>
        <w:keepNext w:val="0"/>
        <w:keepLines w:val="0"/>
        <w:widowControl w:val="0"/>
        <w:numPr>
          <w:ilvl w:val="0"/>
          <w:numId w:val="27"/>
        </w:numPr>
        <w:shd w:val="clear" w:color="auto" w:fill="auto"/>
        <w:bidi w:val="0"/>
        <w:spacing w:before="0" w:after="0" w:line="316" w:lineRule="exact"/>
        <w:ind w:left="0" w:right="0" w:firstLine="440"/>
        <w:jc w:val="both"/>
      </w:pPr>
      <w:bookmarkStart w:id="931" w:name="bookmark931"/>
      <w:bookmarkEnd w:id="931"/>
      <w:r>
        <w:rPr>
          <w:color w:val="000000"/>
          <w:spacing w:val="0"/>
          <w:w w:val="100"/>
          <w:position w:val="0"/>
        </w:rPr>
        <w:t xml:space="preserve"> </w:t>
      </w:r>
      <w:r>
        <w:rPr>
          <w:color w:val="000000"/>
          <w:spacing w:val="0"/>
          <w:w w:val="100"/>
          <w:position w:val="0"/>
        </w:rPr>
        <w:t>资产负债表日，存货采用成本与可变现净值孰低计量。存货可变现净值是按存货的估计售价减去至完工时估计将要 发生的成本、估计的销售费用以及相关税费后的金额。在确定存货的可变现净值时，以取得的确凿证据为基础，同时考虑持 有存货的目的以及资产负债表日后事项的影响，除有明确证据表明资产负债表日市场价格异常外，本期期末存货项目的可变 现净值以资产负债表日市场价格为基础确定。</w:t>
      </w:r>
    </w:p>
    <w:p>
      <w:pPr>
        <w:pStyle w:val="Style2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期末按照单个存货项目计提存货跌价准备。计提存货跌价准备后，如果以前减记存货价值的影响因素已经消失，导致 存货的可变现净值高于其账面价值的，在原已计提的存货跌价准备金额内予以转回，转回的金额计入当期损益。</w:t>
      </w:r>
    </w:p>
    <w:p>
      <w:pPr>
        <w:pStyle w:val="Style22"/>
        <w:keepNext w:val="0"/>
        <w:keepLines w:val="0"/>
        <w:widowControl w:val="0"/>
        <w:shd w:val="clear" w:color="auto" w:fill="auto"/>
        <w:bidi w:val="0"/>
        <w:spacing w:before="0" w:after="280" w:line="316" w:lineRule="exact"/>
        <w:ind w:left="0" w:right="0" w:firstLine="440"/>
        <w:jc w:val="both"/>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.存货的盘存制度为永续盘存制。</w:t>
      </w:r>
    </w:p>
    <w:p>
      <w:pPr>
        <w:pStyle w:val="Style37"/>
        <w:keepNext/>
        <w:keepLines/>
        <w:widowControl w:val="0"/>
        <w:shd w:val="clear" w:color="auto" w:fill="auto"/>
        <w:tabs>
          <w:tab w:pos="406" w:val="left"/>
        </w:tabs>
        <w:bidi w:val="0"/>
        <w:spacing w:before="0" w:after="260" w:line="316" w:lineRule="exact"/>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sz w:val="18"/>
          <w:szCs w:val="18"/>
        </w:rPr>
        <w:t>1</w:t>
      </w:r>
      <w:bookmarkEnd w:id="93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合同资产</w:t>
      </w:r>
      <w:bookmarkEnd w:id="932"/>
      <w:bookmarkEnd w:id="933"/>
      <w:bookmarkEnd w:id="935"/>
    </w:p>
    <w:p>
      <w:pPr>
        <w:pStyle w:val="Style22"/>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不适用</w:t>
      </w:r>
    </w:p>
    <w:p>
      <w:pPr>
        <w:pStyle w:val="Style37"/>
        <w:keepNext/>
        <w:keepLines/>
        <w:widowControl w:val="0"/>
        <w:shd w:val="clear" w:color="auto" w:fill="auto"/>
        <w:tabs>
          <w:tab w:pos="400" w:val="left"/>
        </w:tabs>
        <w:bidi w:val="0"/>
        <w:spacing w:before="0" w:after="300"/>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sz w:val="18"/>
          <w:szCs w:val="18"/>
        </w:rPr>
        <w:t>1</w:t>
      </w:r>
      <w:bookmarkEnd w:id="93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合同成本</w:t>
      </w:r>
      <w:bookmarkEnd w:id="936"/>
      <w:bookmarkEnd w:id="937"/>
      <w:bookmarkEnd w:id="939"/>
    </w:p>
    <w:p>
      <w:pPr>
        <w:pStyle w:val="Style22"/>
        <w:keepNext w:val="0"/>
        <w:keepLines w:val="0"/>
        <w:widowControl w:val="0"/>
        <w:numPr>
          <w:ilvl w:val="0"/>
          <w:numId w:val="29"/>
        </w:numPr>
        <w:shd w:val="clear" w:color="auto" w:fill="auto"/>
        <w:tabs>
          <w:tab w:pos="729" w:val="left"/>
        </w:tabs>
        <w:bidi w:val="0"/>
        <w:spacing w:before="0" w:after="0" w:line="312" w:lineRule="exact"/>
        <w:ind w:left="0" w:right="0" w:firstLine="440"/>
        <w:jc w:val="both"/>
      </w:pPr>
      <w:bookmarkStart w:id="940" w:name="bookmark940"/>
      <w:bookmarkEnd w:id="940"/>
      <w:r>
        <w:rPr>
          <w:color w:val="000000"/>
          <w:spacing w:val="0"/>
          <w:w w:val="100"/>
          <w:position w:val="0"/>
        </w:rPr>
        <w:t>合同成本的确认条件</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合同成本包括合同取得成本和合同履约成本。</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公司为取得合同发生的增量成本预期能够收回的，作为合同取得成本确认为一项资产；该资产摊销期限不超过一年的， 在发生时计入当期损益。公司为取得合同发生的、除预期能够收回的增量成本之外的其他支出，在发生时计入当期损益，明 确由客户承担的除外。</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公司为履行合同发生的成本，不属于除收入准则外的其他企业会计准则规范范围且同时满足下列条件的，作为合同履 约成本确认为一项资产：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该成本与一份当前或预期取得的合同直接相关，包括直接人工、直接材料、制造费用或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类似费 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、明确由客户承担的成本以及仅因该合同而发生的其他成本；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该成本增加了公司未来用于履行履约义务的资源；</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 成本预期能够收回。</w:t>
      </w:r>
    </w:p>
    <w:p>
      <w:pPr>
        <w:pStyle w:val="Style22"/>
        <w:keepNext w:val="0"/>
        <w:keepLines w:val="0"/>
        <w:widowControl w:val="0"/>
        <w:numPr>
          <w:ilvl w:val="0"/>
          <w:numId w:val="29"/>
        </w:numPr>
        <w:shd w:val="clear" w:color="auto" w:fill="auto"/>
        <w:tabs>
          <w:tab w:pos="749" w:val="left"/>
        </w:tabs>
        <w:bidi w:val="0"/>
        <w:spacing w:before="0" w:after="0" w:line="312" w:lineRule="exact"/>
        <w:ind w:left="0" w:right="0" w:firstLine="440"/>
        <w:jc w:val="both"/>
      </w:pPr>
      <w:bookmarkStart w:id="941" w:name="bookmark941"/>
      <w:bookmarkEnd w:id="941"/>
      <w:r>
        <w:rPr>
          <w:color w:val="000000"/>
          <w:spacing w:val="0"/>
          <w:w w:val="100"/>
          <w:position w:val="0"/>
        </w:rPr>
        <w:t>与合同成本有关的资产的摊销</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合同取得成本确认的资产与和合同履约成本确认的资产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采用与该资产相关的商品 或服务收入确认相同的基础进行摊销，计入当期损益。摊销期限不超过一年则在发生时计入当期损益。</w:t>
      </w:r>
    </w:p>
    <w:p>
      <w:pPr>
        <w:pStyle w:val="Style22"/>
        <w:keepNext w:val="0"/>
        <w:keepLines w:val="0"/>
        <w:widowControl w:val="0"/>
        <w:numPr>
          <w:ilvl w:val="0"/>
          <w:numId w:val="29"/>
        </w:numPr>
        <w:shd w:val="clear" w:color="auto" w:fill="auto"/>
        <w:tabs>
          <w:tab w:pos="749" w:val="left"/>
        </w:tabs>
        <w:bidi w:val="0"/>
        <w:spacing w:before="0" w:after="0" w:line="312" w:lineRule="exact"/>
        <w:ind w:left="0" w:right="0" w:firstLine="440"/>
        <w:jc w:val="both"/>
      </w:pPr>
      <w:bookmarkStart w:id="942" w:name="bookmark942"/>
      <w:bookmarkEnd w:id="942"/>
      <w:r>
        <w:rPr>
          <w:color w:val="000000"/>
          <w:spacing w:val="0"/>
          <w:w w:val="100"/>
          <w:position w:val="0"/>
        </w:rPr>
        <w:t>与合同成本有关的资产的减值</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在确定与合同成本有关的资产的减值损失时，公司首先对按照其他企业会计准则确认的、与合同有关的其他资产确定 减值损失；然后确定与合同成本有关的资产的减值损失。与合同成本有关的资产，其账面价值高于公司因转让与该资产相关 的商品预期能够取得的剩余对价与为转让该相关商品估计将要发生的成本的差额的，超出部分计提减值准备，并确认为资产 减值损失。</w:t>
      </w:r>
    </w:p>
    <w:p>
      <w:pPr>
        <w:pStyle w:val="Style22"/>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计提减值准备后，如果以前期间减值的因素发生变化，使得公司因转让与该资产相关的商品预期能够取得的剩余对价 与为转让该相关商品估计将要发生的成本的差额高于该资产账面价值的，转回原已计提的资产减值准备，并计入当期损益， 但转回后的资产账面价值不超过假定不计提减值准备情况下该资产在转回日的账面价值。</w:t>
      </w:r>
    </w:p>
    <w:p>
      <w:pPr>
        <w:pStyle w:val="Style37"/>
        <w:keepNext/>
        <w:keepLines/>
        <w:widowControl w:val="0"/>
        <w:shd w:val="clear" w:color="auto" w:fill="auto"/>
        <w:tabs>
          <w:tab w:pos="400" w:val="left"/>
        </w:tabs>
        <w:bidi w:val="0"/>
        <w:spacing w:before="0" w:after="300"/>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sz w:val="18"/>
          <w:szCs w:val="18"/>
        </w:rPr>
        <w:t>1</w:t>
      </w:r>
      <w:bookmarkEnd w:id="94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持有待售资产</w:t>
      </w:r>
      <w:bookmarkEnd w:id="943"/>
      <w:bookmarkEnd w:id="944"/>
      <w:bookmarkEnd w:id="946"/>
    </w:p>
    <w:p>
      <w:pPr>
        <w:pStyle w:val="Style2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.划分为持有待售类别的条件</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公司主要通过出售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包括具有商业实质的非货币性资产交换，下同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而非持续使用一项非流动资产或处置组收回其账面价 值的，在满足下列条件时，将其划分为持有待售类别：</w:t>
      </w:r>
    </w:p>
    <w:p>
      <w:pPr>
        <w:pStyle w:val="Style22"/>
        <w:keepNext w:val="0"/>
        <w:keepLines w:val="0"/>
        <w:widowControl w:val="0"/>
        <w:shd w:val="clear" w:color="auto" w:fill="auto"/>
        <w:tabs>
          <w:tab w:pos="811" w:val="left"/>
        </w:tabs>
        <w:bidi w:val="0"/>
        <w:spacing w:before="0" w:after="0" w:line="314" w:lineRule="exact"/>
        <w:ind w:left="0" w:right="0" w:firstLine="440"/>
        <w:jc w:val="both"/>
      </w:pPr>
      <w:bookmarkStart w:id="947" w:name="bookmark947"/>
      <w:r>
        <w:rPr>
          <w:rFonts w:ascii="Times New Roman" w:eastAsia="Times New Roman" w:hAnsi="Times New Roman" w:cs="Times New Roman"/>
          <w:color w:val="000000"/>
          <w:spacing w:val="0"/>
          <w:w w:val="100"/>
          <w:position w:val="0"/>
          <w:sz w:val="18"/>
          <w:szCs w:val="18"/>
        </w:rPr>
        <w:t>（</w:t>
      </w:r>
      <w:bookmarkEnd w:id="94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根据类似交易中出售此类资产或处置组的惯例，在当前状况下即可立即出售；</w:t>
      </w:r>
    </w:p>
    <w:p>
      <w:pPr>
        <w:pStyle w:val="Style22"/>
        <w:keepNext w:val="0"/>
        <w:keepLines w:val="0"/>
        <w:widowControl w:val="0"/>
        <w:shd w:val="clear" w:color="auto" w:fill="auto"/>
        <w:tabs>
          <w:tab w:pos="789" w:val="left"/>
        </w:tabs>
        <w:bidi w:val="0"/>
        <w:spacing w:before="0" w:after="0" w:line="314" w:lineRule="exact"/>
        <w:ind w:left="0" w:right="0" w:firstLine="440"/>
        <w:jc w:val="both"/>
      </w:pPr>
      <w:bookmarkStart w:id="948" w:name="bookmark948"/>
      <w:r>
        <w:rPr>
          <w:rFonts w:ascii="Times New Roman" w:eastAsia="Times New Roman" w:hAnsi="Times New Roman" w:cs="Times New Roman"/>
          <w:color w:val="000000"/>
          <w:spacing w:val="0"/>
          <w:w w:val="100"/>
          <w:position w:val="0"/>
          <w:sz w:val="18"/>
          <w:szCs w:val="18"/>
        </w:rPr>
        <w:t>（</w:t>
      </w:r>
      <w:bookmarkEnd w:id="94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出售极可能发生，即公司已经就一项出售计划作出决议且获得确定的购买承诺，预计出售将在一年内完成。有关规 定要求相关权力机构或者监督部门批准后方可出售的，公司已经获得批准。确定的购买承诺，是指公司与其他方签订的具有 法律约束力的购买协议，该协议包含交易价格、时间和足够严厉的违约惩罚等重要条款，使协议出现重大调整或者撤销的可 能性极小。</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公司因出售对子公司的投资等原因导致其丧失对子公司控制权的，当拟出售的子公司投资满足持有待售类别划分条件 时，在母公司个别财务报表中将对子公司投资整体划分为持有待售类别，在合并报表中将子公司所有资产和负债划分为持有 待售类别。</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持有待售的非流动资产或处置组不再满足持有待售类别划分条件的，公司停止将其划分为持有待售类别。部分资产或 负债从持有待售的处置组中移除的，处置组中剩余资产或负债新组成的处置组仍满足持有待售划分条件的，公司将新组成的 处置组划分为持有待售类别，否则将满足持有待售类别划分条件的非流动资产单独划分为持有待售类别。</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对于当期首次满足持有待售类别划分条件的非流动资产或处置组，不调整可比会计期间的资产负债表。</w:t>
      </w:r>
    </w:p>
    <w:p>
      <w:pPr>
        <w:pStyle w:val="Style22"/>
        <w:keepNext w:val="0"/>
        <w:keepLines w:val="0"/>
        <w:widowControl w:val="0"/>
        <w:numPr>
          <w:ilvl w:val="0"/>
          <w:numId w:val="31"/>
        </w:numPr>
        <w:shd w:val="clear" w:color="auto" w:fill="auto"/>
        <w:bidi w:val="0"/>
        <w:spacing w:before="0" w:after="0" w:line="314" w:lineRule="exact"/>
        <w:ind w:left="0" w:right="0" w:firstLine="440"/>
        <w:jc w:val="both"/>
      </w:pPr>
      <w:bookmarkStart w:id="949" w:name="bookmark949"/>
      <w:bookmarkEnd w:id="949"/>
      <w:r>
        <w:rPr>
          <w:color w:val="000000"/>
          <w:spacing w:val="0"/>
          <w:w w:val="100"/>
          <w:position w:val="0"/>
        </w:rPr>
        <w:t>持有待售类的非流动资产或处置组的初始计量及后续计量</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对于取得日划分为持有待售类别的非流动资产或处置组，公司在初始计量时比较假定其不划分为持有待售类别情况下 的初始计量金额和公允价值减去出售费用后的净额，以两者孰低计量。除公司合并中取得的非流动资产或处置组外，由非流 </w:t>
      </w:r>
      <w:r>
        <w:rPr>
          <w:color w:val="000000"/>
          <w:spacing w:val="0"/>
          <w:w w:val="100"/>
          <w:position w:val="0"/>
        </w:rPr>
        <w:t>动资产或处置组以公允价值减去出售费用后的净额作为初始计量金额而产生的差额，计入当期损益。</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公司将非流动资产或处置组首次划分为持有待售类别前，按照相关会计准则规定计量非流动资产或处置组中各项资产 和负债的账面价值。在初始计量或资产负债表日重新计量持有待售的非流动资产或处置组时，其账面价值高于公允价值减去 出售费用后的净额的，将账面价值减记至公允价值减去出售费用后的净额，减记的金额确认为资产减值损失，计入当期损益， 同时计提持有待售资产减值准备。持有待售的非流动资产或处置组中的非流动资产不计提折旧或摊销，持有待售的处置组中 的负债的利息和其他费用应继续予以确认。</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公司对持有待售的处置组确认资产减值损失金额时，先抵减处置组商誉的账面价值，再根据处置组中适用《企业会计 准则第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号——持有待售的非流动资产、处置组和终止经营》</w:t>
      </w:r>
      <w:r>
        <w:rPr>
          <w:color w:val="000000"/>
          <w:spacing w:val="0"/>
          <w:w w:val="100"/>
          <w:position w:val="0"/>
          <w:sz w:val="18"/>
          <w:szCs w:val="18"/>
        </w:rPr>
        <w:t>（</w:t>
      </w:r>
      <w:r>
        <w:rPr>
          <w:color w:val="000000"/>
          <w:spacing w:val="0"/>
          <w:w w:val="100"/>
          <w:position w:val="0"/>
        </w:rPr>
        <w:t>以下简称第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计量规定的各项非流动资产账面价值所 占比重，按比例抵减其账面价值。公司在资产负债表日重新计量持有待售的处置组时，首先按照相关会计准则规定计量处置 组中不适用第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号准则计量规定的资产和负债的账面价值，再按照上述相关规定进行会计处理。</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后续资产负债表日持有待售的非流动资产公允价值减去出售费用后的净额增加的，以前减记的金额应当予以恢复，并 在划分为持有待售类别后确认的资产减值损失金额内转回，转回金额计入当期损益；划分为持有待售类别前确认的资产减值 损失不得转回。</w:t>
      </w:r>
    </w:p>
    <w:p>
      <w:pPr>
        <w:pStyle w:val="Style22"/>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后续资产负债表日持有待售的处置组公允价值减去出售费用后的净额增加的，以前减记的金额应当予以恢复，并在划 分为持有待售类别后适用第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号准则计量规定的非流动资产确认的资产减值损失金额内转回，转回金额依据处置组中除商誉 外的适用第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号准则计量规定的各项非流动资产账面价值所占比重，按比例增加其账面价值，同时将转回金额计入当期损益。 已抵减的商誉账面价值以及划分为持有待售类别前确认的资产减值损失不得转回。</w:t>
      </w:r>
    </w:p>
    <w:p>
      <w:pPr>
        <w:pStyle w:val="Style22"/>
        <w:keepNext w:val="0"/>
        <w:keepLines w:val="0"/>
        <w:widowControl w:val="0"/>
        <w:numPr>
          <w:ilvl w:val="0"/>
          <w:numId w:val="31"/>
        </w:numPr>
        <w:shd w:val="clear" w:color="auto" w:fill="auto"/>
        <w:bidi w:val="0"/>
        <w:spacing w:before="0" w:after="0" w:line="360" w:lineRule="auto"/>
        <w:ind w:left="0" w:right="0" w:firstLine="440"/>
        <w:jc w:val="both"/>
      </w:pPr>
      <w:bookmarkStart w:id="950" w:name="bookmark950"/>
      <w:bookmarkEnd w:id="950"/>
      <w:r>
        <w:rPr>
          <w:color w:val="000000"/>
          <w:spacing w:val="0"/>
          <w:w w:val="100"/>
          <w:position w:val="0"/>
        </w:rPr>
        <w:t>划分为持有待售类别的终止确认和计量</w:t>
      </w:r>
    </w:p>
    <w:p>
      <w:pPr>
        <w:pStyle w:val="Style2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非流动资产或处置组不再满足持有待售类别的划分条件而不再继续划分为持有待售类别或非流动资产从持有待售的处 置组中移除时，按照以下两者孰低计量：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划分为持有待售类别前的账面价值，按照假定不划分为持有待售类别情况下本 应确认的折旧、摊销或减值等进行调整后的金额；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22"/>
        <w:keepNext w:val="0"/>
        <w:keepLines w:val="0"/>
        <w:widowControl w:val="0"/>
        <w:shd w:val="clear" w:color="auto" w:fill="auto"/>
        <w:bidi w:val="0"/>
        <w:spacing w:before="0" w:after="400" w:line="310" w:lineRule="exact"/>
        <w:ind w:left="0" w:right="0" w:firstLine="440"/>
        <w:jc w:val="both"/>
      </w:pPr>
      <w:r>
        <w:rPr>
          <w:color w:val="000000"/>
          <w:spacing w:val="0"/>
          <w:w w:val="100"/>
          <w:position w:val="0"/>
        </w:rPr>
        <w:t>公司终止确认持有待售的非流动资产或处置组时，将尚未确认的利得或损失计入当期损益。</w:t>
      </w:r>
    </w:p>
    <w:p>
      <w:pPr>
        <w:pStyle w:val="Style37"/>
        <w:keepNext/>
        <w:keepLines/>
        <w:widowControl w:val="0"/>
        <w:shd w:val="clear" w:color="auto" w:fill="auto"/>
        <w:tabs>
          <w:tab w:pos="370" w:val="left"/>
        </w:tabs>
        <w:bidi w:val="0"/>
        <w:spacing w:before="0" w:after="160" w:line="360"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sz w:val="18"/>
          <w:szCs w:val="18"/>
        </w:rPr>
        <w:t>1</w:t>
      </w:r>
      <w:bookmarkEnd w:id="953"/>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债权投资</w:t>
      </w:r>
      <w:bookmarkEnd w:id="951"/>
      <w:bookmarkEnd w:id="952"/>
      <w:bookmarkEnd w:id="954"/>
    </w:p>
    <w:p>
      <w:pPr>
        <w:pStyle w:val="Style22"/>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sz w:val="18"/>
          <w:szCs w:val="18"/>
        </w:rPr>
        <w:t>（10）5 （</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日起适用的会计政策部分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所述的一般方法确定债权投资的预期信用损失并进 行会计处理。在资产负债表日，本公司按单项债权投资应收取的合同现金流量与预期收取的现金流量之间的差额的现值计量 债权投资的信用损失。</w:t>
      </w:r>
    </w:p>
    <w:p>
      <w:pPr>
        <w:pStyle w:val="Style37"/>
        <w:keepNext/>
        <w:keepLines/>
        <w:widowControl w:val="0"/>
        <w:shd w:val="clear" w:color="auto" w:fill="auto"/>
        <w:tabs>
          <w:tab w:pos="385" w:val="left"/>
        </w:tabs>
        <w:bidi w:val="0"/>
        <w:spacing w:before="0" w:after="160" w:line="360" w:lineRule="auto"/>
        <w:ind w:left="0" w:right="0" w:firstLine="0"/>
        <w:jc w:val="both"/>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sz w:val="18"/>
          <w:szCs w:val="18"/>
        </w:rPr>
        <w:t>2</w:t>
      </w:r>
      <w:bookmarkEnd w:id="957"/>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其他债权投资</w:t>
      </w:r>
      <w:bookmarkEnd w:id="955"/>
      <w:bookmarkEnd w:id="956"/>
      <w:bookmarkEnd w:id="958"/>
    </w:p>
    <w:p>
      <w:pPr>
        <w:pStyle w:val="Style22"/>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本公司按照本附注五</w:t>
      </w:r>
      <w:r>
        <w:rPr>
          <w:rFonts w:ascii="Times New Roman" w:eastAsia="Times New Roman" w:hAnsi="Times New Roman" w:cs="Times New Roman"/>
          <w:color w:val="000000"/>
          <w:spacing w:val="0"/>
          <w:w w:val="100"/>
          <w:position w:val="0"/>
          <w:sz w:val="18"/>
          <w:szCs w:val="18"/>
        </w:rPr>
        <w:t>（10）5 （</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日起适用的会计政策部分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所述的一般方法确定其他债权投资的预期信用损失 并进行会计处理。在资产负债表日，本公司按单项其他债权投资应收取的合同现金流量与预期收取的现金流量之间的差额的 现值计量其他债权投资的信用损失。</w:t>
      </w:r>
    </w:p>
    <w:p>
      <w:pPr>
        <w:pStyle w:val="Style37"/>
        <w:keepNext/>
        <w:keepLines/>
        <w:widowControl w:val="0"/>
        <w:shd w:val="clear" w:color="auto" w:fill="auto"/>
        <w:tabs>
          <w:tab w:pos="385" w:val="left"/>
        </w:tabs>
        <w:bidi w:val="0"/>
        <w:spacing w:before="0" w:after="160" w:line="36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sz w:val="18"/>
          <w:szCs w:val="18"/>
        </w:rPr>
        <w:t>2</w:t>
      </w:r>
      <w:bookmarkEnd w:id="9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长期应收款</w:t>
      </w:r>
      <w:bookmarkEnd w:id="959"/>
      <w:bookmarkEnd w:id="960"/>
      <w:bookmarkEnd w:id="962"/>
    </w:p>
    <w:p>
      <w:pPr>
        <w:pStyle w:val="Style22"/>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本公司对租赁应收款和由《企业会计准则第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号——收入》规范的交易形成的包含重大融资成分的长期应收款项按照 本附注五</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日起适用的会计政策部分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所述的简化原则确定预期信用损失，对其他长期应收款按照本附注五 </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日起适用的会计政策部分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所述的一般方法确定预期信用损失并进行会计处理。在资产负债表日，本公司 按单项长期应收款应收取的合同现金流量与预期收取的现金流量之间的差额的现值计量长期应收款的信用损失。</w:t>
      </w:r>
    </w:p>
    <w:p>
      <w:pPr>
        <w:pStyle w:val="Style37"/>
        <w:keepNext/>
        <w:keepLines/>
        <w:widowControl w:val="0"/>
        <w:shd w:val="clear" w:color="auto" w:fill="auto"/>
        <w:bidi w:val="0"/>
        <w:spacing w:before="0" w:after="300"/>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sz w:val="18"/>
          <w:szCs w:val="18"/>
        </w:rPr>
        <w:t>2</w:t>
      </w:r>
      <w:bookmarkEnd w:id="9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、长期股权投资</w:t>
      </w:r>
      <w:bookmarkEnd w:id="963"/>
      <w:bookmarkEnd w:id="964"/>
      <w:bookmarkEnd w:id="966"/>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本部分所指的长期股权投资是指本公司对被投资单位具有控制、共同控制或重大影响的长期股权投资，包括对子公司、 合营企业和联营企业的权益性投资。</w:t>
      </w:r>
    </w:p>
    <w:p>
      <w:pPr>
        <w:pStyle w:val="Style22"/>
        <w:keepNext w:val="0"/>
        <w:keepLines w:val="0"/>
        <w:widowControl w:val="0"/>
        <w:numPr>
          <w:ilvl w:val="0"/>
          <w:numId w:val="33"/>
        </w:numPr>
        <w:shd w:val="clear" w:color="auto" w:fill="auto"/>
        <w:bidi w:val="0"/>
        <w:spacing w:before="0" w:after="0" w:line="312" w:lineRule="exact"/>
        <w:ind w:left="0" w:right="0" w:firstLine="440"/>
        <w:jc w:val="both"/>
      </w:pPr>
      <w:bookmarkStart w:id="967" w:name="bookmark967"/>
      <w:bookmarkEnd w:id="967"/>
      <w:r>
        <w:rPr>
          <w:color w:val="000000"/>
          <w:spacing w:val="0"/>
          <w:w w:val="100"/>
          <w:position w:val="0"/>
        </w:rPr>
        <w:t>共同控制和重大影响的判断标准</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共同控制，是指按照相关约定对某项安排所共有的控制，并且该安排的相关活动必须经过分享控制权的参与方一致同 意后才能决策。本公司与其他合营方一同对被投资单位实施共同控制且对被投资单位净资产享有权利的，被投资单位为本公 司的合营企业。判断是否存在共同控制时，不考虑享有的保护性权利。</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重大影响，是指对一个企业的财务和经营决策有参与决策的权力，但并不能够控制或者与其他方一起共同控制这些政 策的制定。本公司能够对被投资单位施加重大影响的，被投资单位为本公司联营企业。在确定能否对被投资单位施加重大影 响时，考虑投资方直接或间接持有被投资单位的表决权股份以及投资方及其他方持有的当期可执行潜在表决权在假定转换为 对被投资方单位的股权后产生的影响，包括被投资单位发行的当期可转换的认股权证、股份期权及可转换公司债券等的影响。</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长期股权投资的投资成本的确定</w:t>
      </w:r>
    </w:p>
    <w:p>
      <w:pPr>
        <w:pStyle w:val="Style22"/>
        <w:keepNext w:val="0"/>
        <w:keepLines w:val="0"/>
        <w:widowControl w:val="0"/>
        <w:numPr>
          <w:ilvl w:val="0"/>
          <w:numId w:val="35"/>
        </w:numPr>
        <w:shd w:val="clear" w:color="auto" w:fill="auto"/>
        <w:tabs>
          <w:tab w:pos="759" w:val="left"/>
        </w:tabs>
        <w:bidi w:val="0"/>
        <w:spacing w:before="0" w:after="0" w:line="312" w:lineRule="exact"/>
        <w:ind w:left="0" w:right="0" w:firstLine="440"/>
        <w:jc w:val="both"/>
      </w:pPr>
      <w:bookmarkStart w:id="968" w:name="bookmark968"/>
      <w:bookmarkEnd w:id="968"/>
      <w:r>
        <w:rPr>
          <w:color w:val="000000"/>
          <w:spacing w:val="0"/>
          <w:w w:val="100"/>
          <w:position w:val="0"/>
        </w:rPr>
        <w:t>同一控制下的合并形成的，合并方以支付现金、转让非现金资产、承担债务或发行权益性证券作为合并对价的，在 合并日按取得被合并方所有者权益在最终控制方合并财务报表中的账面价值的份额作为其初始投资成本。长期股权投资初始 投资成本与支付的现金、转让的非现金资产、所承担债务账面价值或发行股份的面值总额之间的差额调整资本公积；资本公 积不足冲减的，调整留存收益。通过多次交易分步取得同一控制下被合并方的股权，最终形成同一控制下企业合并的，应分 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的，在合并日按照应享有被合并方股东权益在最终控制方合并财务报表中的账面价值的份额作为长期股权投资的 初始投资成本，长期股权投资初始投资成本与达到合并前的长期股权投资账面价值加上合并日进一步取得股份新支付对价的 账面价值之和的差额，调整资本公积；资本公积不足冲减的，调整留存收益。合并日之前持有的股权投资因采用权益法核算 或为可供出售金融资产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其他权益工具投资而确认的其他综合收益，暂不进行会计处理。</w:t>
      </w:r>
    </w:p>
    <w:p>
      <w:pPr>
        <w:pStyle w:val="Style22"/>
        <w:keepNext w:val="0"/>
        <w:keepLines w:val="0"/>
        <w:widowControl w:val="0"/>
        <w:numPr>
          <w:ilvl w:val="0"/>
          <w:numId w:val="35"/>
        </w:numPr>
        <w:shd w:val="clear" w:color="auto" w:fill="auto"/>
        <w:tabs>
          <w:tab w:pos="769" w:val="left"/>
        </w:tabs>
        <w:bidi w:val="0"/>
        <w:spacing w:before="0" w:after="0" w:line="312" w:lineRule="exact"/>
        <w:ind w:left="0" w:right="0" w:firstLine="440"/>
        <w:jc w:val="both"/>
      </w:pPr>
      <w:bookmarkStart w:id="969" w:name="bookmark969"/>
      <w:bookmarkEnd w:id="969"/>
      <w:r>
        <w:rPr>
          <w:color w:val="000000"/>
          <w:spacing w:val="0"/>
          <w:w w:val="100"/>
          <w:position w:val="0"/>
        </w:rPr>
        <w:t>非同一控制下的企业合并形成的，公司按照购买日确定的合并成本作为长期股权投资的初始投资成本。合并成本为 购买日购买方为取得对被购买方的控制权而付出的资产、发生或承担的负债以及发行的权益性证券的公允价值。购买方为企 业合并而发生的审计、法律服务、评估咨询等中介费用以及其他相关管理费用于发生时计入当期损益；购买方作为合并对价 发行的权益性证券或债务性证券的交易费用，计入权益性证券或债务性证券的初始确认金额。本公司将合并协议约定的或有 对价作为企业合并转移对价的一部分，按照其在购买日的公允价值计入企业合并成本。通过多次交易分步实现的非同一控制 下企业合并，根据企业会计准则判断该多次交易是否属于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 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的，按照原持有被购买方的股权投资账面价值加上新增投资成本之和，作为 改按成本法核算的长期股权投资的初始投资成本；原持有的股权采用权益法核算的，相关其他综合收益暂不进行会计处理；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年度，原持有股权投资为可供出售金融资产的，其公允价值与账面价值之间的差额，以及原计入其他综合收益的累计公 允价值变动转入当期损益；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日起，原持有股权投资为其他权益工具投资的，其公允价值与账面价值之间的差额， 以及原计入其他综合收益的累计公允价值变动直接转入留存收益。</w:t>
      </w:r>
    </w:p>
    <w:p>
      <w:pPr>
        <w:pStyle w:val="Style22"/>
        <w:keepNext w:val="0"/>
        <w:keepLines w:val="0"/>
        <w:widowControl w:val="0"/>
        <w:numPr>
          <w:ilvl w:val="0"/>
          <w:numId w:val="35"/>
        </w:numPr>
        <w:shd w:val="clear" w:color="auto" w:fill="auto"/>
        <w:tabs>
          <w:tab w:pos="759" w:val="left"/>
        </w:tabs>
        <w:bidi w:val="0"/>
        <w:spacing w:before="0" w:after="0" w:line="312" w:lineRule="exact"/>
        <w:ind w:left="0" w:right="0" w:firstLine="440"/>
        <w:jc w:val="both"/>
      </w:pPr>
      <w:bookmarkStart w:id="970" w:name="bookmark970"/>
      <w:bookmarkEnd w:id="970"/>
      <w:r>
        <w:rPr>
          <w:color w:val="000000"/>
          <w:spacing w:val="0"/>
          <w:w w:val="100"/>
          <w:position w:val="0"/>
        </w:rPr>
        <w:t>除企业合并形成的长期股权投资外的其他股权投资，按成本进行初始计量：以支付现金取得的，按照实际支付的购 买价款作为其初始投资成本；以发行权益性证券取得的，按照发行权益性证券的公允价值作为其初始投资成本，与发行权益 性证券直接相关的费用，按照《企业会计准则第</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号——金融工具列报》的有关规定确定；在非货币性资产交换具有商业实 质和换入资产或换出资产的公允价值能够可靠计量的前提下，非货币性资产交换换入的长期股权投资以换出资产的公允价值 和应支付的相关税费确定其初始投资成本，除非有确凿证据表明换入资产的公允价值更加可靠；不满足上述前提的非货币性 资产交换，以换出资产的账面价值和应支付的相关税费作为换入长期股权投资的初始投资成本。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年度，通过债务重组取 得的长期股权投资，其初始投资成本按照公允价值为基础确定；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日起，通过债务重组取得的长期股权投资，其初 始投资成本以放弃债权的公允价值为基础确定。</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对于因追加投资能够对被投资单位实施重大影响或实施共同控制但不构成控制的，长期股权投资成本为按照《企业会 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号——金融工具确认和计量》确定的原持有股权投资的公允价值加上新增投资成本之和，作为改按权益法核算的 初始投资成本。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年度，原持有的股权投资分类为可供出售金融资产的，其公允价值与账面价值之间的差额，以及原计入 </w:t>
      </w:r>
      <w:r>
        <w:rPr>
          <w:color w:val="000000"/>
          <w:spacing w:val="0"/>
          <w:w w:val="100"/>
          <w:position w:val="0"/>
        </w:rPr>
        <w:t>其他综合收益的累计公允价值变动应当转入改按权益法核算的当期损益；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日起，原持有的股权投资分类为其他权 益工具投资的，其公允价值与账面价值之间的差额，以及原计入其他综合收益的累计公允价值变动应当直接转入留存收益。</w:t>
      </w:r>
    </w:p>
    <w:p>
      <w:pPr>
        <w:pStyle w:val="Style22"/>
        <w:keepNext w:val="0"/>
        <w:keepLines w:val="0"/>
        <w:widowControl w:val="0"/>
        <w:numPr>
          <w:ilvl w:val="0"/>
          <w:numId w:val="33"/>
        </w:numPr>
        <w:shd w:val="clear" w:color="auto" w:fill="auto"/>
        <w:tabs>
          <w:tab w:pos="719" w:val="left"/>
        </w:tabs>
        <w:bidi w:val="0"/>
        <w:spacing w:before="0" w:after="0" w:line="360" w:lineRule="auto"/>
        <w:ind w:left="0" w:right="0" w:firstLine="440"/>
        <w:jc w:val="both"/>
      </w:pPr>
      <w:bookmarkStart w:id="971" w:name="bookmark971"/>
      <w:bookmarkEnd w:id="971"/>
      <w:r>
        <w:rPr>
          <w:color w:val="000000"/>
          <w:spacing w:val="0"/>
          <w:w w:val="100"/>
          <w:position w:val="0"/>
        </w:rPr>
        <w:t>长期股权投资的后续计量及损益确认方法</w:t>
      </w:r>
    </w:p>
    <w:p>
      <w:pPr>
        <w:pStyle w:val="Style22"/>
        <w:keepNext w:val="0"/>
        <w:keepLines w:val="0"/>
        <w:widowControl w:val="0"/>
        <w:numPr>
          <w:ilvl w:val="0"/>
          <w:numId w:val="37"/>
        </w:numPr>
        <w:shd w:val="clear" w:color="auto" w:fill="auto"/>
        <w:tabs>
          <w:tab w:pos="782" w:val="left"/>
        </w:tabs>
        <w:bidi w:val="0"/>
        <w:spacing w:before="0" w:after="0" w:line="360" w:lineRule="auto"/>
        <w:ind w:left="0" w:right="0" w:firstLine="440"/>
        <w:jc w:val="both"/>
      </w:pPr>
      <w:bookmarkStart w:id="972" w:name="bookmark972"/>
      <w:bookmarkEnd w:id="972"/>
      <w:r>
        <w:rPr>
          <w:color w:val="000000"/>
          <w:spacing w:val="0"/>
          <w:w w:val="100"/>
          <w:position w:val="0"/>
        </w:rPr>
        <w:t>成本法核算的长期股权投资</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公司对子公司的长期股权投资，采用成本法核算。除取得投资时实际支付的价款或对价中包含的已宣告但尚未发放的 现金股利或利润外，公司按照享有被投资单位宣告发放的现金股利或利润确认当期投资收益。</w:t>
      </w:r>
    </w:p>
    <w:p>
      <w:pPr>
        <w:pStyle w:val="Style22"/>
        <w:keepNext w:val="0"/>
        <w:keepLines w:val="0"/>
        <w:widowControl w:val="0"/>
        <w:numPr>
          <w:ilvl w:val="0"/>
          <w:numId w:val="37"/>
        </w:numPr>
        <w:shd w:val="clear" w:color="auto" w:fill="auto"/>
        <w:tabs>
          <w:tab w:pos="782" w:val="left"/>
        </w:tabs>
        <w:bidi w:val="0"/>
        <w:spacing w:before="0" w:after="0" w:line="360" w:lineRule="auto"/>
        <w:ind w:left="0" w:right="0" w:firstLine="440"/>
        <w:jc w:val="both"/>
      </w:pPr>
      <w:bookmarkStart w:id="973" w:name="bookmark973"/>
      <w:bookmarkEnd w:id="973"/>
      <w:r>
        <w:rPr>
          <w:color w:val="000000"/>
          <w:spacing w:val="0"/>
          <w:w w:val="100"/>
          <w:position w:val="0"/>
        </w:rPr>
        <w:t>权益法核算的长期股权投资</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对联营企业和合营企业的长期股权投资，采用权益法核算。</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采用权益法核算的长期股权投资的初始投资成本大于投资时应享有被投资单位可辨认净资产公允价值份额的，不调整 长期股权投资的初始投资成本；长期股权投资的初始投资成本小于投资时应享有被投资单位可辨认净资产公允价值份额的， 其差额应当计入当期损益，同时调整长期股权投资的成本。取得长期股权投资后，被投资单位采用的会计政策及会计期间与 公司不一致的，按照公司的会计政策及会计期间对被投资单位的财务报表进行调整，并据以确认投资损益和其他综合收益等。 按照应享有或应分担的被投资单位实现的净损益和其他综合收益的份额，分别确认投资收益和其他综合收益，同时调整长期 股权投资的账面价值；在确认应享有被投资单位净损益的份额时，以取得投资时被投资单位各项可辨认资产等的公允价值为 基础，对被投资单位的净利润进行调整后确认。按照被投资单位宣告分派的利润或现金股利计算应享有的部分，相应减少长 期股权投资的账面价值；对于被投资单位除净损益、其他综合收益和利润分配以外所有者权益的其他变动，调整长期股权投 资的账面价值并计入所有者权益。公司与联营企业、合营企业之间发生的未实现内部交易损益按照享有的比例计算归属于公 司的部分，予以抵销，在此基础上确认投资收益。与被投资单位发生的未实现内部交易损失，属于资产减值损失的，全额确 认。</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在公司确认应分担被投资单位发生亏损时，按照以下顺序进行处理：首先，冲减长期股权投资的账面价值。其次，长 期股权投资的账面价值不足以冲减的，以其他实质上构成对被投资单位净投资的长期权益账面价值为限继续确认投资损失、 冲减长期应收项目的账面价值。经过上述处理，按照投资合同或协议约定企业仍承担额外义务的，按预计承担的义务确认预 计负债，计入当期投资损失。被投资单位以后期间实现净利润的，本公司在收益弥补未确认的亏损分担额后，恢复确认收益 分享额。</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在持有投资期间，被投资单位编制合并财务报表的，以合并财务报表中的净利润、其他综合收益和其他所有者权益变 动中归属于被投资单位的金额为基础进行核算。</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对于本公司向合营企业与联营企业投出的资产构成业务的，投资方因此取得长期股权投资但未取得控制权的，以投出 业务的公允价值作为新增长期股权投资的初始投资成本，初始投资成本与投出业务的账面价值之差，全额计入当期损益。本 公司向合营企业或者联营企业出售的资产构成业务的，取得的对价与业务的账面价值之差，全额计入当期损益。本公司自联 营及合营企业购入的资产构成业务的，按《企业会计准则第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号——企业合并》的规定进行会计处理，全额确认与交易相关 的利得或损失。</w:t>
      </w:r>
    </w:p>
    <w:p>
      <w:pPr>
        <w:pStyle w:val="Style22"/>
        <w:keepNext w:val="0"/>
        <w:keepLines w:val="0"/>
        <w:widowControl w:val="0"/>
        <w:numPr>
          <w:ilvl w:val="0"/>
          <w:numId w:val="33"/>
        </w:numPr>
        <w:shd w:val="clear" w:color="auto" w:fill="auto"/>
        <w:tabs>
          <w:tab w:pos="719" w:val="left"/>
        </w:tabs>
        <w:bidi w:val="0"/>
        <w:spacing w:before="0" w:after="0" w:line="360" w:lineRule="auto"/>
        <w:ind w:left="0" w:right="0" w:firstLine="440"/>
        <w:jc w:val="both"/>
      </w:pPr>
      <w:bookmarkStart w:id="974" w:name="bookmark974"/>
      <w:bookmarkEnd w:id="974"/>
      <w:r>
        <w:rPr>
          <w:color w:val="000000"/>
          <w:spacing w:val="0"/>
          <w:w w:val="100"/>
          <w:position w:val="0"/>
        </w:rPr>
        <w:t>长期股权投资的处置</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处置长期股权投资，其账面价值与实际取得价款的差额，计入当期损益。</w:t>
      </w:r>
    </w:p>
    <w:p>
      <w:pPr>
        <w:pStyle w:val="Style22"/>
        <w:keepNext w:val="0"/>
        <w:keepLines w:val="0"/>
        <w:widowControl w:val="0"/>
        <w:numPr>
          <w:ilvl w:val="0"/>
          <w:numId w:val="39"/>
        </w:numPr>
        <w:shd w:val="clear" w:color="auto" w:fill="auto"/>
        <w:tabs>
          <w:tab w:pos="782" w:val="left"/>
        </w:tabs>
        <w:bidi w:val="0"/>
        <w:spacing w:before="0" w:after="0" w:line="360" w:lineRule="auto"/>
        <w:ind w:left="0" w:right="0" w:firstLine="440"/>
        <w:jc w:val="both"/>
      </w:pPr>
      <w:bookmarkStart w:id="975" w:name="bookmark975"/>
      <w:bookmarkEnd w:id="975"/>
      <w:r>
        <w:rPr>
          <w:color w:val="000000"/>
          <w:spacing w:val="0"/>
          <w:w w:val="100"/>
          <w:position w:val="0"/>
        </w:rPr>
        <w:t>权益法核算下的长期股权投资的处置</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采用权益法核算的长期股权投资，处置后的剩余股权仍采用权益法核算的，在处置该项投资时，采用与被投资单位直 接处置相关资产或者负债相同的基础，按相应比例对原计入其他综合收益的部分进行会计处理。因被投资单位除净损益、其 他综合收益和利润分配以外的其他所有者权益变动而确认的所有者权益，按比例结转入当期损益。</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因处置部分股权投资等原因丧失了对投资单位的共同控制或者重大影响的，处置后的剩余股权改按金融工具确认和计 量准则核算，其在丧失共同控制或重大影响之日的公允价值与账面价值之间的差额计入当期损益。原股权投资因采用权益法 核算而确认的其他综合收益，在终止确认权益法核算时采用与被投资单位直接处置相关资产或负债相同的基础进行会计处 理。因被投资方除净损益、其他综合收益和利润分配以外的其他所有者权益变动而确认的所有者权益，在终止采用权益法核 算时全部转入当期损益。</w:t>
      </w:r>
    </w:p>
    <w:p>
      <w:pPr>
        <w:pStyle w:val="Style22"/>
        <w:keepNext w:val="0"/>
        <w:keepLines w:val="0"/>
        <w:widowControl w:val="0"/>
        <w:numPr>
          <w:ilvl w:val="0"/>
          <w:numId w:val="39"/>
        </w:numPr>
        <w:shd w:val="clear" w:color="auto" w:fill="auto"/>
        <w:tabs>
          <w:tab w:pos="782" w:val="left"/>
        </w:tabs>
        <w:bidi w:val="0"/>
        <w:spacing w:before="0" w:after="0" w:line="360" w:lineRule="auto"/>
        <w:ind w:left="0" w:right="0" w:firstLine="440"/>
        <w:jc w:val="both"/>
      </w:pPr>
      <w:bookmarkStart w:id="976" w:name="bookmark976"/>
      <w:bookmarkEnd w:id="976"/>
      <w:r>
        <w:rPr>
          <w:color w:val="000000"/>
          <w:spacing w:val="0"/>
          <w:w w:val="100"/>
          <w:position w:val="0"/>
        </w:rPr>
        <w:t>成本法核算下的长期股权投资的处置</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采用成本法核算的长期股权投资，处置后剩余股权仍采用成本法核算的，其在取得对被投资单位的控制之前因采用权 </w:t>
      </w:r>
      <w:r>
        <w:rPr>
          <w:color w:val="000000"/>
          <w:spacing w:val="0"/>
          <w:w w:val="100"/>
          <w:position w:val="0"/>
        </w:rPr>
        <w:t>益法核算或者金融工具确认和计量准则核算而确认的其他综合收益，采用与被投资单位直接处置相关资产或者负债相同的基 础进行处理，并按比例结转当期损益；因采用权益法核算而确认的被投资单位净资产中除净损益、其他综合收益和净利润分 配以外的其他所有者权益变动按比例结转当期损益。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因其他投资方增资而导致本公司持股比例下降、从而丧失控制权但能对被投资单位实施共同控制或施加重大影响的， 按照新的持股比例确认本公司应享有的被投资单位因增资扩股而增加净资产的份额，与应结转持股比例下降部分所对应的长 期股权投资原账面价值之间的差额计入当期损益；然后，按照新的持股比例视同自取得投资时即采用权益法核算进行调整。</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公司因处置部分股权投资或其他原因丧失了对原有子公司控制权的，处置后的剩余股权能够对被投资单位实施共同控 制或施加重大影响的，改按权益法核算，并对该剩余股权视同自取得时即采用权益法核算进行调整，购买日之前持有的股权 投资因采用权益法核算而确认的其他综合收益和其他所有者权益按比例结转;处置后的剩余股权不能对被投资单位实施共同 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号——金融工具确认和计量》的有关规定进行会计处理，其在丧失控制之 日的公允价值与账面价值间的差额计入当期损益，其他综合收益和其他所有者权益全部结转为当期损益。</w:t>
      </w:r>
    </w:p>
    <w:p>
      <w:pPr>
        <w:pStyle w:val="Style22"/>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本公司通过多次交易分步处置对子公司股权投资直至丧失控制权，如果上述交易属于一揽子交易的，将各项交易作为 一项处置子公司股权投资并丧失控制权的交易进行会计处理，在丧失控制权之前每一次处置价款与所处置的股权对应的长期 股权投资账面价值之间的差额，先确认为其他综合收益，到丧失控制权时再一并转入丧失控制权的当期损益。</w:t>
      </w:r>
    </w:p>
    <w:p>
      <w:pPr>
        <w:pStyle w:val="Style37"/>
        <w:keepNext/>
        <w:keepLines/>
        <w:widowControl w:val="0"/>
        <w:shd w:val="clear" w:color="auto" w:fill="auto"/>
        <w:tabs>
          <w:tab w:pos="407" w:val="left"/>
        </w:tabs>
        <w:bidi w:val="0"/>
        <w:spacing w:before="0" w:after="180" w:line="36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sz w:val="18"/>
          <w:szCs w:val="18"/>
        </w:rPr>
        <w:t>2</w:t>
      </w:r>
      <w:bookmarkEnd w:id="9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投资性房地产</w:t>
      </w:r>
      <w:bookmarkEnd w:id="977"/>
      <w:bookmarkEnd w:id="978"/>
      <w:bookmarkEnd w:id="980"/>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成本法计量</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折旧或摊销方法</w:t>
      </w:r>
    </w:p>
    <w:p>
      <w:pPr>
        <w:pStyle w:val="Style22"/>
        <w:keepNext w:val="0"/>
        <w:keepLines w:val="0"/>
        <w:widowControl w:val="0"/>
        <w:numPr>
          <w:ilvl w:val="0"/>
          <w:numId w:val="41"/>
        </w:numPr>
        <w:shd w:val="clear" w:color="auto" w:fill="auto"/>
        <w:bidi w:val="0"/>
        <w:spacing w:before="0" w:after="0" w:line="316" w:lineRule="exact"/>
        <w:ind w:left="0" w:right="0" w:firstLine="440"/>
        <w:jc w:val="both"/>
      </w:pPr>
      <w:bookmarkStart w:id="981" w:name="bookmark981"/>
      <w:bookmarkEnd w:id="981"/>
      <w:r>
        <w:rPr>
          <w:color w:val="000000"/>
          <w:spacing w:val="0"/>
          <w:w w:val="100"/>
          <w:position w:val="0"/>
        </w:rPr>
        <w:t xml:space="preserve"> </w:t>
      </w:r>
      <w:r>
        <w:rPr>
          <w:color w:val="000000"/>
          <w:spacing w:val="0"/>
          <w:w w:val="100"/>
          <w:position w:val="0"/>
        </w:rPr>
        <w:t>投资性房地产是指为赚取租金或资本增值、或者两者兼有而持有的房地产。包括已出租的土地使用权、持有并准备 增值后转让的土地使用权、已出租的建筑物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含自行建造或开发活动完成后用于出租的建筑物以及正在建造或开发过程中将 来用于出租的建筑物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numPr>
          <w:ilvl w:val="0"/>
          <w:numId w:val="41"/>
        </w:numPr>
        <w:shd w:val="clear" w:color="auto" w:fill="auto"/>
        <w:tabs>
          <w:tab w:pos="709" w:val="left"/>
        </w:tabs>
        <w:bidi w:val="0"/>
        <w:spacing w:before="0" w:after="120" w:line="316" w:lineRule="exact"/>
        <w:ind w:left="0" w:right="0" w:firstLine="440"/>
        <w:jc w:val="both"/>
      </w:pPr>
      <w:bookmarkStart w:id="982" w:name="bookmark982"/>
      <w:bookmarkEnd w:id="982"/>
      <w:r>
        <w:rPr>
          <w:color w:val="000000"/>
          <w:spacing w:val="0"/>
          <w:w w:val="100"/>
          <w:position w:val="0"/>
        </w:rPr>
        <w:t>投资性房地产按照成本进行初始计量，采用成本模式进行后续计量。如与投资性房地产有关的后续支出，如果与该 资产有关的经济利益很可能流入且其成本能可靠地计量，则计入投资性房地产成本。其他后续支出，在发生时计入当期损益。</w:t>
      </w:r>
    </w:p>
    <w:p>
      <w:pPr>
        <w:pStyle w:val="Style22"/>
        <w:keepNext w:val="0"/>
        <w:keepLines w:val="0"/>
        <w:widowControl w:val="0"/>
        <w:numPr>
          <w:ilvl w:val="0"/>
          <w:numId w:val="41"/>
        </w:numPr>
        <w:shd w:val="clear" w:color="auto" w:fill="auto"/>
        <w:tabs>
          <w:tab w:pos="741" w:val="left"/>
        </w:tabs>
        <w:bidi w:val="0"/>
        <w:spacing w:before="0" w:after="0" w:line="360" w:lineRule="auto"/>
        <w:ind w:left="0" w:right="0" w:firstLine="440"/>
        <w:jc w:val="both"/>
      </w:pPr>
      <w:bookmarkStart w:id="983" w:name="bookmark983"/>
      <w:bookmarkEnd w:id="983"/>
      <w:r>
        <w:rPr>
          <w:color w:val="000000"/>
          <w:spacing w:val="0"/>
          <w:w w:val="100"/>
          <w:position w:val="0"/>
        </w:rPr>
        <w:t>对成本模式计量的投资性房地产，采用与固定资产和无形资产相同的方法计提折旧或进行摊销。</w:t>
      </w:r>
    </w:p>
    <w:p>
      <w:pPr>
        <w:pStyle w:val="Style22"/>
        <w:keepNext w:val="0"/>
        <w:keepLines w:val="0"/>
        <w:widowControl w:val="0"/>
        <w:numPr>
          <w:ilvl w:val="0"/>
          <w:numId w:val="41"/>
        </w:numPr>
        <w:shd w:val="clear" w:color="auto" w:fill="auto"/>
        <w:tabs>
          <w:tab w:pos="714" w:val="left"/>
        </w:tabs>
        <w:bidi w:val="0"/>
        <w:spacing w:before="0" w:after="0" w:line="316" w:lineRule="exact"/>
        <w:ind w:left="0" w:right="0" w:firstLine="440"/>
        <w:jc w:val="both"/>
      </w:pPr>
      <w:bookmarkStart w:id="984" w:name="bookmark984"/>
      <w:bookmarkEnd w:id="984"/>
      <w:r>
        <w:rPr>
          <w:color w:val="000000"/>
          <w:spacing w:val="0"/>
          <w:w w:val="100"/>
          <w:position w:val="0"/>
        </w:rPr>
        <w:t>投资性房地产的用途改变为自用时，自改变之日起，将该投资性房地产转换为固定资产或无形资产，按转换前的账 面价值作为转换后的入账价值。自用房地产的用途或者存货改变为赚取租金或资本增值时，自改变之日起，将固定资产或无 形资产转换为投资性房地产，转换为采用成本模式计量的投资性房地产的，以转换前的账面价值作为转换后的入账价值；转 换为以公允价值模式计量的投资性房地产的，以转换日的公允价值作为转换后的入账价值。</w:t>
      </w:r>
    </w:p>
    <w:p>
      <w:pPr>
        <w:pStyle w:val="Style22"/>
        <w:keepNext w:val="0"/>
        <w:keepLines w:val="0"/>
        <w:widowControl w:val="0"/>
        <w:numPr>
          <w:ilvl w:val="0"/>
          <w:numId w:val="41"/>
        </w:numPr>
        <w:shd w:val="clear" w:color="auto" w:fill="auto"/>
        <w:tabs>
          <w:tab w:pos="723" w:val="left"/>
        </w:tabs>
        <w:bidi w:val="0"/>
        <w:spacing w:before="0" w:after="400" w:line="316" w:lineRule="exact"/>
        <w:ind w:left="0" w:right="0" w:firstLine="440"/>
        <w:jc w:val="both"/>
      </w:pPr>
      <w:bookmarkStart w:id="985" w:name="bookmark985"/>
      <w:bookmarkEnd w:id="985"/>
      <w:r>
        <w:rPr>
          <w:color w:val="000000"/>
          <w:spacing w:val="0"/>
          <w:w w:val="100"/>
          <w:position w:val="0"/>
        </w:rPr>
        <w:t>当投资性房地产被处置、或者永久退出使用且预计不能从其处置中取得经济利益时，终止确认该项投资性房地产。 投资性房地产出售、转让、报废或毁损的处置收入扣除其账面价值和相关税费后计入当期损益。</w:t>
      </w:r>
    </w:p>
    <w:p>
      <w:pPr>
        <w:pStyle w:val="Style37"/>
        <w:keepNext/>
        <w:keepLines/>
        <w:widowControl w:val="0"/>
        <w:shd w:val="clear" w:color="auto" w:fill="auto"/>
        <w:tabs>
          <w:tab w:pos="407" w:val="left"/>
        </w:tabs>
        <w:bidi w:val="0"/>
        <w:spacing w:before="0" w:after="180" w:line="36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sz w:val="18"/>
          <w:szCs w:val="18"/>
        </w:rPr>
        <w:t>2</w:t>
      </w:r>
      <w:bookmarkEnd w:id="9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固定资产</w:t>
      </w:r>
      <w:bookmarkEnd w:id="986"/>
      <w:bookmarkEnd w:id="987"/>
      <w:bookmarkEnd w:id="989"/>
    </w:p>
    <w:p>
      <w:pPr>
        <w:pStyle w:val="Style37"/>
        <w:keepNext/>
        <w:keepLines/>
        <w:widowControl w:val="0"/>
        <w:shd w:val="clear" w:color="auto" w:fill="auto"/>
        <w:bidi w:val="0"/>
        <w:spacing w:before="0" w:after="400"/>
        <w:ind w:left="0" w:right="0" w:firstLine="0"/>
        <w:jc w:val="left"/>
      </w:pPr>
      <w:bookmarkStart w:id="986" w:name="bookmark986"/>
      <w:bookmarkStart w:id="987" w:name="bookmark987"/>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）确认条件</w:t>
      </w:r>
      <w:bookmarkEnd w:id="986"/>
      <w:bookmarkEnd w:id="987"/>
      <w:bookmarkEnd w:id="991"/>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.固定资产确认条件</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固定资产是指同时具有下列特征的有形资产：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为生产商品、提供劳务、出租或经营管理持有的；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使用寿命超过一个会 计年度。</w:t>
      </w:r>
    </w:p>
    <w:p>
      <w:pPr>
        <w:pStyle w:val="Style2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固定资产同时满足下列条件的予以确认：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 地计量。与固定资产有关的后续支出，符合上述确认条件的，计入固定资产成本；不符合上述确认条件的，发生时计入当期 损益。</w:t>
      </w:r>
    </w:p>
    <w:p>
      <w:pPr>
        <w:pStyle w:val="Style22"/>
        <w:keepNext w:val="0"/>
        <w:keepLines w:val="0"/>
        <w:widowControl w:val="0"/>
        <w:numPr>
          <w:ilvl w:val="0"/>
          <w:numId w:val="43"/>
        </w:numPr>
        <w:shd w:val="clear" w:color="auto" w:fill="auto"/>
        <w:bidi w:val="0"/>
        <w:spacing w:before="0" w:after="120" w:line="360" w:lineRule="auto"/>
        <w:ind w:left="0" w:right="0" w:firstLine="0"/>
        <w:jc w:val="left"/>
      </w:pPr>
      <w:bookmarkStart w:id="992" w:name="bookmark992"/>
      <w:bookmarkEnd w:id="992"/>
      <w:r>
        <w:rPr>
          <w:color w:val="000000"/>
          <w:spacing w:val="0"/>
          <w:w w:val="100"/>
          <w:position w:val="0"/>
        </w:rPr>
        <w:t>固定资产的初始计量</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固定资产按照成本进行初始计量。</w:t>
      </w:r>
    </w:p>
    <w:p>
      <w:pPr>
        <w:pStyle w:val="Style37"/>
        <w:keepNext/>
        <w:keepLines/>
        <w:widowControl w:val="0"/>
        <w:numPr>
          <w:ilvl w:val="0"/>
          <w:numId w:val="45"/>
        </w:numPr>
        <w:shd w:val="clear" w:color="auto" w:fill="auto"/>
        <w:bidi w:val="0"/>
        <w:spacing w:before="0" w:after="34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折旧方法</w:t>
      </w:r>
      <w:bookmarkEnd w:id="993"/>
      <w:bookmarkEnd w:id="994"/>
      <w:bookmarkEnd w:id="996"/>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2.08-2.22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房屋建筑物附属设备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5.00-20.00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19.00-20.00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9.50-33.33</w:t>
            </w:r>
          </w:p>
        </w:tc>
      </w:tr>
    </w:tbl>
    <w:p>
      <w:pPr>
        <w:pStyle w:val="Style22"/>
        <w:keepNext w:val="0"/>
        <w:keepLines w:val="0"/>
        <w:widowControl w:val="0"/>
        <w:numPr>
          <w:ilvl w:val="0"/>
          <w:numId w:val="47"/>
        </w:numPr>
        <w:shd w:val="clear" w:color="auto" w:fill="auto"/>
        <w:tabs>
          <w:tab w:pos="402" w:val="left"/>
        </w:tabs>
        <w:bidi w:val="0"/>
        <w:spacing w:before="0" w:after="0" w:line="312" w:lineRule="exact"/>
        <w:ind w:left="0" w:right="0" w:firstLine="0"/>
        <w:jc w:val="left"/>
      </w:pPr>
      <w:bookmarkStart w:id="997" w:name="bookmark997"/>
      <w:bookmarkEnd w:id="997"/>
      <w:r>
        <w:rPr>
          <w:color w:val="000000"/>
          <w:spacing w:val="0"/>
          <w:w w:val="100"/>
          <w:position w:val="0"/>
        </w:rPr>
        <w:t>符合资本化条件的固定资产装修费用，在两次装修期间与固定资产尚可使用年限两者中较短的期间内，采用年限平均法 单独计提折旧。</w:t>
      </w:r>
    </w:p>
    <w:p>
      <w:pPr>
        <w:pStyle w:val="Style22"/>
        <w:keepNext w:val="0"/>
        <w:keepLines w:val="0"/>
        <w:widowControl w:val="0"/>
        <w:numPr>
          <w:ilvl w:val="0"/>
          <w:numId w:val="47"/>
        </w:numPr>
        <w:shd w:val="clear" w:color="auto" w:fill="auto"/>
        <w:tabs>
          <w:tab w:pos="402" w:val="left"/>
        </w:tabs>
        <w:bidi w:val="0"/>
        <w:spacing w:before="0" w:after="0" w:line="312" w:lineRule="exact"/>
        <w:ind w:left="0" w:right="0" w:firstLine="0"/>
        <w:jc w:val="left"/>
      </w:pPr>
      <w:bookmarkStart w:id="998" w:name="bookmark998"/>
      <w:bookmarkEnd w:id="998"/>
      <w:r>
        <w:rPr>
          <w:color w:val="000000"/>
          <w:spacing w:val="0"/>
          <w:w w:val="100"/>
          <w:position w:val="0"/>
        </w:rPr>
        <w:t>已计提减值准备的固定资产，还应扣除已计提的固定资产减值准备累计金额计算折旧率。</w:t>
      </w:r>
    </w:p>
    <w:p>
      <w:pPr>
        <w:pStyle w:val="Style22"/>
        <w:keepNext w:val="0"/>
        <w:keepLines w:val="0"/>
        <w:widowControl w:val="0"/>
        <w:numPr>
          <w:ilvl w:val="0"/>
          <w:numId w:val="47"/>
        </w:numPr>
        <w:shd w:val="clear" w:color="auto" w:fill="auto"/>
        <w:tabs>
          <w:tab w:pos="402" w:val="left"/>
        </w:tabs>
        <w:bidi w:val="0"/>
        <w:spacing w:before="0" w:after="280" w:line="312" w:lineRule="exact"/>
        <w:ind w:left="0" w:right="0" w:firstLine="0"/>
        <w:jc w:val="left"/>
      </w:pPr>
      <w:bookmarkStart w:id="999" w:name="bookmark999"/>
      <w:bookmarkEnd w:id="999"/>
      <w:r>
        <w:rPr>
          <w:color w:val="000000"/>
          <w:spacing w:val="0"/>
          <w:w w:val="100"/>
          <w:position w:val="0"/>
        </w:rPr>
        <w:t>公司至少年度终了对固定资产的使用寿命、预计净残值和折旧方法进行复核，如发生改变则作为会计估计变更处理。</w:t>
      </w:r>
    </w:p>
    <w:p>
      <w:pPr>
        <w:pStyle w:val="Style37"/>
        <w:keepNext/>
        <w:keepLines/>
        <w:widowControl w:val="0"/>
        <w:numPr>
          <w:ilvl w:val="0"/>
          <w:numId w:val="45"/>
        </w:numPr>
        <w:shd w:val="clear" w:color="auto" w:fill="auto"/>
        <w:bidi w:val="0"/>
        <w:spacing w:before="0" w:after="280" w:line="318" w:lineRule="exact"/>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融资租入固定资产的认定依据、计价和折旧方法</w:t>
      </w:r>
      <w:bookmarkEnd w:id="1000"/>
      <w:bookmarkEnd w:id="1001"/>
      <w:bookmarkEnd w:id="1003"/>
    </w:p>
    <w:p>
      <w:pPr>
        <w:pStyle w:val="Style22"/>
        <w:keepNext w:val="0"/>
        <w:keepLines w:val="0"/>
        <w:widowControl w:val="0"/>
        <w:shd w:val="clear" w:color="auto" w:fill="auto"/>
        <w:bidi w:val="0"/>
        <w:spacing w:before="0" w:after="280" w:line="318" w:lineRule="exact"/>
        <w:ind w:left="0" w:right="0" w:firstLine="0"/>
        <w:jc w:val="left"/>
      </w:pPr>
      <w:r>
        <w:rPr>
          <w:color w:val="000000"/>
          <w:spacing w:val="0"/>
          <w:w w:val="100"/>
          <w:position w:val="0"/>
        </w:rPr>
        <w:t>不适用</w:t>
      </w:r>
    </w:p>
    <w:p>
      <w:pPr>
        <w:pStyle w:val="Style37"/>
        <w:keepNext/>
        <w:keepLines/>
        <w:widowControl w:val="0"/>
        <w:shd w:val="clear" w:color="auto" w:fill="auto"/>
        <w:tabs>
          <w:tab w:pos="445" w:val="left"/>
        </w:tabs>
        <w:bidi w:val="0"/>
        <w:spacing w:before="0" w:after="280" w:line="318" w:lineRule="exact"/>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sz w:val="18"/>
          <w:szCs w:val="18"/>
        </w:rPr>
        <w:t>2</w:t>
      </w:r>
      <w:bookmarkEnd w:id="100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在建工程</w:t>
      </w:r>
      <w:bookmarkEnd w:id="1004"/>
      <w:bookmarkEnd w:id="1005"/>
      <w:bookmarkEnd w:id="1007"/>
    </w:p>
    <w:p>
      <w:pPr>
        <w:pStyle w:val="Style22"/>
        <w:keepNext w:val="0"/>
        <w:keepLines w:val="0"/>
        <w:widowControl w:val="0"/>
        <w:numPr>
          <w:ilvl w:val="0"/>
          <w:numId w:val="49"/>
        </w:numPr>
        <w:shd w:val="clear" w:color="auto" w:fill="auto"/>
        <w:tabs>
          <w:tab w:pos="752" w:val="left"/>
        </w:tabs>
        <w:bidi w:val="0"/>
        <w:spacing w:before="0" w:after="0" w:line="317" w:lineRule="exact"/>
        <w:ind w:left="0" w:right="0" w:firstLine="440"/>
        <w:jc w:val="both"/>
      </w:pPr>
      <w:bookmarkStart w:id="1008" w:name="bookmark1008"/>
      <w:bookmarkEnd w:id="1008"/>
      <w:r>
        <w:rPr>
          <w:color w:val="000000"/>
          <w:spacing w:val="0"/>
          <w:w w:val="100"/>
          <w:position w:val="0"/>
        </w:rPr>
        <w:t>在建工程同时满足经济利益很可能流入、成本能够可靠地计量则予以确认。在建工程按建造该项资产达到预定可使 用状态前所发生的实际成本计量。</w:t>
      </w:r>
    </w:p>
    <w:p>
      <w:pPr>
        <w:pStyle w:val="Style22"/>
        <w:keepNext w:val="0"/>
        <w:keepLines w:val="0"/>
        <w:widowControl w:val="0"/>
        <w:numPr>
          <w:ilvl w:val="0"/>
          <w:numId w:val="49"/>
        </w:numPr>
        <w:shd w:val="clear" w:color="auto" w:fill="auto"/>
        <w:tabs>
          <w:tab w:pos="752" w:val="left"/>
        </w:tabs>
        <w:bidi w:val="0"/>
        <w:spacing w:before="0" w:after="280" w:line="326" w:lineRule="exact"/>
        <w:ind w:left="0" w:right="0" w:firstLine="440"/>
        <w:jc w:val="both"/>
      </w:pPr>
      <w:bookmarkStart w:id="1009" w:name="bookmark1009"/>
      <w:bookmarkEnd w:id="1009"/>
      <w:r>
        <w:rPr>
          <w:color w:val="000000"/>
          <w:spacing w:val="0"/>
          <w:w w:val="100"/>
          <w:position w:val="0"/>
        </w:rPr>
        <w:t>在建工程达到预定可使用状态时，按工程实际成本转入固定资产。已达到预定可使用状态但尚未办理竣工结算的， 先按估计价值转入固定资产，待办理竣工决算后再按实际成本调整原暂估价值，但不再调整原已计提的折旧。</w:t>
      </w:r>
    </w:p>
    <w:p>
      <w:pPr>
        <w:pStyle w:val="Style37"/>
        <w:keepNext/>
        <w:keepLines/>
        <w:widowControl w:val="0"/>
        <w:shd w:val="clear" w:color="auto" w:fill="auto"/>
        <w:tabs>
          <w:tab w:pos="445" w:val="left"/>
        </w:tabs>
        <w:bidi w:val="0"/>
        <w:spacing w:before="0" w:after="280" w:line="318" w:lineRule="exact"/>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sz w:val="18"/>
          <w:szCs w:val="18"/>
        </w:rPr>
        <w:t>2</w:t>
      </w:r>
      <w:bookmarkEnd w:id="101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借款费用</w:t>
      </w:r>
      <w:bookmarkEnd w:id="1010"/>
      <w:bookmarkEnd w:id="1011"/>
      <w:bookmarkEnd w:id="1013"/>
    </w:p>
    <w:p>
      <w:pPr>
        <w:pStyle w:val="Style22"/>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22"/>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.借款费用资本化的确认原则</w:t>
      </w:r>
    </w:p>
    <w:p>
      <w:pPr>
        <w:pStyle w:val="Style22"/>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22"/>
        <w:keepNext w:val="0"/>
        <w:keepLines w:val="0"/>
        <w:widowControl w:val="0"/>
        <w:numPr>
          <w:ilvl w:val="0"/>
          <w:numId w:val="51"/>
        </w:numPr>
        <w:shd w:val="clear" w:color="auto" w:fill="auto"/>
        <w:tabs>
          <w:tab w:pos="779" w:val="left"/>
        </w:tabs>
        <w:bidi w:val="0"/>
        <w:spacing w:before="0" w:after="0" w:line="318" w:lineRule="exact"/>
        <w:ind w:left="0" w:right="0" w:firstLine="440"/>
        <w:jc w:val="both"/>
      </w:pPr>
      <w:bookmarkStart w:id="1014" w:name="bookmark1014"/>
      <w:bookmarkEnd w:id="1014"/>
      <w:r>
        <w:rPr>
          <w:color w:val="000000"/>
          <w:spacing w:val="0"/>
          <w:w w:val="100"/>
          <w:position w:val="0"/>
        </w:rPr>
        <w:t>借款费用资本化期间</w:t>
      </w:r>
    </w:p>
    <w:p>
      <w:pPr>
        <w:pStyle w:val="Style22"/>
        <w:keepNext w:val="0"/>
        <w:keepLines w:val="0"/>
        <w:widowControl w:val="0"/>
        <w:numPr>
          <w:ilvl w:val="0"/>
          <w:numId w:val="53"/>
        </w:numPr>
        <w:shd w:val="clear" w:color="auto" w:fill="auto"/>
        <w:tabs>
          <w:tab w:pos="819" w:val="left"/>
        </w:tabs>
        <w:bidi w:val="0"/>
        <w:spacing w:before="0" w:after="0" w:line="318" w:lineRule="exact"/>
        <w:ind w:left="0" w:right="0" w:firstLine="440"/>
        <w:jc w:val="both"/>
      </w:pPr>
      <w:bookmarkStart w:id="1015" w:name="bookmark1015"/>
      <w:bookmarkEnd w:id="1015"/>
      <w:r>
        <w:rPr>
          <w:color w:val="000000"/>
          <w:spacing w:val="0"/>
          <w:w w:val="100"/>
          <w:position w:val="0"/>
        </w:rPr>
        <w:t>当同时满足下列条件时，开始资本化：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为使资产达到预定可使用或 可销售状态所必要的购建或者生产活动已经开始。</w:t>
      </w:r>
    </w:p>
    <w:p>
      <w:pPr>
        <w:pStyle w:val="Style22"/>
        <w:keepNext w:val="0"/>
        <w:keepLines w:val="0"/>
        <w:widowControl w:val="0"/>
        <w:numPr>
          <w:ilvl w:val="0"/>
          <w:numId w:val="53"/>
        </w:numPr>
        <w:shd w:val="clear" w:color="auto" w:fill="auto"/>
        <w:tabs>
          <w:tab w:pos="819" w:val="left"/>
        </w:tabs>
        <w:bidi w:val="0"/>
        <w:spacing w:before="0" w:after="0" w:line="318" w:lineRule="exact"/>
        <w:ind w:left="0" w:right="0" w:firstLine="440"/>
        <w:jc w:val="both"/>
      </w:pPr>
      <w:bookmarkStart w:id="1016" w:name="bookmark1016"/>
      <w:bookmarkEnd w:id="1016"/>
      <w:r>
        <w:rPr>
          <w:color w:val="000000"/>
          <w:spacing w:val="0"/>
          <w:w w:val="100"/>
          <w:position w:val="0"/>
        </w:rPr>
        <w:t>暂停资本化：若符合资本化条件的资产在购建或者生产过程中发生非正常中断，并且中断时间连续超过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 借款费用的资本化；中断期间发生的借款费用确认为当期费用，直至资产的购建或者生产活动重新开始。该项中断如是所购 建或生产的符合资本化条件的资产达到预定可使用状态或者可销售状态必要的程序，则借款费用继续资本化。</w:t>
      </w:r>
    </w:p>
    <w:p>
      <w:pPr>
        <w:pStyle w:val="Style22"/>
        <w:keepNext w:val="0"/>
        <w:keepLines w:val="0"/>
        <w:widowControl w:val="0"/>
        <w:numPr>
          <w:ilvl w:val="0"/>
          <w:numId w:val="53"/>
        </w:numPr>
        <w:shd w:val="clear" w:color="auto" w:fill="auto"/>
        <w:tabs>
          <w:tab w:pos="814" w:val="left"/>
        </w:tabs>
        <w:bidi w:val="0"/>
        <w:spacing w:before="0" w:after="280" w:line="318" w:lineRule="exact"/>
        <w:ind w:left="0" w:right="0" w:firstLine="440"/>
        <w:jc w:val="both"/>
      </w:pPr>
      <w:bookmarkStart w:id="1017" w:name="bookmark1017"/>
      <w:bookmarkEnd w:id="1017"/>
      <w:r>
        <w:rPr>
          <w:color w:val="000000"/>
          <w:spacing w:val="0"/>
          <w:w w:val="100"/>
          <w:position w:val="0"/>
        </w:rPr>
        <w:t>停止资本化：当所购建或者生产符合资本化条件的资产达到预定可使用或者可销售状态时，借款费用停止资本化。 当购建或者生产符合资本化的资产中部分项目分别完工且可单独使用时，该部分资产借款费用停止资本化。购建或者生产的 资产的各部分分别完工，但必须等到整体完工后才可使用或者对外销售的，在该资产整体完工时停止借款费用资本化。</w:t>
      </w:r>
    </w:p>
    <w:p>
      <w:pPr>
        <w:pStyle w:val="Style22"/>
        <w:keepNext w:val="0"/>
        <w:keepLines w:val="0"/>
        <w:widowControl w:val="0"/>
        <w:numPr>
          <w:ilvl w:val="0"/>
          <w:numId w:val="51"/>
        </w:numPr>
        <w:shd w:val="clear" w:color="auto" w:fill="auto"/>
        <w:tabs>
          <w:tab w:pos="779" w:val="left"/>
        </w:tabs>
        <w:bidi w:val="0"/>
        <w:spacing w:before="0" w:after="0" w:line="318" w:lineRule="exact"/>
        <w:ind w:left="0" w:right="0" w:firstLine="440"/>
        <w:jc w:val="both"/>
      </w:pPr>
      <w:bookmarkStart w:id="1018" w:name="bookmark1018"/>
      <w:bookmarkEnd w:id="1018"/>
      <w:r>
        <w:rPr>
          <w:color w:val="000000"/>
          <w:spacing w:val="0"/>
          <w:w w:val="100"/>
          <w:position w:val="0"/>
        </w:rPr>
        <w:t>借款费用资本化率及资本化金额的计算方法</w:t>
      </w:r>
    </w:p>
    <w:p>
      <w:pPr>
        <w:pStyle w:val="Style22"/>
        <w:keepNext w:val="0"/>
        <w:keepLines w:val="0"/>
        <w:widowControl w:val="0"/>
        <w:shd w:val="clear" w:color="auto" w:fill="auto"/>
        <w:bidi w:val="0"/>
        <w:spacing w:before="0" w:after="400" w:line="318" w:lineRule="exact"/>
        <w:ind w:left="0" w:right="0" w:firstLine="440"/>
        <w:jc w:val="both"/>
      </w:pPr>
      <w:r>
        <w:rPr>
          <w:color w:val="000000"/>
          <w:spacing w:val="0"/>
          <w:w w:val="100"/>
          <w:position w:val="0"/>
        </w:rPr>
        <w:t>为购建或者生产符合资本化条件的资产而借入专门借款的，以专门借款当期实际发生的利息费用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包括按照实际利率法 </w:t>
      </w:r>
      <w:r>
        <w:rPr>
          <w:color w:val="000000"/>
          <w:spacing w:val="0"/>
          <w:w w:val="100"/>
          <w:position w:val="0"/>
        </w:rPr>
        <w:t>确定的折价或溢价的摊销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加权平均利率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，计算确定一般借款应予资本化的利息金额。在资本 化期间内，每一会计期间的利息资本化金额不超过当期相关借款实际发生的利息金额。外币专门借款本金及利息的汇兑差额， 在资本化期间内予以资本化。专门借款发生的辅助费用，在所购建或生产的符合资本化条件的资产达到预定可使用或者可销 售状态之前发生的，予以资本化；在达到预定可使用或者可销售状态之后发生的，计入当期损益。一般借款发生的辅助费用， 在发生时计入当期损益。借款存在折价或者溢价的，按照实际利率法确定每一会计期间应摊销的折价或者溢价金额，调整每 期利息金额。</w:t>
      </w:r>
    </w:p>
    <w:p>
      <w:pPr>
        <w:pStyle w:val="Style37"/>
        <w:keepNext/>
        <w:keepLines/>
        <w:widowControl w:val="0"/>
        <w:shd w:val="clear" w:color="auto" w:fill="auto"/>
        <w:tabs>
          <w:tab w:pos="402" w:val="left"/>
        </w:tabs>
        <w:bidi w:val="0"/>
        <w:spacing w:before="0" w:after="180" w:line="36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sz w:val="18"/>
          <w:szCs w:val="18"/>
        </w:rPr>
        <w:t>2</w:t>
      </w:r>
      <w:bookmarkEnd w:id="102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生物资产</w:t>
      </w:r>
      <w:bookmarkEnd w:id="1019"/>
      <w:bookmarkEnd w:id="1020"/>
      <w:bookmarkEnd w:id="1022"/>
    </w:p>
    <w:p>
      <w:pPr>
        <w:pStyle w:val="Style2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402" w:val="left"/>
        </w:tabs>
        <w:bidi w:val="0"/>
        <w:spacing w:before="0" w:after="180" w:line="36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sz w:val="18"/>
          <w:szCs w:val="18"/>
        </w:rPr>
        <w:t>2</w:t>
      </w:r>
      <w:bookmarkEnd w:id="102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油气资产</w:t>
      </w:r>
      <w:bookmarkEnd w:id="1023"/>
      <w:bookmarkEnd w:id="1024"/>
      <w:bookmarkEnd w:id="1026"/>
    </w:p>
    <w:p>
      <w:pPr>
        <w:pStyle w:val="Style2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402" w:val="left"/>
        </w:tabs>
        <w:bidi w:val="0"/>
        <w:spacing w:before="0" w:after="180" w:line="36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sz w:val="18"/>
          <w:szCs w:val="18"/>
        </w:rPr>
        <w:t>2</w:t>
      </w:r>
      <w:bookmarkEnd w:id="1029"/>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使用权资产</w:t>
      </w:r>
      <w:bookmarkEnd w:id="1027"/>
      <w:bookmarkEnd w:id="1028"/>
      <w:bookmarkEnd w:id="1030"/>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在租赁期开始日，本公司对除短期租赁和低价值资产租赁以外的租赁确认使用权资产。使用权资产按照成本进行初始计量， 包括：租赁负债的初始计量金额；在租赁期开始日或之前支付的租赁付款额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扣除已享受的租赁激励相关金额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；发生的初始 直接费用；为拆卸及移除租赁资产、复原租赁资产所在场地或将租赁资产恢复至租赁条款约定状态预计将发生的成本。</w:t>
      </w:r>
    </w:p>
    <w:p>
      <w:pPr>
        <w:pStyle w:val="Style22"/>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本公司使用直线法对使用权资产计提折旧。对能够合理确定租赁期届满时取得租赁资产所有权的，本公司在租赁资产剩余使 用寿命内计提折旧。无法合理确定租赁期届满时能够取得租赁资产所有权的，租赁资产在租赁期与租赁资产剩余使用寿命两 者孰短的期间内计提折旧。</w:t>
      </w:r>
    </w:p>
    <w:p>
      <w:pPr>
        <w:pStyle w:val="Style37"/>
        <w:keepNext/>
        <w:keepLines/>
        <w:widowControl w:val="0"/>
        <w:shd w:val="clear" w:color="auto" w:fill="auto"/>
        <w:tabs>
          <w:tab w:pos="402" w:val="left"/>
        </w:tabs>
        <w:bidi w:val="0"/>
        <w:spacing w:before="0" w:after="180" w:line="36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sz w:val="18"/>
          <w:szCs w:val="18"/>
        </w:rPr>
        <w:t>3</w:t>
      </w:r>
      <w:bookmarkEnd w:id="1033"/>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无形资产</w:t>
      </w:r>
      <w:bookmarkEnd w:id="1031"/>
      <w:bookmarkEnd w:id="1032"/>
      <w:bookmarkEnd w:id="1034"/>
    </w:p>
    <w:p>
      <w:pPr>
        <w:pStyle w:val="Style37"/>
        <w:keepNext/>
        <w:keepLines/>
        <w:widowControl w:val="0"/>
        <w:shd w:val="clear" w:color="auto" w:fill="auto"/>
        <w:bidi w:val="0"/>
        <w:spacing w:before="0" w:after="300"/>
        <w:ind w:left="0" w:right="0" w:firstLine="0"/>
        <w:jc w:val="left"/>
      </w:pPr>
      <w:bookmarkStart w:id="1031" w:name="bookmark1031"/>
      <w:bookmarkStart w:id="1032" w:name="bookmark1032"/>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）计价方法、使用寿命、减值测试</w:t>
      </w:r>
      <w:bookmarkEnd w:id="1031"/>
      <w:bookmarkEnd w:id="1032"/>
      <w:bookmarkEnd w:id="1036"/>
    </w:p>
    <w:p>
      <w:pPr>
        <w:pStyle w:val="Style22"/>
        <w:keepNext w:val="0"/>
        <w:keepLines w:val="0"/>
        <w:widowControl w:val="0"/>
        <w:numPr>
          <w:ilvl w:val="0"/>
          <w:numId w:val="55"/>
        </w:numPr>
        <w:shd w:val="clear" w:color="auto" w:fill="auto"/>
        <w:tabs>
          <w:tab w:pos="717" w:val="left"/>
        </w:tabs>
        <w:bidi w:val="0"/>
        <w:spacing w:before="0" w:after="0" w:line="312" w:lineRule="exact"/>
        <w:ind w:left="0" w:right="0" w:firstLine="440"/>
        <w:jc w:val="both"/>
      </w:pPr>
      <w:bookmarkStart w:id="1037" w:name="bookmark1037"/>
      <w:bookmarkEnd w:id="1037"/>
      <w:r>
        <w:rPr>
          <w:color w:val="000000"/>
          <w:spacing w:val="0"/>
          <w:w w:val="100"/>
          <w:position w:val="0"/>
        </w:rPr>
        <w:t>无形资产的初始计量</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无形资产按成本进行初始计量。外购无形资产的成本，包括购买价、相关税费以及直接归属于该项资产达到预定用途 所发生的其他支出。购买无形资产的价款超过正常信用条件延期支付，实质上具有融资性质的，无形资产的成本以购买价款 的现值为基础确定。</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与无形资产有关的支出，如果相关的经济利益很可能流入本公司且成本能可靠地计量，则计入无形资产成本。除此之 外的其他项目的支出，在发生时计入当期损益。</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取得的土地使用权通常作为无形资产核算。自行开发构建厂房等建筑物，相关的土地使用权支出和建筑物建造成本分 别作为无形资产和固定资产核算。如为外购的房屋及建筑物，则将有关价款在土地使用权和建筑物之间分配，难以合理分配 的，全部作为固定资产处理。</w:t>
      </w:r>
    </w:p>
    <w:p>
      <w:pPr>
        <w:pStyle w:val="Style22"/>
        <w:keepNext w:val="0"/>
        <w:keepLines w:val="0"/>
        <w:widowControl w:val="0"/>
        <w:numPr>
          <w:ilvl w:val="0"/>
          <w:numId w:val="55"/>
        </w:numPr>
        <w:shd w:val="clear" w:color="auto" w:fill="auto"/>
        <w:tabs>
          <w:tab w:pos="736" w:val="left"/>
        </w:tabs>
        <w:bidi w:val="0"/>
        <w:spacing w:before="0" w:after="0" w:line="312" w:lineRule="exact"/>
        <w:ind w:left="0" w:right="0" w:firstLine="440"/>
        <w:jc w:val="both"/>
      </w:pPr>
      <w:bookmarkStart w:id="1038" w:name="bookmark1038"/>
      <w:bookmarkEnd w:id="1038"/>
      <w:r>
        <w:rPr>
          <w:color w:val="000000"/>
          <w:spacing w:val="0"/>
          <w:w w:val="100"/>
          <w:position w:val="0"/>
        </w:rPr>
        <w:t>无形资产使用寿命及摊销</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根据无形资产的合同性权利或其他法定权利、同行业情况、历史经验、相关专家论证等综合因素判断，能合理确定无 形资产为公司带来经济利益期限的，作为使用寿命有限的无形资产；无法合理确定无形资产为公司带来经济利益期限的，视 为使用寿命不确定的无形资产。</w:t>
      </w:r>
    </w:p>
    <w:p>
      <w:pPr>
        <w:pStyle w:val="Style2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对使用寿命有限的无形资产，估计其使用寿命时通常考虑以下因素：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运用该资产生产的产品通常的寿命周期、可获 得的类似资产使用寿命的信息；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技术、工艺等方面的现阶段情况及对未来发展趋势的估计；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以该资产生产的产品或提</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供劳务的市场需求情况；</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现在或潜在的竞争者预期采取的行动；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为维持该资产带来经济利益能力的预期维护支出，以 及公司预计支付有关支出的能力；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对该资产控制期限的相关法律规定或类似限制，如特许使用期、租赁期等；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与公司 持有其他资产使用寿命的关联性等。使用寿命有限的无形资产的使用寿命估计情况：</w:t>
      </w:r>
    </w:p>
    <w:tbl>
      <w:tblPr>
        <w:tblOverlap w:val="never"/>
        <w:jc w:val="center"/>
        <w:tblLayout w:type="fixed"/>
      </w:tblPr>
      <w:tblGrid>
        <w:gridCol w:w="3192"/>
        <w:gridCol w:w="2784"/>
        <w:gridCol w:w="3701"/>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预计使用寿命依据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期限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土地使用权证登记使用年限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预计受益期限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bl>
    <w:p>
      <w:pPr>
        <w:pStyle w:val="Style29"/>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使用寿命有限的无形资产，在使用寿命内按照与该项无形资产有关的经济利益的预期实现方式系统合理地摊销，无法 可靠确定预期实现方式的，采用直线法摊销。使用寿命不确定的无形资产不予摊销，但每年均对该无形资产的使用寿命进行 复核，并进行减值测试。</w:t>
      </w:r>
    </w:p>
    <w:p>
      <w:pPr>
        <w:pStyle w:val="Style22"/>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本公司于每年年度终了，对使用寿命有限的无形资产的使用寿命及摊销方法进行复核，与以前估计不同的，调整原先 估计数，并按会计估计变更处理；预计某项无形资产已经不能给企业带来未来经济利益的，将该项无形资产的账面价值全部 转入当期损益。</w:t>
      </w:r>
    </w:p>
    <w:p>
      <w:pPr>
        <w:pStyle w:val="Style37"/>
        <w:keepNext/>
        <w:keepLines/>
        <w:widowControl w:val="0"/>
        <w:shd w:val="clear" w:color="auto" w:fill="auto"/>
        <w:bidi w:val="0"/>
        <w:spacing w:before="0" w:after="300" w:line="315" w:lineRule="exact"/>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）内部研究开发支出会计政策</w:t>
      </w:r>
      <w:bookmarkEnd w:id="1039"/>
      <w:bookmarkEnd w:id="1040"/>
      <w:bookmarkEnd w:id="1042"/>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内部研究开发项目的支出，区分为研究阶段支出和开发阶段支出。划分研究阶段和开发阶段的标准：为获取新的技术 和知识等进行的有计划的调查阶段，应确定为研究阶段，该阶段具有计划性和探索性等特点；在进行商业性生产或使用前， 将研究成果或其他知识应用于某项计划或设计，以生产出新的或具有实质性改进的材料、装置、产品等阶段，应确定为开发 阶段，该阶段具有针对性和形成成果的可能性较大等特点。</w:t>
      </w:r>
    </w:p>
    <w:p>
      <w:pPr>
        <w:pStyle w:val="Style22"/>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内部研究开发项目研究阶段的支出，于发生时计入当期损益。内部研究开发项目开发阶段的支出，同时满足下列条件 的，确认为无形资产：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具有完成该无形资产并使用或出 售的意图；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无形资产产生经济利益的方式，包括能够证明运用该无形资产生产的产品存在市场或无形资产自身存在市场， 无形资产将在内部使用的，可证明其有用性；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有足够的技术、财务资源和其他资源支持，以完成该无形资产的开发，并 有能力使用或出售该无形资产；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归属于该无形资产开发阶段的支出能够可靠地计量。如不满足上述条件的，于发生时计 入当期损益；无法区分研究阶段支出和开发阶段支出的，将发生的研发支出全部计入当期损益。</w:t>
      </w:r>
    </w:p>
    <w:p>
      <w:pPr>
        <w:pStyle w:val="Style37"/>
        <w:keepNext/>
        <w:keepLines/>
        <w:widowControl w:val="0"/>
        <w:shd w:val="clear" w:color="auto" w:fill="auto"/>
        <w:bidi w:val="0"/>
        <w:spacing w:before="0" w:after="180" w:line="360" w:lineRule="auto"/>
        <w:ind w:left="0" w:right="0" w:firstLine="0"/>
        <w:jc w:val="both"/>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sz w:val="18"/>
          <w:szCs w:val="18"/>
        </w:rPr>
        <w:t>3</w:t>
      </w:r>
      <w:bookmarkEnd w:id="10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、长期资产减值</w:t>
      </w:r>
      <w:bookmarkEnd w:id="1043"/>
      <w:bookmarkEnd w:id="1044"/>
      <w:bookmarkEnd w:id="1046"/>
    </w:p>
    <w:p>
      <w:pPr>
        <w:pStyle w:val="Style22"/>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长期股权投资、采用成本模式计量的投资性房地产、固定资产、在建工程、使用权资产、无形资产、商誉等长期资产， 存在下列迹象的，表明资产可能发生了减值：</w:t>
      </w:r>
    </w:p>
    <w:p>
      <w:pPr>
        <w:pStyle w:val="Style22"/>
        <w:keepNext w:val="0"/>
        <w:keepLines w:val="0"/>
        <w:widowControl w:val="0"/>
        <w:numPr>
          <w:ilvl w:val="0"/>
          <w:numId w:val="57"/>
        </w:numPr>
        <w:shd w:val="clear" w:color="auto" w:fill="auto"/>
        <w:tabs>
          <w:tab w:pos="709" w:val="left"/>
        </w:tabs>
        <w:bidi w:val="0"/>
        <w:spacing w:before="0" w:after="0" w:line="360" w:lineRule="auto"/>
        <w:ind w:left="0" w:right="0" w:firstLine="440"/>
        <w:jc w:val="both"/>
      </w:pPr>
      <w:bookmarkStart w:id="1047" w:name="bookmark1047"/>
      <w:bookmarkEnd w:id="1047"/>
      <w:r>
        <w:rPr>
          <w:color w:val="000000"/>
          <w:spacing w:val="0"/>
          <w:w w:val="100"/>
          <w:position w:val="0"/>
        </w:rPr>
        <w:t>资产的市价当期大幅度下跌，其跌幅明显高于因时间的推移或者正常使用而预计的下跌；</w:t>
      </w:r>
    </w:p>
    <w:p>
      <w:pPr>
        <w:pStyle w:val="Style22"/>
        <w:keepNext w:val="0"/>
        <w:keepLines w:val="0"/>
        <w:widowControl w:val="0"/>
        <w:numPr>
          <w:ilvl w:val="0"/>
          <w:numId w:val="57"/>
        </w:numPr>
        <w:shd w:val="clear" w:color="auto" w:fill="auto"/>
        <w:tabs>
          <w:tab w:pos="701" w:val="left"/>
        </w:tabs>
        <w:bidi w:val="0"/>
        <w:spacing w:before="0" w:after="0" w:line="315" w:lineRule="exact"/>
        <w:ind w:left="0" w:right="0" w:firstLine="440"/>
        <w:jc w:val="both"/>
      </w:pPr>
      <w:bookmarkStart w:id="1048" w:name="bookmark1048"/>
      <w:bookmarkEnd w:id="1048"/>
      <w:r>
        <w:rPr>
          <w:color w:val="000000"/>
          <w:spacing w:val="0"/>
          <w:w w:val="100"/>
          <w:position w:val="0"/>
        </w:rPr>
        <w:t>企业经营所处的经济、技术或者法律等环境以及资产所处的市场在当期或者将在近期发生重大变化，从而对企业产 生不利影响；</w:t>
      </w:r>
    </w:p>
    <w:p>
      <w:pPr>
        <w:pStyle w:val="Style22"/>
        <w:keepNext w:val="0"/>
        <w:keepLines w:val="0"/>
        <w:widowControl w:val="0"/>
        <w:numPr>
          <w:ilvl w:val="0"/>
          <w:numId w:val="57"/>
        </w:numPr>
        <w:shd w:val="clear" w:color="auto" w:fill="auto"/>
        <w:tabs>
          <w:tab w:pos="696" w:val="left"/>
        </w:tabs>
        <w:bidi w:val="0"/>
        <w:spacing w:before="0" w:after="100" w:line="315" w:lineRule="exact"/>
        <w:ind w:left="0" w:right="0" w:firstLine="440"/>
        <w:jc w:val="both"/>
      </w:pPr>
      <w:bookmarkStart w:id="1049" w:name="bookmark1049"/>
      <w:bookmarkEnd w:id="1049"/>
      <w:r>
        <w:rPr>
          <w:color w:val="000000"/>
          <w:spacing w:val="0"/>
          <w:w w:val="100"/>
          <w:position w:val="0"/>
        </w:rPr>
        <w:t>市场利率或者其他市场投资报酬率在当期已经提高，从而影响企业计算资产预计未来现金流量现值的折现率，导致 资产可收回金额大幅度降低；</w:t>
      </w:r>
    </w:p>
    <w:p>
      <w:pPr>
        <w:pStyle w:val="Style22"/>
        <w:keepNext w:val="0"/>
        <w:keepLines w:val="0"/>
        <w:widowControl w:val="0"/>
        <w:numPr>
          <w:ilvl w:val="0"/>
          <w:numId w:val="57"/>
        </w:numPr>
        <w:shd w:val="clear" w:color="auto" w:fill="auto"/>
        <w:tabs>
          <w:tab w:pos="728" w:val="left"/>
        </w:tabs>
        <w:bidi w:val="0"/>
        <w:spacing w:before="0" w:after="0" w:line="360" w:lineRule="auto"/>
        <w:ind w:left="0" w:right="0" w:firstLine="440"/>
        <w:jc w:val="both"/>
      </w:pPr>
      <w:bookmarkStart w:id="1050" w:name="bookmark1050"/>
      <w:bookmarkEnd w:id="1050"/>
      <w:r>
        <w:rPr>
          <w:color w:val="000000"/>
          <w:spacing w:val="0"/>
          <w:w w:val="100"/>
          <w:position w:val="0"/>
        </w:rPr>
        <w:t>有证据表明资产已经陈旧过时或者其实体已经损坏；</w:t>
      </w:r>
    </w:p>
    <w:p>
      <w:pPr>
        <w:pStyle w:val="Style22"/>
        <w:keepNext w:val="0"/>
        <w:keepLines w:val="0"/>
        <w:widowControl w:val="0"/>
        <w:numPr>
          <w:ilvl w:val="0"/>
          <w:numId w:val="57"/>
        </w:numPr>
        <w:shd w:val="clear" w:color="auto" w:fill="auto"/>
        <w:tabs>
          <w:tab w:pos="728" w:val="left"/>
        </w:tabs>
        <w:bidi w:val="0"/>
        <w:spacing w:before="0" w:after="0" w:line="360" w:lineRule="auto"/>
        <w:ind w:left="0" w:right="0" w:firstLine="440"/>
        <w:jc w:val="both"/>
      </w:pPr>
      <w:bookmarkStart w:id="1051" w:name="bookmark1051"/>
      <w:bookmarkEnd w:id="1051"/>
      <w:r>
        <w:rPr>
          <w:color w:val="000000"/>
          <w:spacing w:val="0"/>
          <w:w w:val="100"/>
          <w:position w:val="0"/>
        </w:rPr>
        <w:t>资产已经或者将被闲置、终止使用或者计划提前处置；</w:t>
      </w:r>
    </w:p>
    <w:p>
      <w:pPr>
        <w:pStyle w:val="Style22"/>
        <w:keepNext w:val="0"/>
        <w:keepLines w:val="0"/>
        <w:widowControl w:val="0"/>
        <w:numPr>
          <w:ilvl w:val="0"/>
          <w:numId w:val="57"/>
        </w:numPr>
        <w:shd w:val="clear" w:color="auto" w:fill="auto"/>
        <w:tabs>
          <w:tab w:pos="706" w:val="left"/>
        </w:tabs>
        <w:bidi w:val="0"/>
        <w:spacing w:before="0" w:after="100" w:line="315" w:lineRule="exact"/>
        <w:ind w:left="0" w:right="0" w:firstLine="440"/>
        <w:jc w:val="both"/>
      </w:pPr>
      <w:bookmarkStart w:id="1052" w:name="bookmark1052"/>
      <w:bookmarkEnd w:id="1052"/>
      <w:r>
        <w:rPr>
          <w:color w:val="000000"/>
          <w:spacing w:val="0"/>
          <w:w w:val="100"/>
          <w:position w:val="0"/>
        </w:rPr>
        <w:t>企业内部报告的证据表明资产的经济绩效已经低于或者将低于预期，如资产所创造的净现金流量或者实现的营业利 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远远低于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或者高于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预计金额等；</w:t>
      </w:r>
    </w:p>
    <w:p>
      <w:pPr>
        <w:pStyle w:val="Style22"/>
        <w:keepNext w:val="0"/>
        <w:keepLines w:val="0"/>
        <w:widowControl w:val="0"/>
        <w:numPr>
          <w:ilvl w:val="0"/>
          <w:numId w:val="57"/>
        </w:numPr>
        <w:shd w:val="clear" w:color="auto" w:fill="auto"/>
        <w:tabs>
          <w:tab w:pos="728" w:val="left"/>
        </w:tabs>
        <w:bidi w:val="0"/>
        <w:spacing w:before="0" w:after="0" w:line="360" w:lineRule="auto"/>
        <w:ind w:left="0" w:right="0" w:firstLine="440"/>
        <w:jc w:val="both"/>
      </w:pPr>
      <w:bookmarkStart w:id="1053" w:name="bookmark1053"/>
      <w:bookmarkEnd w:id="1053"/>
      <w:r>
        <w:rPr>
          <w:color w:val="000000"/>
          <w:spacing w:val="0"/>
          <w:w w:val="100"/>
          <w:position w:val="0"/>
        </w:rPr>
        <w:t>其他表明资产可能已经发生减值的迹象。</w:t>
      </w:r>
    </w:p>
    <w:p>
      <w:pPr>
        <w:pStyle w:val="Style2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上述长期资产于资产负债日存在减值迹象的，应当进行减值测试。减值测试结果表明资产的可收回金额低于其账面价 值的，按其差额计提减值准备并计入减值损失。可收回金额为资产的公允价值减去处置费用后的净额与资产预计未来现金流 量的现值两者之间的较高者。公允价值的确定方法详见本附注五</w:t>
      </w:r>
      <w:r>
        <w:rPr>
          <w:rFonts w:ascii="Times New Roman" w:eastAsia="Times New Roman" w:hAnsi="Times New Roman" w:cs="Times New Roman"/>
          <w:color w:val="000000"/>
          <w:spacing w:val="0"/>
          <w:w w:val="100"/>
          <w:position w:val="0"/>
          <w:sz w:val="18"/>
          <w:szCs w:val="18"/>
        </w:rPr>
        <w:t>（43）1</w:t>
      </w:r>
      <w:r>
        <w:rPr>
          <w:color w:val="000000"/>
          <w:spacing w:val="0"/>
          <w:w w:val="100"/>
          <w:position w:val="0"/>
        </w:rPr>
        <w:t xml:space="preserve">公允价值；处置费用包括与资产处置有关的法律费用、 相关税费、搬运费以及为使资产达到可销售状态所发生的直接费用；资产预计未来现金流量的现值，按照资产在持续使用过 </w:t>
      </w:r>
      <w:r>
        <w:rPr>
          <w:color w:val="000000"/>
          <w:spacing w:val="0"/>
          <w:w w:val="100"/>
          <w:position w:val="0"/>
        </w:rPr>
        <w:t>程中和最终处置时所产生的预计未来现金流量，选择恰当的折现率对其进行折现后的金额加以确定。</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资产减值准备按单项资产为基础计算并确认，如果难以对单项资产的可收回金额进行估计的，以资产组所属的资产组 确定资产组的可收回金额。资产组是能够独立产生现金流入的最小资产组合。</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在财务报表中单独列示的商誉，在进行减值测试时，将商誉的账面价值分摊至预期从企业合并的协同效应收益中收益 的资产组或资产组组合。测试结果表明包含分摊的商誉的资产组或者资产组组合的可收回金额低于其账面价值的，确认相应 的减值损失。减值损失金额先抵减分摊至该资产组或者资产组组合的商誉的账面价值，再根据资产组或者资产组组合中除商 誉以外的其他各项资产的账面价值所占比重，按比例抵减其他各项资产的账面价值。</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商誉和使用寿命不确定的无形资产至少在每年年终终了进行减值测试。</w:t>
      </w:r>
    </w:p>
    <w:p>
      <w:pPr>
        <w:pStyle w:val="Style22"/>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上述资产减值损失一经确认，在以后期间不予转回。</w:t>
      </w:r>
    </w:p>
    <w:p>
      <w:pPr>
        <w:pStyle w:val="Style37"/>
        <w:keepNext/>
        <w:keepLines/>
        <w:widowControl w:val="0"/>
        <w:shd w:val="clear" w:color="auto" w:fill="auto"/>
        <w:tabs>
          <w:tab w:pos="428" w:val="left"/>
        </w:tabs>
        <w:bidi w:val="0"/>
        <w:spacing w:before="0" w:after="180" w:line="36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sz w:val="18"/>
          <w:szCs w:val="18"/>
        </w:rPr>
        <w:t>3</w:t>
      </w:r>
      <w:bookmarkEnd w:id="10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长期待摊费用</w:t>
      </w:r>
      <w:bookmarkEnd w:id="1054"/>
      <w:bookmarkEnd w:id="1055"/>
      <w:bookmarkEnd w:id="1057"/>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长期待摊费用按实际支出入账，在受益期或规定的期限内平均摊销。如果长期待摊的费用项目不能使以后会计期间受 益，则将尚未摊销的该项目的摊余价值全部转入当期损益。其中：</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租入的固定资产发生的改良支出，对能够合理确定租赁期届满时取得租赁资产所有权的，在租赁资产剩余使用寿命内 平均摊销。无法合理确定租赁期届满时能够取得租赁资产所有权的，按剩余租赁期与租赁资产剩余使用寿命两者孰短的期限 平均摊销。</w:t>
      </w:r>
    </w:p>
    <w:p>
      <w:pPr>
        <w:pStyle w:val="Style22"/>
        <w:keepNext w:val="0"/>
        <w:keepLines w:val="0"/>
        <w:widowControl w:val="0"/>
        <w:shd w:val="clear" w:color="auto" w:fill="auto"/>
        <w:bidi w:val="0"/>
        <w:spacing w:before="0" w:after="400" w:line="314" w:lineRule="exact"/>
        <w:ind w:left="0" w:right="0" w:firstLine="440"/>
        <w:jc w:val="both"/>
      </w:pPr>
      <w:r>
        <w:rPr>
          <w:color w:val="000000"/>
          <w:spacing w:val="0"/>
          <w:w w:val="100"/>
          <w:position w:val="0"/>
        </w:rPr>
        <w:t>租入的固定资产发生的装修费用，对能够合理确定租赁期届满时取得租赁资产所有权的，按两次装修间隔期间与租赁 资产剩余使用寿命中较短的期限平均摊销。无法合理确定租赁期届满时能够取得租赁资产所有权的，按两次装修间隔期间、 剩余租赁期与租赁资产剩余使用寿命三者中较短的期限平均摊销。</w:t>
      </w:r>
    </w:p>
    <w:p>
      <w:pPr>
        <w:pStyle w:val="Style37"/>
        <w:keepNext/>
        <w:keepLines/>
        <w:widowControl w:val="0"/>
        <w:shd w:val="clear" w:color="auto" w:fill="auto"/>
        <w:tabs>
          <w:tab w:pos="428" w:val="left"/>
        </w:tabs>
        <w:bidi w:val="0"/>
        <w:spacing w:before="0" w:after="180" w:line="36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sz w:val="18"/>
          <w:szCs w:val="18"/>
        </w:rPr>
        <w:t>3</w:t>
      </w:r>
      <w:bookmarkEnd w:id="10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合同负债</w:t>
      </w:r>
      <w:bookmarkEnd w:id="1058"/>
      <w:bookmarkEnd w:id="1059"/>
      <w:bookmarkEnd w:id="1061"/>
    </w:p>
    <w:p>
      <w:pPr>
        <w:pStyle w:val="Style22"/>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合同负债是指公司已收或应收客户对价而应向客户转让商品的义务。公司将同一合同下的合同资产和合同负债相互抵 销后以净额列示。</w:t>
      </w:r>
    </w:p>
    <w:p>
      <w:pPr>
        <w:pStyle w:val="Style37"/>
        <w:keepNext/>
        <w:keepLines/>
        <w:widowControl w:val="0"/>
        <w:shd w:val="clear" w:color="auto" w:fill="auto"/>
        <w:tabs>
          <w:tab w:pos="428" w:val="left"/>
        </w:tabs>
        <w:bidi w:val="0"/>
        <w:spacing w:before="0" w:after="180" w:line="36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sz w:val="18"/>
          <w:szCs w:val="18"/>
        </w:rPr>
        <w:t>3</w:t>
      </w:r>
      <w:bookmarkEnd w:id="106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职工薪酬</w:t>
      </w:r>
      <w:bookmarkEnd w:id="1062"/>
      <w:bookmarkEnd w:id="1063"/>
      <w:bookmarkEnd w:id="1065"/>
    </w:p>
    <w:p>
      <w:pPr>
        <w:pStyle w:val="Style37"/>
        <w:keepNext/>
        <w:keepLines/>
        <w:widowControl w:val="0"/>
        <w:shd w:val="clear" w:color="auto" w:fill="auto"/>
        <w:tabs>
          <w:tab w:pos="433" w:val="left"/>
        </w:tabs>
        <w:bidi w:val="0"/>
        <w:spacing w:before="0" w:after="280" w:line="313" w:lineRule="exact"/>
        <w:ind w:left="0" w:right="0" w:firstLine="0"/>
        <w:jc w:val="left"/>
      </w:pPr>
      <w:bookmarkStart w:id="1062" w:name="bookmark1062"/>
      <w:bookmarkStart w:id="1063" w:name="bookmark1063"/>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短期薪酬的会计处理方法</w:t>
      </w:r>
      <w:bookmarkEnd w:id="1062"/>
      <w:bookmarkEnd w:id="1063"/>
      <w:bookmarkEnd w:id="1067"/>
    </w:p>
    <w:p>
      <w:pPr>
        <w:pStyle w:val="Style22"/>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本公司在职工提供服务的会计期间，将实际发生的职工工资、奖金、按规定的基准和比例为职工缴纳的医疗保险费、 工伤保险费和生育保险费等社会保险费和住房公积金，确认为负债，并计入当期损益或相关资产成本。职工福利费为非货币 性福利的，如能够可靠计量的，按照公允价值计量。如果该负债预期在职工提供相关服务的年度报告期结束后十二个月内不 能完全支付，且财务影响重大的，则该负债将以折现后的金额计量。</w:t>
      </w:r>
    </w:p>
    <w:p>
      <w:pPr>
        <w:pStyle w:val="Style37"/>
        <w:keepNext/>
        <w:keepLines/>
        <w:widowControl w:val="0"/>
        <w:shd w:val="clear" w:color="auto" w:fill="auto"/>
        <w:tabs>
          <w:tab w:pos="433" w:val="left"/>
        </w:tabs>
        <w:bidi w:val="0"/>
        <w:spacing w:before="0" w:after="280" w:line="313" w:lineRule="exact"/>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离职后福利的会计处理方法</w:t>
      </w:r>
      <w:bookmarkEnd w:id="1068"/>
      <w:bookmarkEnd w:id="1069"/>
      <w:bookmarkEnd w:id="1071"/>
    </w:p>
    <w:p>
      <w:pPr>
        <w:pStyle w:val="Style2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离职后福利计划包括设定提存计划。设定提存计划，是指向独立的基金缴存固定费用后，企业不再承担进一步支付义 务的离职后福利计划。</w:t>
      </w:r>
    </w:p>
    <w:p>
      <w:pPr>
        <w:pStyle w:val="Style22"/>
        <w:keepNext w:val="0"/>
        <w:keepLines w:val="0"/>
        <w:widowControl w:val="0"/>
        <w:shd w:val="clear" w:color="auto" w:fill="auto"/>
        <w:bidi w:val="0"/>
        <w:spacing w:before="0" w:after="0" w:line="360" w:lineRule="auto"/>
        <w:ind w:left="0" w:right="0" w:firstLine="440"/>
        <w:jc w:val="both"/>
      </w:pPr>
      <w:bookmarkStart w:id="1072" w:name="bookmark1072"/>
      <w:r>
        <w:rPr>
          <w:rFonts w:ascii="Times New Roman" w:eastAsia="Times New Roman" w:hAnsi="Times New Roman" w:cs="Times New Roman"/>
          <w:color w:val="000000"/>
          <w:spacing w:val="0"/>
          <w:w w:val="100"/>
          <w:position w:val="0"/>
          <w:sz w:val="18"/>
          <w:szCs w:val="18"/>
        </w:rPr>
        <w:t>（</w:t>
      </w:r>
      <w:bookmarkEnd w:id="10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设定提存计划</w:t>
      </w:r>
    </w:p>
    <w:p>
      <w:pPr>
        <w:pStyle w:val="Style22"/>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本公司按当期政府的相关规定为职工缴纳基本养老保险和失业保险，在职工为本公司提供服务的会计期间，根据设定 提存计划计算的应缴存金额确认为负债，并计入当期损益或相关资产成本。</w:t>
      </w:r>
    </w:p>
    <w:p>
      <w:pPr>
        <w:pStyle w:val="Style37"/>
        <w:keepNext/>
        <w:keepLines/>
        <w:widowControl w:val="0"/>
        <w:shd w:val="clear" w:color="auto" w:fill="auto"/>
        <w:tabs>
          <w:tab w:pos="390" w:val="left"/>
        </w:tabs>
        <w:bidi w:val="0"/>
        <w:spacing w:before="0" w:after="280" w:line="312" w:lineRule="exact"/>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辞退福利的会计处理方法</w:t>
      </w:r>
      <w:bookmarkEnd w:id="1073"/>
      <w:bookmarkEnd w:id="1074"/>
      <w:bookmarkEnd w:id="1076"/>
    </w:p>
    <w:p>
      <w:pPr>
        <w:pStyle w:val="Style22"/>
        <w:keepNext w:val="0"/>
        <w:keepLines w:val="0"/>
        <w:widowControl w:val="0"/>
        <w:shd w:val="clear" w:color="auto" w:fill="auto"/>
        <w:bidi w:val="0"/>
        <w:spacing w:before="0" w:after="280" w:line="326" w:lineRule="exact"/>
        <w:ind w:left="0" w:right="0" w:firstLine="440"/>
        <w:jc w:val="both"/>
      </w:pPr>
      <w:r>
        <w:rPr>
          <w:color w:val="000000"/>
          <w:spacing w:val="0"/>
          <w:w w:val="100"/>
          <w:position w:val="0"/>
        </w:rPr>
        <w:t>在本公司不能单方面撤回因解除劳动关系计划或者裁减建议所提供的辞退福利时，和本公司确认与涉及支付辞退福利 的重组相关的成本或费用时两者孰早日，确认辞退福利产生的职工薪酬负债，并计入当期损益。但辞退福利预期在年度报告 期结束后十二个月不能完全支付的，按照其他长期职工薪酬处理。</w:t>
      </w:r>
    </w:p>
    <w:p>
      <w:pPr>
        <w:pStyle w:val="Style37"/>
        <w:keepNext/>
        <w:keepLines/>
        <w:widowControl w:val="0"/>
        <w:shd w:val="clear" w:color="auto" w:fill="auto"/>
        <w:tabs>
          <w:tab w:pos="390" w:val="left"/>
        </w:tabs>
        <w:bidi w:val="0"/>
        <w:spacing w:before="0" w:after="280" w:line="312" w:lineRule="exact"/>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其他长期职工福利的会计处理方法</w:t>
      </w:r>
      <w:bookmarkEnd w:id="1077"/>
      <w:bookmarkEnd w:id="1078"/>
      <w:bookmarkEnd w:id="1080"/>
    </w:p>
    <w:p>
      <w:pPr>
        <w:pStyle w:val="Style22"/>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本公司向职工提供的其他长期职工福利，符合设定提存计划的，按照设定提存计划进行会计处理，除此之外按照设定 受益计划进行会计处理。但相关职工薪酬成本中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重新计量设定受益计划净负债或净资产所产生的变动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 相关资产成本。</w:t>
      </w:r>
    </w:p>
    <w:p>
      <w:pPr>
        <w:pStyle w:val="Style37"/>
        <w:keepNext/>
        <w:keepLines/>
        <w:widowControl w:val="0"/>
        <w:shd w:val="clear" w:color="auto" w:fill="auto"/>
        <w:tabs>
          <w:tab w:pos="385" w:val="left"/>
        </w:tabs>
        <w:bidi w:val="0"/>
        <w:spacing w:before="0" w:after="280" w:line="312" w:lineRule="exact"/>
        <w:ind w:left="0" w:right="0" w:firstLine="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sz w:val="18"/>
          <w:szCs w:val="18"/>
        </w:rPr>
        <w:t>3</w:t>
      </w:r>
      <w:bookmarkEnd w:id="108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租赁负债</w:t>
      </w:r>
      <w:bookmarkEnd w:id="1081"/>
      <w:bookmarkEnd w:id="1082"/>
      <w:bookmarkEnd w:id="1084"/>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在租赁期开始日，本公司对除短期租赁和低价值资产租赁以外的租赁确认租赁负债。租赁负债按照尚未支付的租赁付款额的 现值进行初始计量。租赁付款额包括：固定付款额及实质固定付款额，存在租赁激励的，扣除租赁激励相关金额；取决于指 数或比率的可变租赁付款额，该款项在初始计量时根据租赁期开始日的指数或比率确定；购买选择权的行权价格，前提是公 司合理确定将行使该选择权；行使终止租赁选择权需支付的款项，前提是租赁期反映出公司将行使终止租赁选择权；根据公 司提供的担保余值预计应支付的款项。本公司采用租赁内含利率作为折现率。无法确定租赁内含利率的，采用本公司的增量 借款利率作为折现率。</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本公司按照固定的周期性利率计算租赁负债在租赁期内各期间的利息费用，并计入当期损益或相关资产成本。未纳入租赁负 债计量的可变租赁付款额在实际发生时计入当期损益或相关资产成本。</w:t>
      </w:r>
    </w:p>
    <w:p>
      <w:pPr>
        <w:pStyle w:val="Style22"/>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在租赁期开始日后，发生下列情形的，本公司按照变动后租赁付款额的现值重新计量租赁负债：本公司对购买选择权、续租 选择权或终止租赁选择权的评估结果发生变化，或续租选择权或终止租赁选择权的实际行使情况与原评估结果不一致；根据 担保余值预计的应付金额发生变动；用于确定租赁付款额的指数或比率发生变动。在对租赁负债进行重新计量时，本公司相 应调整使用权资产的账面价值。使用权资产账面价值已调减至零，但租赁负债仍需进一步调减的，本公司将剩余金额计入当 期损益。</w:t>
      </w:r>
    </w:p>
    <w:p>
      <w:pPr>
        <w:pStyle w:val="Style37"/>
        <w:keepNext/>
        <w:keepLines/>
        <w:widowControl w:val="0"/>
        <w:shd w:val="clear" w:color="auto" w:fill="auto"/>
        <w:tabs>
          <w:tab w:pos="385" w:val="left"/>
        </w:tabs>
        <w:bidi w:val="0"/>
        <w:spacing w:before="0" w:after="280" w:line="312" w:lineRule="exact"/>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sz w:val="18"/>
          <w:szCs w:val="18"/>
        </w:rPr>
        <w:t>3</w:t>
      </w:r>
      <w:bookmarkEnd w:id="108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预计负债</w:t>
      </w:r>
      <w:bookmarkEnd w:id="1085"/>
      <w:bookmarkEnd w:id="1086"/>
      <w:bookmarkEnd w:id="1088"/>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当与或有事项相关的义务同时符合以下条件，将其确认为预计负债：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该义务是承担的现时义务；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该义务的履行 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最佳估计数分别分以下情况处理：所需支出存在一个连续范围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或区间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，且该范围内各种结果发生的可能性相同的，则 最佳估计数按照该范围的中间值：即上下限金额的平均数确定。所需支出不存在一个连续范围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或区间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，或虽然存在一个连 续范围但该范围内各种结果发生的可能性不相同的，如或有事项涉及单个项目的，则最佳估计数按照最可能发生金额确定； 如或有事项涉及多个项目的，则最佳估计数按各种可能结果及相关概率计算确定。</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本公司清偿预计负债所需支出全部或部分预期由第三方补偿的，补偿金额在基本确定能够收到时，作为资产单独确认， 且确认的补偿金额不超过预计负债的账面价值。</w:t>
      </w:r>
    </w:p>
    <w:p>
      <w:pPr>
        <w:pStyle w:val="Style22"/>
        <w:keepNext w:val="0"/>
        <w:keepLines w:val="0"/>
        <w:widowControl w:val="0"/>
        <w:shd w:val="clear" w:color="auto" w:fill="auto"/>
        <w:bidi w:val="0"/>
        <w:spacing w:before="0" w:after="280" w:line="311" w:lineRule="exact"/>
        <w:ind w:left="0" w:right="0" w:firstLine="440"/>
        <w:jc w:val="both"/>
      </w:pPr>
      <w:r>
        <w:rPr>
          <w:color w:val="000000"/>
          <w:spacing w:val="0"/>
          <w:w w:val="100"/>
          <w:position w:val="0"/>
        </w:rPr>
        <w:t>每个资产负债表日对预计负债的账面价值进行复核。有确凿证据表明该账面价值不能反映当前最佳估计数的，按照当 前最佳估计数对该账面价值进行调整。</w:t>
      </w:r>
    </w:p>
    <w:p>
      <w:pPr>
        <w:pStyle w:val="Style37"/>
        <w:keepNext/>
        <w:keepLines/>
        <w:widowControl w:val="0"/>
        <w:shd w:val="clear" w:color="auto" w:fill="auto"/>
        <w:bidi w:val="0"/>
        <w:spacing w:before="0" w:after="300" w:line="311" w:lineRule="exact"/>
        <w:ind w:left="0" w:right="0" w:firstLine="0"/>
        <w:jc w:val="both"/>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sz w:val="18"/>
          <w:szCs w:val="18"/>
        </w:rPr>
        <w:t>3</w:t>
      </w:r>
      <w:bookmarkEnd w:id="1091"/>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、股份支付</w:t>
      </w:r>
      <w:bookmarkEnd w:id="1089"/>
      <w:bookmarkEnd w:id="1090"/>
      <w:bookmarkEnd w:id="1092"/>
    </w:p>
    <w:p>
      <w:pPr>
        <w:pStyle w:val="Style22"/>
        <w:keepNext w:val="0"/>
        <w:keepLines w:val="0"/>
        <w:widowControl w:val="0"/>
        <w:numPr>
          <w:ilvl w:val="0"/>
          <w:numId w:val="59"/>
        </w:numPr>
        <w:shd w:val="clear" w:color="auto" w:fill="auto"/>
        <w:tabs>
          <w:tab w:pos="722" w:val="left"/>
        </w:tabs>
        <w:bidi w:val="0"/>
        <w:spacing w:before="0" w:after="0" w:line="311" w:lineRule="exact"/>
        <w:ind w:left="0" w:right="0" w:firstLine="440"/>
        <w:jc w:val="both"/>
      </w:pPr>
      <w:bookmarkStart w:id="1093" w:name="bookmark1093"/>
      <w:bookmarkEnd w:id="1093"/>
      <w:r>
        <w:rPr>
          <w:color w:val="000000"/>
          <w:spacing w:val="0"/>
          <w:w w:val="100"/>
          <w:position w:val="0"/>
        </w:rPr>
        <w:t>股份支付的种类</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本公司的股份支付是为了获取职工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提供服务而授予权益工具或者承担以权益工具为基础确定的负债的交易。 包括以权益结算的股份支付和以现金结算的股份支付。</w:t>
      </w:r>
    </w:p>
    <w:p>
      <w:pPr>
        <w:pStyle w:val="Style22"/>
        <w:keepNext w:val="0"/>
        <w:keepLines w:val="0"/>
        <w:widowControl w:val="0"/>
        <w:numPr>
          <w:ilvl w:val="0"/>
          <w:numId w:val="59"/>
        </w:numPr>
        <w:shd w:val="clear" w:color="auto" w:fill="auto"/>
        <w:tabs>
          <w:tab w:pos="741" w:val="left"/>
        </w:tabs>
        <w:bidi w:val="0"/>
        <w:spacing w:before="0" w:after="0" w:line="311" w:lineRule="exact"/>
        <w:ind w:left="0" w:right="0" w:firstLine="440"/>
        <w:jc w:val="both"/>
      </w:pPr>
      <w:bookmarkStart w:id="1094" w:name="bookmark1094"/>
      <w:bookmarkEnd w:id="1094"/>
      <w:r>
        <w:rPr>
          <w:color w:val="000000"/>
          <w:spacing w:val="0"/>
          <w:w w:val="100"/>
          <w:position w:val="0"/>
        </w:rPr>
        <w:t>权益工具公允价值的确定方法</w:t>
      </w:r>
    </w:p>
    <w:p>
      <w:pPr>
        <w:pStyle w:val="Style22"/>
        <w:keepNext w:val="0"/>
        <w:keepLines w:val="0"/>
        <w:widowControl w:val="0"/>
        <w:numPr>
          <w:ilvl w:val="0"/>
          <w:numId w:val="61"/>
        </w:numPr>
        <w:shd w:val="clear" w:color="auto" w:fill="auto"/>
        <w:bidi w:val="0"/>
        <w:spacing w:before="0" w:after="0" w:line="311" w:lineRule="exact"/>
        <w:ind w:left="0" w:right="0" w:firstLine="440"/>
        <w:jc w:val="both"/>
      </w:pPr>
      <w:bookmarkStart w:id="1095" w:name="bookmark1095"/>
      <w:bookmarkEnd w:id="1095"/>
      <w:r>
        <w:rPr>
          <w:color w:val="000000"/>
          <w:spacing w:val="0"/>
          <w:w w:val="100"/>
          <w:position w:val="0"/>
        </w:rPr>
        <w:t>存在活跃市场的，按照活跃市场中的报价确定；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不存在活跃市场的，采用估值技术确定，包括参考熟悉情况并自 愿交易的各方最近进行的市场交易中使用的价格、参照实质上相同的其他金融工具的当前公允价值、现金流量折现法和期权 定价模型等。</w:t>
      </w:r>
    </w:p>
    <w:p>
      <w:pPr>
        <w:pStyle w:val="Style22"/>
        <w:keepNext w:val="0"/>
        <w:keepLines w:val="0"/>
        <w:widowControl w:val="0"/>
        <w:numPr>
          <w:ilvl w:val="0"/>
          <w:numId w:val="59"/>
        </w:numPr>
        <w:shd w:val="clear" w:color="auto" w:fill="auto"/>
        <w:tabs>
          <w:tab w:pos="741" w:val="left"/>
        </w:tabs>
        <w:bidi w:val="0"/>
        <w:spacing w:before="0" w:after="0" w:line="311" w:lineRule="exact"/>
        <w:ind w:left="0" w:right="0" w:firstLine="440"/>
        <w:jc w:val="both"/>
      </w:pPr>
      <w:bookmarkStart w:id="1096" w:name="bookmark1096"/>
      <w:bookmarkEnd w:id="1096"/>
      <w:r>
        <w:rPr>
          <w:color w:val="000000"/>
          <w:spacing w:val="0"/>
          <w:w w:val="100"/>
          <w:position w:val="0"/>
        </w:rPr>
        <w:t>确认可行权权益工具最佳估计的依据</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等待期内每个资产负债表日，本公司根据最新取得的可行权职工人数变动等后续信息做出最佳估计，修正预计可行权 的权益工具数量。在可行权日，最终预计可行权权益工具的数量应当与实际可行权数量一致。</w:t>
      </w:r>
    </w:p>
    <w:p>
      <w:pPr>
        <w:pStyle w:val="Style22"/>
        <w:keepNext w:val="0"/>
        <w:keepLines w:val="0"/>
        <w:widowControl w:val="0"/>
        <w:numPr>
          <w:ilvl w:val="0"/>
          <w:numId w:val="59"/>
        </w:numPr>
        <w:shd w:val="clear" w:color="auto" w:fill="auto"/>
        <w:tabs>
          <w:tab w:pos="741" w:val="left"/>
        </w:tabs>
        <w:bidi w:val="0"/>
        <w:spacing w:before="0" w:after="0" w:line="311" w:lineRule="exact"/>
        <w:ind w:left="0" w:right="0" w:firstLine="440"/>
        <w:jc w:val="both"/>
      </w:pPr>
      <w:bookmarkStart w:id="1097" w:name="bookmark1097"/>
      <w:bookmarkEnd w:id="1097"/>
      <w:r>
        <w:rPr>
          <w:color w:val="000000"/>
          <w:spacing w:val="0"/>
          <w:w w:val="100"/>
          <w:position w:val="0"/>
        </w:rPr>
        <w:t>股份支付的会计处理</w:t>
      </w:r>
    </w:p>
    <w:p>
      <w:pPr>
        <w:pStyle w:val="Style22"/>
        <w:keepNext w:val="0"/>
        <w:keepLines w:val="0"/>
        <w:widowControl w:val="0"/>
        <w:numPr>
          <w:ilvl w:val="0"/>
          <w:numId w:val="63"/>
        </w:numPr>
        <w:shd w:val="clear" w:color="auto" w:fill="auto"/>
        <w:tabs>
          <w:tab w:pos="804" w:val="left"/>
        </w:tabs>
        <w:bidi w:val="0"/>
        <w:spacing w:before="0" w:after="0" w:line="311" w:lineRule="exact"/>
        <w:ind w:left="0" w:right="0" w:firstLine="440"/>
        <w:jc w:val="both"/>
      </w:pPr>
      <w:bookmarkStart w:id="1098" w:name="bookmark1098"/>
      <w:bookmarkEnd w:id="1098"/>
      <w:r>
        <w:rPr>
          <w:color w:val="000000"/>
          <w:spacing w:val="0"/>
          <w:w w:val="100"/>
          <w:position w:val="0"/>
        </w:rPr>
        <w:t>以权益结算的股份支付</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以权益结算的股份支付换取职工提供服务的，授予后立即可行权的，在授予日按照权益工具的公允价值计入相关成本 或费用，相应调整资本公积；完成等待期内的服务或达到规定业绩条件才可行权的，在等待期内的每个资产负债表日，以对 可行权权益工具数量的最佳估计为基础，按权益工具授予日的公允价值，将当期取得的服务计入相关成本或费用，相应调整 资本公积，在可行权日之后不再对已确认的相关成本或费用和所有者权益总额进行调整。</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以权益结算的股份支付换取其他方服务的，若其他方服务的公允价值能够可靠计量的，按照其他方服务在取得日的公 允价值计量；其他方服务的公允价值不能可靠计量但权益工具公允价值能够可靠计量的，按照权益工具在服务取得日的公允 价值计量，计入相关成本或费用，相应增加所有者权益。</w:t>
      </w:r>
    </w:p>
    <w:p>
      <w:pPr>
        <w:pStyle w:val="Style22"/>
        <w:keepNext w:val="0"/>
        <w:keepLines w:val="0"/>
        <w:widowControl w:val="0"/>
        <w:numPr>
          <w:ilvl w:val="0"/>
          <w:numId w:val="63"/>
        </w:numPr>
        <w:shd w:val="clear" w:color="auto" w:fill="auto"/>
        <w:tabs>
          <w:tab w:pos="804" w:val="left"/>
        </w:tabs>
        <w:bidi w:val="0"/>
        <w:spacing w:before="0" w:after="0" w:line="311" w:lineRule="exact"/>
        <w:ind w:left="0" w:right="0" w:firstLine="440"/>
        <w:jc w:val="both"/>
      </w:pPr>
      <w:bookmarkStart w:id="1099" w:name="bookmark1099"/>
      <w:bookmarkEnd w:id="1099"/>
      <w:r>
        <w:rPr>
          <w:color w:val="000000"/>
          <w:spacing w:val="0"/>
          <w:w w:val="100"/>
          <w:position w:val="0"/>
        </w:rPr>
        <w:t>以现金结算的股份支付</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以现金结算的股份支付换取职工服务的，授予后立即可行权的，在授予日按公司承担负债的公允价值计入相关成本或 费用，相应增加负债；完成等待期内的服务或达到规定业绩条件才可行权的换取职工服务的以现金结算的股份支付，在等待 期内的每个资产负债表日，以对可行权情况的最佳估计为基础，按公司承担负债的公允价值，将当期取得的服务计入相关成 本或费用和相应的负债。在相关负债结算前的每个资产负债表日以及结算日，对负债的公允价值重新计量，其变动计入当期 损益。</w:t>
      </w:r>
    </w:p>
    <w:p>
      <w:pPr>
        <w:pStyle w:val="Style22"/>
        <w:keepNext w:val="0"/>
        <w:keepLines w:val="0"/>
        <w:widowControl w:val="0"/>
        <w:numPr>
          <w:ilvl w:val="0"/>
          <w:numId w:val="63"/>
        </w:numPr>
        <w:shd w:val="clear" w:color="auto" w:fill="auto"/>
        <w:tabs>
          <w:tab w:pos="804" w:val="left"/>
        </w:tabs>
        <w:bidi w:val="0"/>
        <w:spacing w:before="0" w:after="0" w:line="311" w:lineRule="exact"/>
        <w:ind w:left="0" w:right="0" w:firstLine="440"/>
        <w:jc w:val="both"/>
      </w:pPr>
      <w:bookmarkStart w:id="1100" w:name="bookmark1100"/>
      <w:bookmarkEnd w:id="1100"/>
      <w:r>
        <w:rPr>
          <w:color w:val="000000"/>
          <w:spacing w:val="0"/>
          <w:w w:val="100"/>
          <w:position w:val="0"/>
        </w:rPr>
        <w:t>修改、终止股份支付计划</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如果修改增加了所授予的权益工具的公允价值，公司按照权益工具公允价值的增加相应地确认取得服务的增加；如果 修改增加了所授予的权益工具的数量，公司将增加的权益工具的公允价值相应地确认为取得服务的增加；如果公司按照有利 于职工的方式修改可行权条件，公司在处理可行权条件时，考虑修改后的可行权条件。</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如果修改减少了授予的权益工具的公允价值，公司继续以权益工具在授予日的公允价值为基础，确认取得服务的金额， 而不考虑权益工具公允价值的减少；如果修改减少了授予的权益工具的数量，公司将减少部分作为已授予的权益工具的取消 来进行处理；如果以不利于职工的方式修改了可行权条件，在处理可行权条件时，不考虑修改后的可行权条件。</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如果取消了以权益结算的股份支付，则于取消日作为加速行权处理，立即确认尚未确认的金额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将剩余等待期内应确认 的金额立即计入当期损益，同时确认资本公积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。职工或者其他方能够选择满足非可行权条件但在等待期内未满足的，作为 取消以权益结算的股份支付处理。但是，如果授予新的权益工具，并在新权益工具授予日认定所授予权益工具用于替代被取 消的权益工具的，则以与处理原权益工具条款和条件修改相同的方式，对被授予的替代权益工具进行处理。</w:t>
      </w:r>
    </w:p>
    <w:p>
      <w:pPr>
        <w:pStyle w:val="Style22"/>
        <w:keepNext w:val="0"/>
        <w:keepLines w:val="0"/>
        <w:widowControl w:val="0"/>
        <w:numPr>
          <w:ilvl w:val="0"/>
          <w:numId w:val="59"/>
        </w:numPr>
        <w:shd w:val="clear" w:color="auto" w:fill="auto"/>
        <w:tabs>
          <w:tab w:pos="741" w:val="left"/>
        </w:tabs>
        <w:bidi w:val="0"/>
        <w:spacing w:before="0" w:after="0" w:line="311" w:lineRule="exact"/>
        <w:ind w:left="0" w:right="0" w:firstLine="440"/>
        <w:jc w:val="both"/>
      </w:pPr>
      <w:bookmarkStart w:id="1101" w:name="bookmark1101"/>
      <w:bookmarkEnd w:id="1101"/>
      <w:r>
        <w:rPr>
          <w:color w:val="000000"/>
          <w:spacing w:val="0"/>
          <w:w w:val="100"/>
          <w:position w:val="0"/>
        </w:rPr>
        <w:t>涉及本公司与本公司股东或实际控制人的股份支付交易的会计处理</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涉及本公司与本公司股东或实际控制人的股份支付交易，结算企业与接受服务企业中其一在本公司内，另一在本公司 外的，在本公司合并财务报表中按照以下规定进行会计处理：</w:t>
      </w:r>
    </w:p>
    <w:p>
      <w:pPr>
        <w:pStyle w:val="Style22"/>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结算企业以其本身权益工具结算的，将该股份支付交易作为权益结算的股份支付处理；除此之外，作为现金结算的 股份支付处理。</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结算企业是接受服务企业的投资者的，按照授予日权益工具的公允价值或应承担负债的公允价值确认为对接受服务企 </w:t>
      </w:r>
      <w:r>
        <w:rPr>
          <w:color w:val="000000"/>
          <w:spacing w:val="0"/>
          <w:w w:val="100"/>
          <w:position w:val="0"/>
        </w:rPr>
        <w:t>业的长期股权投资，同时确认资本公积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或负债。</w:t>
      </w:r>
    </w:p>
    <w:p>
      <w:pPr>
        <w:pStyle w:val="Style22"/>
        <w:keepNext w:val="0"/>
        <w:keepLines w:val="0"/>
        <w:widowControl w:val="0"/>
        <w:shd w:val="clear" w:color="auto" w:fill="auto"/>
        <w:bidi w:val="0"/>
        <w:spacing w:before="0" w:after="300" w:line="317" w:lineRule="exact"/>
        <w:ind w:left="0" w:right="0" w:firstLine="440"/>
        <w:jc w:val="both"/>
      </w:pPr>
      <w:bookmarkStart w:id="1102" w:name="bookmark1102"/>
      <w:r>
        <w:rPr>
          <w:rFonts w:ascii="Times New Roman" w:eastAsia="Times New Roman" w:hAnsi="Times New Roman" w:cs="Times New Roman"/>
          <w:color w:val="000000"/>
          <w:spacing w:val="0"/>
          <w:w w:val="100"/>
          <w:position w:val="0"/>
          <w:sz w:val="18"/>
          <w:szCs w:val="18"/>
        </w:rPr>
        <w:t>（</w:t>
      </w:r>
      <w:bookmarkEnd w:id="11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接受服务企业没有结算义务或授予本企业职工的是其本身权益工具的，将该股份支付交易作为权益结算的股份支付 处理；接受服务企业具有结算义务且授予本企业职工的并非其本身权益工具的，将该股份支付交易作为现金结算的股份支付 处理。本公司内各企业之间发生的股份支付交易，接受服务企业和结算企业不是同一企业的，在接受服务企业和结算企业各 自的个别财务报表中对该股份支付交易的确认和计量，比照上述原则处理。</w:t>
      </w:r>
    </w:p>
    <w:p>
      <w:pPr>
        <w:pStyle w:val="Style37"/>
        <w:keepNext/>
        <w:keepLines/>
        <w:widowControl w:val="0"/>
        <w:shd w:val="clear" w:color="auto" w:fill="auto"/>
        <w:tabs>
          <w:tab w:pos="422" w:val="left"/>
        </w:tabs>
        <w:bidi w:val="0"/>
        <w:spacing w:before="0" w:after="300"/>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sz w:val="18"/>
          <w:szCs w:val="18"/>
        </w:rPr>
        <w:t>3</w:t>
      </w:r>
      <w:bookmarkEnd w:id="110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优先股、永续债等其他金融工具</w:t>
      </w:r>
      <w:bookmarkEnd w:id="1103"/>
      <w:bookmarkEnd w:id="1104"/>
      <w:bookmarkEnd w:id="1106"/>
    </w:p>
    <w:p>
      <w:pPr>
        <w:pStyle w:val="Style2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无</w:t>
      </w:r>
    </w:p>
    <w:p>
      <w:pPr>
        <w:pStyle w:val="Style37"/>
        <w:keepNext/>
        <w:keepLines/>
        <w:widowControl w:val="0"/>
        <w:shd w:val="clear" w:color="auto" w:fill="auto"/>
        <w:tabs>
          <w:tab w:pos="422" w:val="left"/>
        </w:tabs>
        <w:bidi w:val="0"/>
        <w:spacing w:before="0" w:after="180" w:line="36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sz w:val="18"/>
          <w:szCs w:val="18"/>
        </w:rPr>
        <w:t>3</w:t>
      </w:r>
      <w:bookmarkEnd w:id="1109"/>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收入</w:t>
      </w:r>
      <w:bookmarkEnd w:id="1107"/>
      <w:bookmarkEnd w:id="1108"/>
      <w:bookmarkEnd w:id="1110"/>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2017]22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numPr>
          <w:ilvl w:val="0"/>
          <w:numId w:val="65"/>
        </w:numPr>
        <w:shd w:val="clear" w:color="auto" w:fill="auto"/>
        <w:bidi w:val="0"/>
        <w:spacing w:before="0" w:after="0" w:line="360" w:lineRule="auto"/>
        <w:ind w:left="0" w:right="0" w:firstLine="440"/>
        <w:jc w:val="both"/>
      </w:pPr>
      <w:bookmarkStart w:id="1111" w:name="bookmark1111"/>
      <w:bookmarkEnd w:id="1111"/>
      <w:r>
        <w:rPr>
          <w:color w:val="000000"/>
          <w:spacing w:val="0"/>
          <w:w w:val="100"/>
          <w:position w:val="0"/>
        </w:rPr>
        <w:t>收入的总确认原则</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新收入准则下，公司以控制权转移作为收入确认时点的判断标准。公司在履行了合同中的履约义务，即在客户取得相 关商品控制权时确认收入。</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满足下列条件之一的，公司属于在某一时段内履行履约义务；否则，属于在某一时点履行履约义务：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 约的同时即取得并消耗公司履约所带来的经济利益；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公司履约过程中所产 出的商品具有不可替代用途，且公司在整个合同期间内有权就累计至今已完成的履约部分收取款项。</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对于在某一时段内履行的履约义务，公司在该段时间内按照履约进度确认收入，但是，履约进度不能合理确定的除外。 当履约进度不能合理确定时，公司已经发生的成本预计能够得到补偿的，按照已经发生的成本金额确认收入，直到履约进度 能够合理确定为止。</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FFFFFF"/>
        </w:rPr>
        <w:t>对于在某一时点履行的履约义务，公司在客户取得相关商品控制权时点确认收入。在判断客户是否已取得商品控制权 时，公司考虑下列迹象：</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公司就该商品享有现时收款权利，即客户就该商品负有现时付款义务；</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公司已将该商品的法 定所有权转移给客户，即客户已拥有该商品的法定所有权；</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公司已将该商品实物转移给客户，即客户已实物占有该商品；</w:t>
      </w:r>
    </w:p>
    <w:p>
      <w:pPr>
        <w:pStyle w:val="Style22"/>
        <w:keepNext w:val="0"/>
        <w:keepLines w:val="0"/>
        <w:widowControl w:val="0"/>
        <w:shd w:val="clear" w:color="auto" w:fill="auto"/>
        <w:bidi w:val="0"/>
        <w:spacing w:before="0" w:after="0" w:line="312" w:lineRule="exact"/>
        <w:ind w:left="0" w:right="0" w:firstLine="0"/>
        <w:jc w:val="both"/>
      </w:pPr>
      <w:bookmarkStart w:id="1112" w:name="bookmark1112"/>
      <w:r>
        <w:rPr>
          <w:rFonts w:ascii="Times New Roman" w:eastAsia="Times New Roman" w:hAnsi="Times New Roman" w:cs="Times New Roman"/>
          <w:color w:val="000000"/>
          <w:spacing w:val="0"/>
          <w:w w:val="100"/>
          <w:position w:val="0"/>
          <w:sz w:val="18"/>
          <w:szCs w:val="18"/>
        </w:rPr>
        <w:t>（</w:t>
      </w:r>
      <w:bookmarkEnd w:id="1112"/>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公司已将该商品所有权上的主要风险和报酬转移给客户，即客户已取得该商品所有权上的主要风险和报酬；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 受该商品；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其他表明客户已取得商品控制权的迹象。</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合同中包含两项或多项履约义务的，公司在合同开始日，按照各单项履约义务所承诺商品的单独售价的相对比例，将 交易价格分摊至各单项履约义务，按照分摊至各单项履约义务的交易价格计量收入。交易价格，是公司因向客户转让商品而 预期有权收取的对价金额。公司代第三方收取的款项以及公司预期将退还给客户的款项，作为负债进行会计处理，不计入交 易价格。</w:t>
      </w:r>
    </w:p>
    <w:p>
      <w:pPr>
        <w:pStyle w:val="Style29"/>
        <w:keepNext w:val="0"/>
        <w:keepLines w:val="0"/>
        <w:widowControl w:val="0"/>
        <w:shd w:val="clear" w:color="auto" w:fill="auto"/>
        <w:bidi w:val="0"/>
        <w:spacing w:before="0" w:after="120" w:line="240" w:lineRule="auto"/>
        <w:ind w:left="418" w:right="0" w:firstLine="0"/>
        <w:jc w:val="left"/>
      </w:pPr>
      <w:r>
        <w:rPr>
          <w:b/>
          <w:bCs/>
          <w:color w:val="000000"/>
          <w:spacing w:val="0"/>
          <w:w w:val="100"/>
          <w:position w:val="0"/>
        </w:rPr>
        <w:t>本公司收入的具体确认原则</w:t>
      </w:r>
    </w:p>
    <w:p>
      <w:pPr>
        <w:pStyle w:val="Style29"/>
        <w:keepNext w:val="0"/>
        <w:keepLines w:val="0"/>
        <w:widowControl w:val="0"/>
        <w:shd w:val="clear" w:color="auto" w:fill="auto"/>
        <w:bidi w:val="0"/>
        <w:spacing w:before="0" w:after="0" w:line="240" w:lineRule="auto"/>
        <w:ind w:left="418" w:right="0" w:firstLine="0"/>
        <w:jc w:val="left"/>
      </w:pPr>
      <w:r>
        <w:rPr>
          <w:color w:val="000000"/>
          <w:spacing w:val="0"/>
          <w:w w:val="100"/>
          <w:position w:val="0"/>
        </w:rPr>
        <w:t>公司收入确认具体方法如下:</w:t>
      </w:r>
    </w:p>
    <w:tbl>
      <w:tblPr>
        <w:tblOverlap w:val="never"/>
        <w:jc w:val="center"/>
        <w:tblLayout w:type="fixed"/>
      </w:tblPr>
      <w:tblGrid>
        <w:gridCol w:w="3634"/>
        <w:gridCol w:w="2813"/>
        <w:gridCol w:w="3230"/>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新准则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旧准则</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以工作量交付的服务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在某一时段内履行履约义务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工作量法</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以成果交付的服务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在某一时点履行履约义务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验收法</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定期运行维护服务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在某一时段内履行履约义务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服务期间平均确认法</w:t>
            </w:r>
          </w:p>
        </w:tc>
      </w:tr>
    </w:tbl>
    <w:p>
      <w:pPr>
        <w:pStyle w:val="Style29"/>
        <w:keepNext w:val="0"/>
        <w:keepLines w:val="0"/>
        <w:widowControl w:val="0"/>
        <w:shd w:val="clear" w:color="auto" w:fill="auto"/>
        <w:bidi w:val="0"/>
        <w:spacing w:before="0" w:after="100" w:line="240" w:lineRule="auto"/>
        <w:ind w:left="42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按时点确认的收入</w:t>
      </w:r>
    </w:p>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rPr>
        <w:t>适用于公司以成果交付的服务，相关项目约定对事先明确的项目成果进行验收。公司在向客户交付成果后，经客户验</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收确认收入。</w:t>
      </w:r>
    </w:p>
    <w:p>
      <w:pPr>
        <w:pStyle w:val="Style22"/>
        <w:keepNext w:val="0"/>
        <w:keepLines w:val="0"/>
        <w:widowControl w:val="0"/>
        <w:numPr>
          <w:ilvl w:val="0"/>
          <w:numId w:val="65"/>
        </w:numPr>
        <w:shd w:val="clear" w:color="auto" w:fill="auto"/>
        <w:bidi w:val="0"/>
        <w:spacing w:before="0" w:after="100" w:line="240" w:lineRule="auto"/>
        <w:ind w:left="0" w:right="0" w:firstLine="440"/>
        <w:jc w:val="left"/>
      </w:pPr>
      <w:bookmarkStart w:id="1113" w:name="bookmark1113"/>
      <w:bookmarkEnd w:id="1113"/>
      <w:r>
        <w:rPr>
          <w:color w:val="000000"/>
          <w:spacing w:val="0"/>
          <w:w w:val="100"/>
          <w:position w:val="0"/>
        </w:rPr>
        <w:t>按履约进度确认的收入</w:t>
      </w:r>
    </w:p>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适用于以工作量交付的服务，相关项目约定基于人月、人天、工作量收费或匡算合同金额。由于公司履约的同时， </w:t>
      </w:r>
      <w:r>
        <w:rPr>
          <w:color w:val="000000"/>
          <w:spacing w:val="0"/>
          <w:w w:val="100"/>
          <w:position w:val="0"/>
        </w:rPr>
        <w:t>客户即取得并消耗公司履约所带来的经济利益</w:t>
      </w:r>
      <w:r>
        <w:rPr>
          <w:color w:val="000000"/>
          <w:spacing w:val="0"/>
          <w:w w:val="100"/>
          <w:position w:val="0"/>
          <w:sz w:val="18"/>
          <w:szCs w:val="18"/>
        </w:rPr>
        <w:t>，</w:t>
      </w:r>
      <w:r>
        <w:rPr>
          <w:color w:val="000000"/>
          <w:spacing w:val="0"/>
          <w:w w:val="100"/>
          <w:position w:val="0"/>
        </w:rPr>
        <w:t>公司将其作为在某一时段内履行的履约义务，公司在相关服务提供后，根据 工作量确认收入。</w:t>
      </w:r>
    </w:p>
    <w:p>
      <w:pPr>
        <w:pStyle w:val="Style22"/>
        <w:keepNext w:val="0"/>
        <w:keepLines w:val="0"/>
        <w:widowControl w:val="0"/>
        <w:numPr>
          <w:ilvl w:val="0"/>
          <w:numId w:val="61"/>
        </w:numPr>
        <w:shd w:val="clear" w:color="auto" w:fill="auto"/>
        <w:bidi w:val="0"/>
        <w:spacing w:before="0" w:after="400" w:line="317" w:lineRule="exact"/>
        <w:ind w:left="0" w:right="0" w:firstLine="440"/>
        <w:jc w:val="both"/>
      </w:pPr>
      <w:bookmarkStart w:id="1114" w:name="bookmark1114"/>
      <w:bookmarkEnd w:id="1114"/>
      <w:r>
        <w:rPr>
          <w:color w:val="000000"/>
          <w:spacing w:val="0"/>
          <w:w w:val="100"/>
          <w:position w:val="0"/>
        </w:rPr>
        <w:t>适用于应用系统定期维护或故障维护等运行维护，鉴于项目成本发生的情况非常平均或不可预计，公司按照合同总 金额在合同期间平均确认收入。</w:t>
      </w:r>
    </w:p>
    <w:p>
      <w:pPr>
        <w:pStyle w:val="Style37"/>
        <w:keepNext/>
        <w:keepLines/>
        <w:widowControl w:val="0"/>
        <w:shd w:val="clear" w:color="auto" w:fill="auto"/>
        <w:bidi w:val="0"/>
        <w:spacing w:before="0" w:after="300" w:line="36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sz w:val="18"/>
          <w:szCs w:val="18"/>
        </w:rPr>
        <w:t>4</w:t>
      </w:r>
      <w:bookmarkEnd w:id="1117"/>
      <w:r>
        <w:rPr>
          <w:rFonts w:ascii="Times New Roman" w:eastAsia="Times New Roman" w:hAnsi="Times New Roman" w:cs="Times New Roman"/>
          <w:color w:val="000000"/>
          <w:spacing w:val="0"/>
          <w:w w:val="100"/>
          <w:position w:val="0"/>
          <w:sz w:val="18"/>
          <w:szCs w:val="18"/>
        </w:rPr>
        <w:t>0</w:t>
      </w:r>
      <w:r>
        <w:rPr>
          <w:color w:val="000000"/>
          <w:spacing w:val="0"/>
          <w:w w:val="100"/>
          <w:position w:val="0"/>
        </w:rPr>
        <w:t>、政府补助</w:t>
      </w:r>
      <w:bookmarkEnd w:id="1115"/>
      <w:bookmarkEnd w:id="1116"/>
      <w:bookmarkEnd w:id="1118"/>
    </w:p>
    <w:p>
      <w:pPr>
        <w:pStyle w:val="Style22"/>
        <w:keepNext w:val="0"/>
        <w:keepLines w:val="0"/>
        <w:widowControl w:val="0"/>
        <w:numPr>
          <w:ilvl w:val="0"/>
          <w:numId w:val="67"/>
        </w:numPr>
        <w:shd w:val="clear" w:color="auto" w:fill="auto"/>
        <w:tabs>
          <w:tab w:pos="740" w:val="left"/>
        </w:tabs>
        <w:bidi w:val="0"/>
        <w:spacing w:before="0" w:after="0" w:line="360" w:lineRule="auto"/>
        <w:ind w:left="0" w:right="0" w:firstLine="440"/>
        <w:jc w:val="both"/>
      </w:pPr>
      <w:bookmarkStart w:id="1119" w:name="bookmark1119"/>
      <w:bookmarkEnd w:id="1119"/>
      <w:r>
        <w:rPr>
          <w:color w:val="000000"/>
          <w:spacing w:val="0"/>
          <w:w w:val="100"/>
          <w:position w:val="0"/>
        </w:rPr>
        <w:t>政府补助的分类</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政府补助，是指本公司从政府无偿取得货币性资产或非货币性资产。分为与资产相关的政府补助和与收益相关的政府 补助。</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与资产相关的政府补助，是指本公司取得的、用于购建或以其他方式形成长期资产的政府补助，包括购买固定资产或 无形资产的财政拨款、固定资产专门借款的财政贴息等；与收益相关的政府补助，是指除与资产相关的政府补助之外的政府 补助。对于同时包含与资产相关部分和与收益相关部分的政府补助，区分不同部分分别进行会计处理；难以区分的，整体归 类为与收益相关的政府补助。</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本公司在进行政府补助分类时采取的具体标准为：</w:t>
      </w:r>
    </w:p>
    <w:p>
      <w:pPr>
        <w:pStyle w:val="Style22"/>
        <w:keepNext w:val="0"/>
        <w:keepLines w:val="0"/>
        <w:widowControl w:val="0"/>
        <w:numPr>
          <w:ilvl w:val="0"/>
          <w:numId w:val="69"/>
        </w:numPr>
        <w:shd w:val="clear" w:color="auto" w:fill="auto"/>
        <w:tabs>
          <w:tab w:pos="799" w:val="left"/>
        </w:tabs>
        <w:bidi w:val="0"/>
        <w:spacing w:before="0" w:after="0" w:line="313" w:lineRule="exact"/>
        <w:ind w:left="0" w:right="0" w:firstLine="440"/>
        <w:jc w:val="both"/>
      </w:pPr>
      <w:bookmarkStart w:id="1120" w:name="bookmark1120"/>
      <w:bookmarkEnd w:id="1120"/>
      <w:r>
        <w:rPr>
          <w:color w:val="000000"/>
          <w:spacing w:val="0"/>
          <w:w w:val="100"/>
          <w:position w:val="0"/>
        </w:rPr>
        <w:t>政府补助文件规定的补助对象用于购建或以其他方式形成长期资产，或者补助对象的支出主要用于购建或以其他方 式形成长期资产的，划分为与资产相关的政府补助。</w:t>
      </w:r>
    </w:p>
    <w:p>
      <w:pPr>
        <w:pStyle w:val="Style22"/>
        <w:keepNext w:val="0"/>
        <w:keepLines w:val="0"/>
        <w:widowControl w:val="0"/>
        <w:numPr>
          <w:ilvl w:val="0"/>
          <w:numId w:val="69"/>
        </w:numPr>
        <w:shd w:val="clear" w:color="auto" w:fill="auto"/>
        <w:tabs>
          <w:tab w:pos="799" w:val="left"/>
        </w:tabs>
        <w:bidi w:val="0"/>
        <w:spacing w:before="0" w:after="0" w:line="313" w:lineRule="exact"/>
        <w:ind w:left="0" w:right="0" w:firstLine="440"/>
        <w:jc w:val="both"/>
      </w:pPr>
      <w:bookmarkStart w:id="1121" w:name="bookmark1121"/>
      <w:bookmarkEnd w:id="1121"/>
      <w:r>
        <w:rPr>
          <w:color w:val="000000"/>
          <w:spacing w:val="0"/>
          <w:w w:val="100"/>
          <w:position w:val="0"/>
        </w:rPr>
        <w:t>根据政府补助文件获得的政府补助全部或者主要用于补偿以后期间或已发生的费用或损失的政府补助，划分为与收 益相关的政府补助。</w:t>
      </w:r>
    </w:p>
    <w:p>
      <w:pPr>
        <w:pStyle w:val="Style22"/>
        <w:keepNext w:val="0"/>
        <w:keepLines w:val="0"/>
        <w:widowControl w:val="0"/>
        <w:numPr>
          <w:ilvl w:val="0"/>
          <w:numId w:val="69"/>
        </w:numPr>
        <w:shd w:val="clear" w:color="auto" w:fill="auto"/>
        <w:tabs>
          <w:tab w:pos="804" w:val="left"/>
        </w:tabs>
        <w:bidi w:val="0"/>
        <w:spacing w:before="0" w:after="100" w:line="313" w:lineRule="exact"/>
        <w:ind w:left="0" w:right="0" w:firstLine="440"/>
        <w:jc w:val="both"/>
      </w:pPr>
      <w:bookmarkStart w:id="1122" w:name="bookmark1122"/>
      <w:bookmarkEnd w:id="1122"/>
      <w:r>
        <w:rPr>
          <w:color w:val="000000"/>
          <w:spacing w:val="0"/>
          <w:w w:val="100"/>
          <w:position w:val="0"/>
        </w:rPr>
        <w:t>若政府文件未明确规定补助对象，则采用以下方式将该政府补助款划分为与资产相关的政府补助或与收益相关的政 府补助：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政府文件明确了补助所针对的特定项目的，根据该特定项目的预算中将形成资产的支出金额和计入费用的支出金 额的相对比例进行划分，对该划分比例需在每个资产负债表日进行复核，必要时进行变更；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政府文件中对用途仅作一般性 表述，没有指明特定项目的，作为与收益相关的政府补助。</w:t>
      </w:r>
    </w:p>
    <w:p>
      <w:pPr>
        <w:pStyle w:val="Style22"/>
        <w:keepNext w:val="0"/>
        <w:keepLines w:val="0"/>
        <w:widowControl w:val="0"/>
        <w:numPr>
          <w:ilvl w:val="0"/>
          <w:numId w:val="67"/>
        </w:numPr>
        <w:shd w:val="clear" w:color="auto" w:fill="auto"/>
        <w:tabs>
          <w:tab w:pos="759" w:val="left"/>
        </w:tabs>
        <w:bidi w:val="0"/>
        <w:spacing w:before="0" w:after="0" w:line="360" w:lineRule="auto"/>
        <w:ind w:left="0" w:right="0" w:firstLine="440"/>
        <w:jc w:val="both"/>
      </w:pPr>
      <w:bookmarkStart w:id="1123" w:name="bookmark1123"/>
      <w:bookmarkEnd w:id="1123"/>
      <w:r>
        <w:rPr>
          <w:color w:val="000000"/>
          <w:spacing w:val="0"/>
          <w:w w:val="100"/>
          <w:position w:val="0"/>
        </w:rPr>
        <w:t>政府补助的确认时点</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本公司对于政府补助通常在实际收到时，按照实收金额予以确认和计量。但对于期末有确凿证据表明能够符合财政扶 持政策规定的相关条件预计能够收到财政扶持资金，按照应收的金额计量。按照应收金额计量的政府补助应同时符合以下条 件：</w:t>
      </w:r>
    </w:p>
    <w:p>
      <w:pPr>
        <w:pStyle w:val="Style22"/>
        <w:keepNext w:val="0"/>
        <w:keepLines w:val="0"/>
        <w:widowControl w:val="0"/>
        <w:numPr>
          <w:ilvl w:val="0"/>
          <w:numId w:val="71"/>
        </w:numPr>
        <w:shd w:val="clear" w:color="auto" w:fill="auto"/>
        <w:tabs>
          <w:tab w:pos="795" w:val="left"/>
        </w:tabs>
        <w:bidi w:val="0"/>
        <w:spacing w:before="0" w:after="0" w:line="313" w:lineRule="exact"/>
        <w:ind w:left="0" w:right="0" w:firstLine="440"/>
        <w:jc w:val="both"/>
      </w:pPr>
      <w:bookmarkStart w:id="1124" w:name="bookmark1124"/>
      <w:bookmarkEnd w:id="1124"/>
      <w:r>
        <w:rPr>
          <w:color w:val="000000"/>
          <w:spacing w:val="0"/>
          <w:w w:val="100"/>
          <w:position w:val="0"/>
        </w:rPr>
        <w:t>所依据的是当地财政部门正式发布并按照《政府信息公开条例》的规定予以主动公开的财政扶持项目及其财政资金 管理办法，且该管理办法应当是普惠性的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任何符合规定条件的企业均可申请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，而不是专门针对特定企业制定的；</w:t>
      </w:r>
    </w:p>
    <w:p>
      <w:pPr>
        <w:pStyle w:val="Style22"/>
        <w:keepNext w:val="0"/>
        <w:keepLines w:val="0"/>
        <w:widowControl w:val="0"/>
        <w:numPr>
          <w:ilvl w:val="0"/>
          <w:numId w:val="71"/>
        </w:numPr>
        <w:shd w:val="clear" w:color="auto" w:fill="auto"/>
        <w:tabs>
          <w:tab w:pos="799" w:val="left"/>
        </w:tabs>
        <w:bidi w:val="0"/>
        <w:spacing w:before="0" w:after="0" w:line="313" w:lineRule="exact"/>
        <w:ind w:left="0" w:right="0" w:firstLine="440"/>
        <w:jc w:val="both"/>
      </w:pPr>
      <w:bookmarkStart w:id="1125" w:name="bookmark1125"/>
      <w:bookmarkEnd w:id="1125"/>
      <w:r>
        <w:rPr>
          <w:color w:val="000000"/>
          <w:spacing w:val="0"/>
          <w:w w:val="100"/>
          <w:position w:val="0"/>
        </w:rPr>
        <w:t>应收补助款的金额已经过有权政府部门发文确认，或者可根据正式发布的财政资金管理办法的有关规定自行合理测 算，且预计其金额不存在重大不确定性；</w:t>
      </w:r>
    </w:p>
    <w:p>
      <w:pPr>
        <w:pStyle w:val="Style22"/>
        <w:keepNext w:val="0"/>
        <w:keepLines w:val="0"/>
        <w:widowControl w:val="0"/>
        <w:numPr>
          <w:ilvl w:val="0"/>
          <w:numId w:val="71"/>
        </w:numPr>
        <w:shd w:val="clear" w:color="auto" w:fill="auto"/>
        <w:tabs>
          <w:tab w:pos="799" w:val="left"/>
        </w:tabs>
        <w:bidi w:val="0"/>
        <w:spacing w:before="0" w:after="0" w:line="313" w:lineRule="exact"/>
        <w:ind w:left="0" w:right="0" w:firstLine="440"/>
        <w:jc w:val="both"/>
      </w:pPr>
      <w:bookmarkStart w:id="1126" w:name="bookmark1126"/>
      <w:bookmarkEnd w:id="1126"/>
      <w:r>
        <w:rPr>
          <w:color w:val="000000"/>
          <w:spacing w:val="0"/>
          <w:w w:val="100"/>
          <w:position w:val="0"/>
        </w:rPr>
        <w:t>相关的补助款批文中已明确承诺了拨付期限，且该款项的拨付是有相应财政预算作为保障的，因而可以合理保证其 可在规定期限内收到；</w:t>
      </w:r>
    </w:p>
    <w:p>
      <w:pPr>
        <w:pStyle w:val="Style22"/>
        <w:keepNext w:val="0"/>
        <w:keepLines w:val="0"/>
        <w:widowControl w:val="0"/>
        <w:numPr>
          <w:ilvl w:val="0"/>
          <w:numId w:val="71"/>
        </w:numPr>
        <w:shd w:val="clear" w:color="auto" w:fill="auto"/>
        <w:tabs>
          <w:tab w:pos="822" w:val="left"/>
        </w:tabs>
        <w:bidi w:val="0"/>
        <w:spacing w:before="0" w:after="100" w:line="313" w:lineRule="exact"/>
        <w:ind w:left="0" w:right="0" w:firstLine="440"/>
        <w:jc w:val="both"/>
      </w:pPr>
      <w:bookmarkStart w:id="1127" w:name="bookmark1127"/>
      <w:bookmarkEnd w:id="1127"/>
      <w:r>
        <w:rPr>
          <w:color w:val="000000"/>
          <w:spacing w:val="0"/>
          <w:w w:val="100"/>
          <w:position w:val="0"/>
        </w:rPr>
        <w:t>根据本公司和该补助事项的具体情况，应满足的其他相关条件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numPr>
          <w:ilvl w:val="0"/>
          <w:numId w:val="67"/>
        </w:numPr>
        <w:shd w:val="clear" w:color="auto" w:fill="auto"/>
        <w:tabs>
          <w:tab w:pos="759" w:val="left"/>
        </w:tabs>
        <w:bidi w:val="0"/>
        <w:spacing w:before="0" w:after="0" w:line="360" w:lineRule="auto"/>
        <w:ind w:left="0" w:right="0" w:firstLine="440"/>
        <w:jc w:val="both"/>
      </w:pPr>
      <w:bookmarkStart w:id="1128" w:name="bookmark1128"/>
      <w:bookmarkEnd w:id="1128"/>
      <w:r>
        <w:rPr>
          <w:color w:val="000000"/>
          <w:spacing w:val="0"/>
          <w:w w:val="100"/>
          <w:position w:val="0"/>
        </w:rPr>
        <w:t>政府补助的会计处理</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政府补助为货币性资产的，按收到或应收的金额计量；为非货币性资产的，按公允价值计量；非货币性资产公允价值 不能可靠取得的，按名义金额计量。按照名义金额计量的政府补助，直接计入当期损益。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本公司对政府补助采用的是总额法，具体会计处理如下：</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与资产相关的政府补助确认为递延收益，在相关资产使用寿命内按照合理、系统的方法分期计入当期损益；相关资产 在使用寿命结束前被出售、转让、报废或发生毁损的，将相关递延收益余额转入资产处置当期的损益。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与收益相关的政府补助，用于补偿本公司以后期间的相关成本费用或损失的，确认为递延收益，并在确认相关成本费 用或损失的期间，计入当期损益；用于补偿企业已发生的相关成本费用或损失的，直接计入当期损益。</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本公司取得的政策性优惠贷款贴息，区分以下两种情况，分别进行会计处理：</w:t>
      </w:r>
    </w:p>
    <w:p>
      <w:pPr>
        <w:pStyle w:val="Style2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财政将贴息资金拨付给贷款银行，由贷款银行以政策性优惠利率向企业提供贷款的，本公司以实际收到的借款金额 </w:t>
      </w:r>
      <w:r>
        <w:rPr>
          <w:color w:val="000000"/>
          <w:spacing w:val="0"/>
          <w:w w:val="100"/>
          <w:position w:val="0"/>
        </w:rPr>
        <w:t>作为借款的入账价值，按照借款本金和该政策性优惠利率计算相关借款费用。</w:t>
      </w:r>
    </w:p>
    <w:p>
      <w:pPr>
        <w:pStyle w:val="Style2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财政将贴息资金直接拨付给本公司的，本公司将对应的贴息冲减相关借款费用。</w:t>
      </w:r>
    </w:p>
    <w:p>
      <w:pPr>
        <w:pStyle w:val="Style22"/>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已确认的政府补助需要退回的，在需要退回的当期分以下情况进行会计处理：</w:t>
      </w:r>
    </w:p>
    <w:p>
      <w:pPr>
        <w:pStyle w:val="Style22"/>
        <w:keepNext w:val="0"/>
        <w:keepLines w:val="0"/>
        <w:widowControl w:val="0"/>
        <w:numPr>
          <w:ilvl w:val="0"/>
          <w:numId w:val="73"/>
        </w:numPr>
        <w:shd w:val="clear" w:color="auto" w:fill="auto"/>
        <w:tabs>
          <w:tab w:pos="833" w:val="left"/>
        </w:tabs>
        <w:bidi w:val="0"/>
        <w:spacing w:before="0" w:after="0" w:line="350" w:lineRule="auto"/>
        <w:ind w:left="0" w:right="0" w:firstLine="440"/>
        <w:jc w:val="both"/>
      </w:pPr>
      <w:bookmarkStart w:id="1129" w:name="bookmark1129"/>
      <w:bookmarkEnd w:id="1129"/>
      <w:r>
        <w:rPr>
          <w:color w:val="000000"/>
          <w:spacing w:val="0"/>
          <w:w w:val="100"/>
          <w:position w:val="0"/>
        </w:rPr>
        <w:t>初始确认时冲减相关资产账面价值的，调整资产账面价值；</w:t>
      </w:r>
    </w:p>
    <w:p>
      <w:pPr>
        <w:pStyle w:val="Style22"/>
        <w:keepNext w:val="0"/>
        <w:keepLines w:val="0"/>
        <w:widowControl w:val="0"/>
        <w:numPr>
          <w:ilvl w:val="0"/>
          <w:numId w:val="73"/>
        </w:numPr>
        <w:shd w:val="clear" w:color="auto" w:fill="auto"/>
        <w:tabs>
          <w:tab w:pos="833" w:val="left"/>
        </w:tabs>
        <w:bidi w:val="0"/>
        <w:spacing w:before="0" w:after="100" w:line="302" w:lineRule="exact"/>
        <w:ind w:left="0" w:right="0" w:firstLine="440"/>
        <w:jc w:val="both"/>
      </w:pPr>
      <w:bookmarkStart w:id="1130" w:name="bookmark1130"/>
      <w:bookmarkEnd w:id="1130"/>
      <w:r>
        <w:rPr>
          <w:color w:val="000000"/>
          <w:spacing w:val="0"/>
          <w:w w:val="100"/>
          <w:position w:val="0"/>
        </w:rPr>
        <w:t>存在相关递延收益的，冲减相关递延收益账面余额，超出部分计入当期损益；</w:t>
      </w:r>
    </w:p>
    <w:p>
      <w:pPr>
        <w:pStyle w:val="Style22"/>
        <w:keepNext w:val="0"/>
        <w:keepLines w:val="0"/>
        <w:widowControl w:val="0"/>
        <w:numPr>
          <w:ilvl w:val="0"/>
          <w:numId w:val="73"/>
        </w:numPr>
        <w:shd w:val="clear" w:color="auto" w:fill="auto"/>
        <w:tabs>
          <w:tab w:pos="833" w:val="left"/>
        </w:tabs>
        <w:bidi w:val="0"/>
        <w:spacing w:before="0" w:after="0" w:line="350" w:lineRule="auto"/>
        <w:ind w:left="0" w:right="0" w:firstLine="440"/>
        <w:jc w:val="both"/>
      </w:pPr>
      <w:bookmarkStart w:id="1131" w:name="bookmark1131"/>
      <w:bookmarkEnd w:id="1131"/>
      <w:r>
        <w:rPr>
          <w:color w:val="000000"/>
          <w:spacing w:val="0"/>
          <w:w w:val="100"/>
          <w:position w:val="0"/>
        </w:rPr>
        <w:t>属于其他情况的，直接计入当期损益。</w:t>
      </w:r>
    </w:p>
    <w:p>
      <w:pPr>
        <w:pStyle w:val="Style22"/>
        <w:keepNext w:val="0"/>
        <w:keepLines w:val="0"/>
        <w:widowControl w:val="0"/>
        <w:shd w:val="clear" w:color="auto" w:fill="auto"/>
        <w:bidi w:val="0"/>
        <w:spacing w:before="0" w:after="400" w:line="302" w:lineRule="exact"/>
        <w:ind w:left="0" w:right="0" w:firstLine="440"/>
        <w:jc w:val="both"/>
      </w:pPr>
      <w:r>
        <w:rPr>
          <w:color w:val="000000"/>
          <w:spacing w:val="0"/>
          <w:w w:val="100"/>
          <w:position w:val="0"/>
        </w:rPr>
        <w:t>政府补助计入不同损益项目的区分原则为：与本公司日常活动相关的政府补助，按照经济业务实质，计入其他收益； 与本公司日常活动无关的政府补助，计入营业外收支。</w:t>
      </w:r>
    </w:p>
    <w:p>
      <w:pPr>
        <w:pStyle w:val="Style37"/>
        <w:keepNext/>
        <w:keepLines/>
        <w:widowControl w:val="0"/>
        <w:shd w:val="clear" w:color="auto" w:fill="auto"/>
        <w:tabs>
          <w:tab w:pos="431" w:val="left"/>
        </w:tabs>
        <w:bidi w:val="0"/>
        <w:spacing w:before="0" w:after="300" w:line="36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sz w:val="18"/>
          <w:szCs w:val="18"/>
        </w:rPr>
        <w:t>4</w:t>
      </w:r>
      <w:bookmarkEnd w:id="11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递延所得税负债</w:t>
      </w:r>
      <w:bookmarkEnd w:id="1132"/>
      <w:bookmarkEnd w:id="1133"/>
      <w:bookmarkEnd w:id="1135"/>
    </w:p>
    <w:p>
      <w:pPr>
        <w:pStyle w:val="Style22"/>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.递延所得税资产和递延所得税负债的确认和计量</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本公司根据资产、负债与资产负债日的账面价值与计税基础之间的暂时性差异，采用资产负债表债务法确认递延所得 税。公司当期所得税和递延所得税作为所得税费用或收益计入当期损益，但不包括下列情况产生的所得税: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直接在所有者权益中确认的交易或者事项。</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对于可抵扣暂时性差异、能够结转以后年度的可抵扣亏损和税款抵减，公司以很可能取得用来抵扣可抵扣暂时性差异、 可抵扣亏损和税款抵减的未来应纳税所得额为限，确认由此产生的递延所得税资产，除非该可抵扣暂时性差异是在以下交易 中产生的：</w:t>
      </w:r>
    </w:p>
    <w:p>
      <w:pPr>
        <w:pStyle w:val="Style22"/>
        <w:keepNext w:val="0"/>
        <w:keepLines w:val="0"/>
        <w:widowControl w:val="0"/>
        <w:numPr>
          <w:ilvl w:val="0"/>
          <w:numId w:val="75"/>
        </w:numPr>
        <w:shd w:val="clear" w:color="auto" w:fill="auto"/>
        <w:tabs>
          <w:tab w:pos="833" w:val="left"/>
        </w:tabs>
        <w:bidi w:val="0"/>
        <w:spacing w:before="0" w:after="0" w:line="313" w:lineRule="exact"/>
        <w:ind w:left="0" w:right="0" w:firstLine="440"/>
        <w:jc w:val="both"/>
      </w:pPr>
      <w:bookmarkStart w:id="1136" w:name="bookmark1136"/>
      <w:bookmarkEnd w:id="1136"/>
      <w:r>
        <w:rPr>
          <w:color w:val="000000"/>
          <w:spacing w:val="0"/>
          <w:w w:val="100"/>
          <w:position w:val="0"/>
        </w:rPr>
        <w:t>该交易不是企业合并，并且交易发生时既不影响会计利润也不影响应纳税所得额；</w:t>
      </w:r>
    </w:p>
    <w:p>
      <w:pPr>
        <w:pStyle w:val="Style22"/>
        <w:keepNext w:val="0"/>
        <w:keepLines w:val="0"/>
        <w:widowControl w:val="0"/>
        <w:numPr>
          <w:ilvl w:val="0"/>
          <w:numId w:val="75"/>
        </w:numPr>
        <w:shd w:val="clear" w:color="auto" w:fill="auto"/>
        <w:tabs>
          <w:tab w:pos="806" w:val="left"/>
        </w:tabs>
        <w:bidi w:val="0"/>
        <w:spacing w:before="0" w:after="0" w:line="313" w:lineRule="exact"/>
        <w:ind w:left="0" w:right="0" w:firstLine="440"/>
        <w:jc w:val="both"/>
      </w:pPr>
      <w:bookmarkStart w:id="1137" w:name="bookmark1137"/>
      <w:bookmarkEnd w:id="1137"/>
      <w:r>
        <w:rPr>
          <w:color w:val="000000"/>
          <w:spacing w:val="0"/>
          <w:w w:val="100"/>
          <w:position w:val="0"/>
        </w:rPr>
        <w:t>对于与子公司、合营企业及联营企业投资相关的可抵扣暂时性差异，同时满足下列条件的，确认相应的递延所得税 资产：暂时性差异在可预见的未来很可能转回，且未来很可能获得用来抵扣可抵扣暂时性差异的应纳税所得额。</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各项应纳税暂时性差异均确认相关的递延所得税负债，除非该应纳税暂时性差异是在以下交易中产生的：</w:t>
      </w:r>
    </w:p>
    <w:p>
      <w:pPr>
        <w:pStyle w:val="Style22"/>
        <w:keepNext w:val="0"/>
        <w:keepLines w:val="0"/>
        <w:widowControl w:val="0"/>
        <w:numPr>
          <w:ilvl w:val="0"/>
          <w:numId w:val="77"/>
        </w:numPr>
        <w:shd w:val="clear" w:color="auto" w:fill="auto"/>
        <w:tabs>
          <w:tab w:pos="806" w:val="left"/>
        </w:tabs>
        <w:bidi w:val="0"/>
        <w:spacing w:before="0" w:after="0" w:line="313" w:lineRule="exact"/>
        <w:ind w:left="0" w:right="0" w:firstLine="440"/>
        <w:jc w:val="both"/>
      </w:pPr>
      <w:bookmarkStart w:id="1138" w:name="bookmark1138"/>
      <w:bookmarkEnd w:id="1138"/>
      <w:r>
        <w:rPr>
          <w:color w:val="000000"/>
          <w:spacing w:val="0"/>
          <w:w w:val="100"/>
          <w:position w:val="0"/>
        </w:rPr>
        <w:t>商誉的初始确认，或者具有以下特征的交易中产生的资产或负债的初始确认：该交易不是企业合并，并且交易发生 时既不影响会计利润也不影响应纳税所得额；</w:t>
      </w:r>
    </w:p>
    <w:p>
      <w:pPr>
        <w:pStyle w:val="Style22"/>
        <w:keepNext w:val="0"/>
        <w:keepLines w:val="0"/>
        <w:widowControl w:val="0"/>
        <w:numPr>
          <w:ilvl w:val="0"/>
          <w:numId w:val="77"/>
        </w:numPr>
        <w:shd w:val="clear" w:color="auto" w:fill="auto"/>
        <w:tabs>
          <w:tab w:pos="810" w:val="left"/>
        </w:tabs>
        <w:bidi w:val="0"/>
        <w:spacing w:before="0" w:after="0" w:line="313" w:lineRule="exact"/>
        <w:ind w:left="0" w:right="0" w:firstLine="440"/>
        <w:jc w:val="both"/>
      </w:pPr>
      <w:bookmarkStart w:id="1139" w:name="bookmark1139"/>
      <w:bookmarkEnd w:id="1139"/>
      <w:r>
        <w:rPr>
          <w:color w:val="000000"/>
          <w:spacing w:val="0"/>
          <w:w w:val="100"/>
          <w:position w:val="0"/>
        </w:rPr>
        <w:t>对于与子公司、合营企业及联营企业投资相关的应纳税暂时性差异，该暂时性差异转回的时间能够控制并且该暂时 性差异在可预见的未来很可能不会转回。</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根据资产、负债的账面价值与其计税基础之间的差额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未作为资产和负债确认的项目按照税法规定可以确定其计税基础 的，该计税基础与其账面数之间的差额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，按照预期收回该资产或清偿该负债期间的适用税率计算确认递延所得税资产或递 延所得税负债。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确认递延所得税资产以很可能取得用来抵扣可抵扣暂时性差异的应纳税所得额为限。资产负债表日，有确凿证据表明 未来期间很可能获得足够的应纳税所得额用来抵扣可抵扣暂时性差异的，确认以前会计期间未确认的递延所得税资产。对递 延所得税资产的账面价值进行复核，如果未来期间很可能无法获得足够的应纳税所得额用以抵扣递延所得税资产的利益，则 减记递延所得税资产的账面价值。在很可能获得足够的应纳税所得额时，转回减记的金额。</w:t>
      </w:r>
    </w:p>
    <w:p>
      <w:pPr>
        <w:pStyle w:val="Style22"/>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当拥有以净额结算的法定权利，且意图以净额结算或取得资产、清偿负债同时进行时，本公司当期所得税资产及当 期所得税负债以抵销后的净额列报。</w:t>
      </w:r>
    </w:p>
    <w:p>
      <w:pPr>
        <w:pStyle w:val="Style22"/>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债转回的期间内，涉及的纳税主体意图以净额结算当期所得税资产和负债或是同时取得资产、清偿负债时，本公司递延所得 税资产及递延所得税负债以抵销后的净额列报。</w:t>
      </w:r>
    </w:p>
    <w:p>
      <w:pPr>
        <w:pStyle w:val="Style37"/>
        <w:keepNext/>
        <w:keepLines/>
        <w:widowControl w:val="0"/>
        <w:shd w:val="clear" w:color="auto" w:fill="auto"/>
        <w:tabs>
          <w:tab w:pos="431" w:val="left"/>
        </w:tabs>
        <w:bidi w:val="0"/>
        <w:spacing w:before="0" w:after="180" w:line="36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sz w:val="18"/>
          <w:szCs w:val="18"/>
        </w:rPr>
        <w:t>4</w:t>
      </w:r>
      <w:bookmarkEnd w:id="11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租赁</w:t>
      </w:r>
      <w:bookmarkEnd w:id="1140"/>
      <w:bookmarkEnd w:id="1141"/>
      <w:bookmarkEnd w:id="1143"/>
    </w:p>
    <w:p>
      <w:pPr>
        <w:pStyle w:val="Style37"/>
        <w:keepNext/>
        <w:keepLines/>
        <w:widowControl w:val="0"/>
        <w:numPr>
          <w:ilvl w:val="0"/>
          <w:numId w:val="79"/>
        </w:numPr>
        <w:shd w:val="clear" w:color="auto" w:fill="auto"/>
        <w:bidi w:val="0"/>
        <w:spacing w:before="0" w:after="400" w:line="313" w:lineRule="exact"/>
        <w:ind w:left="0" w:right="0" w:firstLine="0"/>
        <w:jc w:val="left"/>
      </w:pPr>
      <w:bookmarkStart w:id="1140" w:name="bookmark1140"/>
      <w:bookmarkStart w:id="1141" w:name="bookmark1141"/>
      <w:bookmarkStart w:id="1144" w:name="bookmark1144"/>
      <w:bookmarkStart w:id="1145" w:name="bookmark1145"/>
      <w:bookmarkEnd w:id="1144"/>
      <w:r>
        <w:rPr>
          <w:color w:val="000000"/>
          <w:spacing w:val="0"/>
          <w:w w:val="100"/>
          <w:position w:val="0"/>
        </w:rPr>
        <w:t>经营租赁的会计处理方法</w:t>
      </w:r>
      <w:bookmarkEnd w:id="1140"/>
      <w:bookmarkEnd w:id="1141"/>
      <w:bookmarkEnd w:id="1145"/>
    </w:p>
    <w:p>
      <w:pPr>
        <w:pStyle w:val="Style22"/>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租赁，是指在一定期间内，出租人将资产的使用权让与承租人以获取对价的合同。</w:t>
      </w:r>
    </w:p>
    <w:p>
      <w:pPr>
        <w:pStyle w:val="Style2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在合同开始日，本公司评估合同是否为租赁或者包含租赁。如果合同中一方让渡了在一定期间内控制一项或多项已识 别资产使用的权利以换取对价，则该合同为租赁或者包含租赁。</w:t>
      </w:r>
    </w:p>
    <w:p>
      <w:pPr>
        <w:pStyle w:val="Style22"/>
        <w:keepNext w:val="0"/>
        <w:keepLines w:val="0"/>
        <w:widowControl w:val="0"/>
        <w:shd w:val="clear" w:color="auto" w:fill="auto"/>
        <w:bidi w:val="0"/>
        <w:spacing w:before="0" w:after="420" w:line="317" w:lineRule="exact"/>
        <w:ind w:left="0" w:right="0" w:firstLine="440"/>
        <w:jc w:val="both"/>
      </w:pPr>
      <w:r>
        <w:rPr>
          <w:color w:val="000000"/>
          <w:spacing w:val="0"/>
          <w:w w:val="100"/>
          <w:position w:val="0"/>
        </w:rPr>
        <w:t>合同中同时包含多项单独租赁的，承租人和出租人将合同予以分拆，并分别各项单独租赁进行会计处理。合同中同时 包含租赁和非租赁部分的，承租人和出租人将租赁和非租赁部分进行分拆。</w:t>
      </w:r>
    </w:p>
    <w:p>
      <w:pPr>
        <w:pStyle w:val="Style22"/>
        <w:keepNext w:val="0"/>
        <w:keepLines w:val="0"/>
        <w:widowControl w:val="0"/>
        <w:numPr>
          <w:ilvl w:val="0"/>
          <w:numId w:val="81"/>
        </w:numPr>
        <w:shd w:val="clear" w:color="auto" w:fill="auto"/>
        <w:tabs>
          <w:tab w:pos="712" w:val="left"/>
        </w:tabs>
        <w:bidi w:val="0"/>
        <w:spacing w:before="0" w:after="0" w:line="360" w:lineRule="auto"/>
        <w:ind w:left="0" w:right="0" w:firstLine="440"/>
        <w:jc w:val="left"/>
      </w:pPr>
      <w:bookmarkStart w:id="1146" w:name="bookmark1146"/>
      <w:bookmarkEnd w:id="1146"/>
      <w:r>
        <w:rPr>
          <w:color w:val="000000"/>
          <w:spacing w:val="0"/>
          <w:w w:val="100"/>
          <w:position w:val="0"/>
        </w:rPr>
        <w:t>承租人</w:t>
      </w:r>
    </w:p>
    <w:p>
      <w:pPr>
        <w:pStyle w:val="Style22"/>
        <w:keepNext w:val="0"/>
        <w:keepLines w:val="0"/>
        <w:widowControl w:val="0"/>
        <w:numPr>
          <w:ilvl w:val="0"/>
          <w:numId w:val="83"/>
        </w:numPr>
        <w:shd w:val="clear" w:color="auto" w:fill="auto"/>
        <w:tabs>
          <w:tab w:pos="793" w:val="left"/>
        </w:tabs>
        <w:bidi w:val="0"/>
        <w:spacing w:before="0" w:after="0" w:line="360" w:lineRule="auto"/>
        <w:ind w:left="0" w:right="0" w:firstLine="440"/>
        <w:jc w:val="both"/>
      </w:pPr>
      <w:bookmarkStart w:id="1147" w:name="bookmark1147"/>
      <w:bookmarkEnd w:id="1147"/>
      <w:r>
        <w:rPr>
          <w:color w:val="000000"/>
          <w:spacing w:val="0"/>
          <w:w w:val="100"/>
          <w:position w:val="0"/>
        </w:rPr>
        <w:t>使用权资产</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在租赁期开始日，本公司对除短期租赁和低价值资产租赁以外的租赁确认使用权资产。使用权资产按照成本进行初始 计量，包括：租赁负债的初始计量金额；在租赁期开始日或之前支付的租赁付款额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扣除已享受的租赁激励相关金额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；发生 的初始直接费用;为拆卸及移除租赁资产、复原租赁资产所在场地或将租赁资产恢复至租赁条款约定状态预计将发生的成本。</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本公司使用直线法对使用权资产计提折旧。对能够合理确定租赁期届满时取得租赁资产所有权的，本公司在租赁资产 剩余使用寿命内计提折旧。无法合理确定租赁期届满时能够取得租赁资产所有权的，租赁资产在租赁期与租赁资产剩余使用 寿命两者孰短的期间内计提折旧。</w:t>
      </w:r>
    </w:p>
    <w:p>
      <w:pPr>
        <w:pStyle w:val="Style22"/>
        <w:keepNext w:val="0"/>
        <w:keepLines w:val="0"/>
        <w:widowControl w:val="0"/>
        <w:numPr>
          <w:ilvl w:val="0"/>
          <w:numId w:val="83"/>
        </w:numPr>
        <w:shd w:val="clear" w:color="auto" w:fill="auto"/>
        <w:tabs>
          <w:tab w:pos="793" w:val="left"/>
        </w:tabs>
        <w:bidi w:val="0"/>
        <w:spacing w:before="0" w:after="0" w:line="360" w:lineRule="auto"/>
        <w:ind w:left="0" w:right="0" w:firstLine="440"/>
        <w:jc w:val="both"/>
      </w:pPr>
      <w:bookmarkStart w:id="1148" w:name="bookmark1148"/>
      <w:bookmarkEnd w:id="1148"/>
      <w:r>
        <w:rPr>
          <w:color w:val="000000"/>
          <w:spacing w:val="0"/>
          <w:w w:val="100"/>
          <w:position w:val="0"/>
        </w:rPr>
        <w:t>租赁负债</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在租赁期开始日，本公司对除短期租赁和低价值资产租赁以外的租赁确认租赁负债。租赁负债按照尚未支付的租赁付 款额的现值进行初始计量。租赁付款额包括：固定付款额及实质固定付款额，存在租赁激励的，扣除租赁激励相关金额；取 决于指数或比率的可变租赁付款额，该款项在初始计量时根据租赁期开始日的指数或比率确定；购买选择权的行权价格，前 提是公司合理确定将行使该选择权；行使终止租赁选择权需支付的款项，前提是租赁期反映出公司将行使终止租赁选择权； 根据公司提供的担保余值预计应支付的款项。本公司采用租赁内含利率作为折现率。无法确定租赁内含利率的，采用本公司 的增量借款利率作为折现率。</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本公司按照固定的周期性利率计算租赁负债在租赁期内各期间的利息费用，并计入当期损益或相关资产成本。未纳入 租赁负债计量的可变租赁付款额在实际发生时计入当期损益或相关资产成本。</w:t>
      </w:r>
    </w:p>
    <w:p>
      <w:pPr>
        <w:pStyle w:val="Style22"/>
        <w:keepNext w:val="0"/>
        <w:keepLines w:val="0"/>
        <w:widowControl w:val="0"/>
        <w:shd w:val="clear" w:color="auto" w:fill="auto"/>
        <w:bidi w:val="0"/>
        <w:spacing w:before="0" w:after="420" w:line="312" w:lineRule="exact"/>
        <w:ind w:left="0" w:right="0" w:firstLine="440"/>
        <w:jc w:val="both"/>
      </w:pPr>
      <w:r>
        <w:rPr>
          <w:color w:val="000000"/>
          <w:spacing w:val="0"/>
          <w:w w:val="100"/>
          <w:position w:val="0"/>
        </w:rPr>
        <w:t>在租赁期开始日后，发生下列情形的，本公司按照变动后租赁付款额的现值重新计量租赁负债：本公司对购买选择权、 续租选择权或终止租赁选择权的评估结果发生变化，或续租选择权或终止租赁选择权的实际行使情况与原评估结果不一致； 根据担保余值预计的应付金额发生变动；用于确定租赁付款额的指数或比率发生变动。在对租赁负债进行重新计量时，本公 司相应调整使用权资产的账面价值。使用权资产账面价值已调减至零，但租赁负债仍需进一步调减的，本公司将剩余金额计 入当期损益。</w:t>
      </w:r>
    </w:p>
    <w:p>
      <w:pPr>
        <w:pStyle w:val="Style22"/>
        <w:keepNext w:val="0"/>
        <w:keepLines w:val="0"/>
        <w:widowControl w:val="0"/>
        <w:numPr>
          <w:ilvl w:val="0"/>
          <w:numId w:val="83"/>
        </w:numPr>
        <w:shd w:val="clear" w:color="auto" w:fill="auto"/>
        <w:tabs>
          <w:tab w:pos="793" w:val="left"/>
        </w:tabs>
        <w:bidi w:val="0"/>
        <w:spacing w:before="0" w:after="0" w:line="360" w:lineRule="auto"/>
        <w:ind w:left="0" w:right="0" w:firstLine="440"/>
        <w:jc w:val="both"/>
      </w:pPr>
      <w:bookmarkStart w:id="1149" w:name="bookmark1149"/>
      <w:bookmarkEnd w:id="1149"/>
      <w:r>
        <w:rPr>
          <w:color w:val="000000"/>
          <w:spacing w:val="0"/>
          <w:w w:val="100"/>
          <w:position w:val="0"/>
        </w:rPr>
        <w:t>短期租赁和低价值资产租赁</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本公司选择对短期租赁和低价值资产租赁不确认使用权资产和租赁负债，并将相关的租赁付款额在租赁期内各个期间 按照直线法计入当期损益或相关资产成本。短期租赁，是指在租赁期开始日，租赁期不超过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 租赁。低价值资产租赁，是指单项租赁资产为全新资产时价值较低的租赁。公司转租或预期转租租赁资产的，原租赁不属于 低价值资产租赁。</w:t>
      </w:r>
    </w:p>
    <w:p>
      <w:pPr>
        <w:pStyle w:val="Style22"/>
        <w:keepNext w:val="0"/>
        <w:keepLines w:val="0"/>
        <w:widowControl w:val="0"/>
        <w:numPr>
          <w:ilvl w:val="0"/>
          <w:numId w:val="83"/>
        </w:numPr>
        <w:shd w:val="clear" w:color="auto" w:fill="auto"/>
        <w:tabs>
          <w:tab w:pos="793" w:val="left"/>
        </w:tabs>
        <w:bidi w:val="0"/>
        <w:spacing w:before="0" w:after="0" w:line="360" w:lineRule="auto"/>
        <w:ind w:left="0" w:right="0" w:firstLine="440"/>
        <w:jc w:val="both"/>
      </w:pPr>
      <w:bookmarkStart w:id="1150" w:name="bookmark1150"/>
      <w:bookmarkEnd w:id="1150"/>
      <w:r>
        <w:rPr>
          <w:color w:val="000000"/>
          <w:spacing w:val="0"/>
          <w:w w:val="100"/>
          <w:position w:val="0"/>
        </w:rPr>
        <w:t>租赁变更</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租赁发生变更且同时符合下列条件的，公司将该租赁变更作为一项单独租赁进行会计处理：该租赁变更通过增加一项 或多项租赁资产的使用权而扩大了租赁范围；增加的对价与租赁范围扩大部分的单独价格按该合同情况调整后的金额相当。</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租赁变更未作为一项单独租赁进行会计处理的，在租赁变更生效日，公司重新分摊变更后合同的对价，重新确定租赁 期，并按照变更后租赁付款额和修订后的折现率计算的现值重新计量租赁负债。</w:t>
      </w:r>
    </w:p>
    <w:p>
      <w:pPr>
        <w:pStyle w:val="Style22"/>
        <w:keepNext w:val="0"/>
        <w:keepLines w:val="0"/>
        <w:widowControl w:val="0"/>
        <w:numPr>
          <w:ilvl w:val="0"/>
          <w:numId w:val="81"/>
        </w:numPr>
        <w:shd w:val="clear" w:color="auto" w:fill="auto"/>
        <w:tabs>
          <w:tab w:pos="731" w:val="left"/>
        </w:tabs>
        <w:bidi w:val="0"/>
        <w:spacing w:before="0" w:after="0" w:line="360" w:lineRule="auto"/>
        <w:ind w:left="0" w:right="0" w:firstLine="440"/>
        <w:jc w:val="both"/>
      </w:pPr>
      <w:bookmarkStart w:id="1151" w:name="bookmark1151"/>
      <w:bookmarkEnd w:id="1151"/>
      <w:r>
        <w:rPr>
          <w:color w:val="000000"/>
          <w:spacing w:val="0"/>
          <w:w w:val="100"/>
          <w:position w:val="0"/>
        </w:rPr>
        <w:t>出租人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在租赁开始日，本公司将租赁分为融资租赁和经营租赁。融资租赁，是指无论所有权最终是否转移，但实质上转移了 与租赁资产所有权有关的几乎全部风险和报酬的租赁。经营租赁，是指除融资租赁以外的其他租赁。</w:t>
      </w:r>
    </w:p>
    <w:p>
      <w:pPr>
        <w:pStyle w:val="Style2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本公司作为转租出租人时，基于原租赁产生的使用权资产对转租赁进行分类。如果原租赁为短期租赁且本公司选择对 原租赁不确认使用权资产和租赁负债，本公司将该转租赁分类为经营租赁。</w:t>
      </w:r>
    </w:p>
    <w:p>
      <w:pPr>
        <w:pStyle w:val="Style22"/>
        <w:keepNext w:val="0"/>
        <w:keepLines w:val="0"/>
        <w:widowControl w:val="0"/>
        <w:shd w:val="clear" w:color="auto" w:fill="auto"/>
        <w:bidi w:val="0"/>
        <w:spacing w:before="0" w:after="100" w:line="360" w:lineRule="auto"/>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经营租赁会计处理</w:t>
      </w:r>
    </w:p>
    <w:p>
      <w:pPr>
        <w:pStyle w:val="Style22"/>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经营租赁的租赁收款额在租赁期内各个期间按照直线法确认为租金收入。本公司将发生的与经营租赁有关的初始直接 费用予以资本化，在租赁期内按照与租金收入确认相同的基础分摊计入当期损益。未计入租赁收款额的可变租赁付款额在实 际发生时计入当期损益。</w:t>
      </w:r>
    </w:p>
    <w:p>
      <w:pPr>
        <w:pStyle w:val="Style37"/>
        <w:keepNext/>
        <w:keepLines/>
        <w:widowControl w:val="0"/>
        <w:shd w:val="clear" w:color="auto" w:fill="auto"/>
        <w:bidi w:val="0"/>
        <w:spacing w:before="0" w:after="400" w:line="313" w:lineRule="exact"/>
        <w:ind w:left="0" w:right="0" w:firstLine="0"/>
        <w:jc w:val="left"/>
      </w:pPr>
      <w:bookmarkStart w:id="1152" w:name="bookmark1152"/>
      <w:bookmarkStart w:id="1153" w:name="bookmark1153"/>
      <w:bookmarkStart w:id="1154" w:name="bookmark1154"/>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）融资租赁的会计处理方法</w:t>
      </w:r>
      <w:bookmarkEnd w:id="1152"/>
      <w:bookmarkEnd w:id="1153"/>
      <w:bookmarkEnd w:id="1154"/>
    </w:p>
    <w:p>
      <w:pPr>
        <w:pStyle w:val="Style22"/>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.出租人</w:t>
      </w:r>
    </w:p>
    <w:p>
      <w:pPr>
        <w:pStyle w:val="Style22"/>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融资租赁会计处理</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在租赁开始日，本公司对融资租赁确认应收融资租赁款，并终止确认融资租赁资产。本公司对应收融资租赁款进行初 始计量时，将租赁投资净额作为应收融资租赁款的入账价值。租赁投资净额为未担保余值和租赁期开始日尚未收到的租赁收 款额按照租赁内含利率折现的现值之和。</w:t>
      </w:r>
    </w:p>
    <w:p>
      <w:pPr>
        <w:pStyle w:val="Style22"/>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本公司按照固定的周期性利率计算并确认租赁期内各个期间的利息收入。应收融资租赁款的终止确认和减值按照本附 注五</w:t>
      </w:r>
      <w:r>
        <w:rPr>
          <w:rFonts w:ascii="Times New Roman" w:eastAsia="Times New Roman" w:hAnsi="Times New Roman" w:cs="Times New Roman"/>
          <w:color w:val="000000"/>
          <w:spacing w:val="0"/>
          <w:w w:val="100"/>
          <w:position w:val="0"/>
          <w:sz w:val="18"/>
          <w:szCs w:val="18"/>
        </w:rPr>
        <w:t>（10） “</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进行会计处理。未纳入租赁投资净额计量的可变租赁付款额在实际发生时计入当期损益。</w:t>
      </w:r>
    </w:p>
    <w:p>
      <w:pPr>
        <w:pStyle w:val="Style37"/>
        <w:keepNext/>
        <w:keepLines/>
        <w:widowControl w:val="0"/>
        <w:shd w:val="clear" w:color="auto" w:fill="auto"/>
        <w:bidi w:val="0"/>
        <w:spacing w:before="0" w:after="300" w:line="36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sz w:val="18"/>
          <w:szCs w:val="18"/>
        </w:rPr>
        <w:t>4</w:t>
      </w:r>
      <w:bookmarkEnd w:id="11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、其他重要的会计政策和会计估计</w:t>
      </w:r>
      <w:bookmarkEnd w:id="1155"/>
      <w:bookmarkEnd w:id="1156"/>
      <w:bookmarkEnd w:id="1158"/>
    </w:p>
    <w:p>
      <w:pPr>
        <w:pStyle w:val="Style37"/>
        <w:keepNext/>
        <w:keepLines/>
        <w:widowControl w:val="0"/>
        <w:shd w:val="clear" w:color="auto" w:fill="auto"/>
        <w:bidi w:val="0"/>
        <w:spacing w:before="0" w:after="0" w:line="360" w:lineRule="auto"/>
        <w:ind w:left="0" w:right="0" w:firstLine="440"/>
        <w:jc w:val="left"/>
      </w:pPr>
      <w:bookmarkStart w:id="1155" w:name="bookmark1155"/>
      <w:bookmarkStart w:id="1156" w:name="bookmark1156"/>
      <w:bookmarkStart w:id="1159" w:name="bookmark1159"/>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.公允价值</w:t>
      </w:r>
      <w:bookmarkEnd w:id="1155"/>
      <w:bookmarkEnd w:id="1156"/>
      <w:bookmarkEnd w:id="1159"/>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公允价值是指市场参与者在计量日发生的有序交易中，出售一项资产所能收到或者转移一项负债所需支付的价格。本 公司以公允价值计量相关资产或负债，假定出售资产或者转移负债的有序交易在相关资产或负债的主要市场进行；不存在主 要市场的，本公司假定该交易在相关资产或负债的最有利市场进行。主要市场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或最有利市场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是本公司在计量日能够进入的 交易市场。</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本公司采用在当前情况下适用并且有足够可利用数据和其他信息支持的估值技术，考虑市场参与者将该资产用于最佳 用途产生经济利益的能力，或者将该资产出售给能够用于最佳用途的其他市场参与者产生经济利益的能力，优先使用相关可 观察输入值，只有在可观察输入值无法取得或取得不切实可行的情况下，才使用不可观察输入值。</w:t>
      </w:r>
    </w:p>
    <w:p>
      <w:pPr>
        <w:pStyle w:val="Style22"/>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在财务报表中以公允价值计量或披露的资产和负债，根据对公允价值计量整体而言具有重要意义的最低层次输入值， 确定所属的公允价值层次：第一层次输入值，是在计量日能够取得的相同资产或负债在活跃市场上未经调整的报价；第二层 次输入值，是除第一层次输入值外相关资产或负债直接或间接可观察的输入值，包括：活跃市场中有类似资产或负债的报价; 非活跃市场中相同或类似资产或负债的报价；除报价以外的其他可观察输入值，如在正常报价间隔期间可观察的利益和收益 率曲线等；第三层次输入值，是相关资产或负债的不可观察输入值，包括不能直接观察或无法由可观察市场数据验证的利率、 股票波动率、企业合并中承担的弃置义务的未来现金流量、使用自身数据做出的财务预测等。每个资产负债表日，本公司对 在财务报表中确认的持续以公允价值计量的资产和负债进行重新评估，以确定是否在公允价值计量层次之间发生转换。</w:t>
      </w:r>
    </w:p>
    <w:p>
      <w:pPr>
        <w:pStyle w:val="Style37"/>
        <w:keepNext/>
        <w:keepLines/>
        <w:widowControl w:val="0"/>
        <w:numPr>
          <w:ilvl w:val="0"/>
          <w:numId w:val="85"/>
        </w:numPr>
        <w:shd w:val="clear" w:color="auto" w:fill="auto"/>
        <w:bidi w:val="0"/>
        <w:spacing w:before="0" w:after="0" w:line="360" w:lineRule="auto"/>
        <w:ind w:left="0" w:right="0" w:firstLine="440"/>
        <w:jc w:val="both"/>
      </w:pPr>
      <w:bookmarkStart w:id="1160" w:name="bookmark1160"/>
      <w:bookmarkStart w:id="1161" w:name="bookmark1161"/>
      <w:bookmarkStart w:id="1162" w:name="bookmark1162"/>
      <w:bookmarkStart w:id="1163" w:name="bookmark1163"/>
      <w:bookmarkEnd w:id="1162"/>
      <w:r>
        <w:rPr>
          <w:color w:val="000000"/>
          <w:spacing w:val="0"/>
          <w:w w:val="100"/>
          <w:position w:val="0"/>
        </w:rPr>
        <w:t>重大会计判断和估计说明</w:t>
      </w:r>
      <w:bookmarkEnd w:id="1160"/>
      <w:bookmarkEnd w:id="1161"/>
      <w:bookmarkEnd w:id="1163"/>
    </w:p>
    <w:p>
      <w:pPr>
        <w:pStyle w:val="Style2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本公司在运用会计政策过程中，由于经营活动内在的不确定性，本公司需要对无法准确计量的报表项目的账面价值进 行判断、估计和假设。这些判断、估计和假设是基于本公司管理层过去的历史经验，并在考虑其他相关因素的基础上做出的。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大调整。本公司对前述判断、估计和假设在持续经营的基础上进行定期复核，会计估计的变更仅影响变更当期的，其影响数 在变更当期予以确认；既影响变更当期又影响未来期间的，其影响数在变更当期和未来期间予以确认。于资产负债表日，本 公司需对财务报表项目金额进行判断、估计和假设的重要领域如下：</w:t>
      </w:r>
    </w:p>
    <w:p>
      <w:pPr>
        <w:pStyle w:val="Style22"/>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.租赁的分类</w:t>
      </w:r>
    </w:p>
    <w:p>
      <w:pPr>
        <w:pStyle w:val="Style2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本公司作为出租人时，根据《企业会计准则第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 类时，管理层需要对是否已将与租出资产所有权有关的全部风险和报酬实质上转移给承租人作出分析和判断。</w:t>
      </w:r>
    </w:p>
    <w:p>
      <w:pPr>
        <w:pStyle w:val="Style22"/>
        <w:keepNext w:val="0"/>
        <w:keepLines w:val="0"/>
        <w:widowControl w:val="0"/>
        <w:shd w:val="clear" w:color="auto" w:fill="auto"/>
        <w:bidi w:val="0"/>
        <w:spacing w:before="0" w:after="0" w:line="36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.金融资产的减值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日起适用</w:t>
      </w:r>
      <w:r>
        <w:rPr>
          <w:color w:val="000000"/>
          <w:spacing w:val="0"/>
          <w:w w:val="100"/>
          <w:position w:val="0"/>
          <w:sz w:val="18"/>
          <w:szCs w:val="18"/>
        </w:rPr>
        <w:t>）</w:t>
      </w:r>
    </w:p>
    <w:p>
      <w:pPr>
        <w:pStyle w:val="Style2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 xml:space="preserve">本公司采用预期信用损失模型对以摊余成本计量的应收款项及债权投资、合同资产、以公允价值计量且其变动计入其 </w:t>
      </w:r>
      <w:r>
        <w:rPr>
          <w:color w:val="000000"/>
          <w:spacing w:val="0"/>
          <w:w w:val="100"/>
          <w:position w:val="0"/>
        </w:rPr>
        <w:t>他综合收益的应收款项融资及其他债权投资等的减值进行评估。运用预期信用损失模型涉及管理层的重大判断和估计。预期 信用损失计量的关键参数包括违约概率、违约损失率和违约风险敞口。本公司考虑历史统计数据的定量分析及前瞻性信息， 建立违约概率、违约损失率及违约风险敞口模型。实际的金融工具减值结果与原先估计的差异将在估计被改变的期间影响金 融工具的账面价值及信用减值损失的计提或转回。</w:t>
      </w:r>
    </w:p>
    <w:p>
      <w:pPr>
        <w:pStyle w:val="Style22"/>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.存货跌价准备</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本公司根据存货会计政策，按照成本与可变现净值孰低计量，对成本高于可变现净值及陈旧和滞销的存货，计提存货 跌价准备。存货减值至可变现净值是基于评估存货的可售性及其可变现净值。鉴定存货减值要求管理层在取得确凿证据，并 且考虑持有存货的目的、资产负债表日后事项的影响等因素的基础上作出判断和估计。实际的结果与原先估计的差异将在估 计被改变的期间影响存货的账面价值及存货跌价准备的计提或转回。</w:t>
      </w:r>
    </w:p>
    <w:p>
      <w:pPr>
        <w:pStyle w:val="Style22"/>
        <w:keepNext w:val="0"/>
        <w:keepLines w:val="0"/>
        <w:widowControl w:val="0"/>
        <w:numPr>
          <w:ilvl w:val="0"/>
          <w:numId w:val="87"/>
        </w:numPr>
        <w:shd w:val="clear" w:color="auto" w:fill="auto"/>
        <w:tabs>
          <w:tab w:pos="723" w:val="left"/>
        </w:tabs>
        <w:bidi w:val="0"/>
        <w:spacing w:before="0" w:after="0" w:line="360" w:lineRule="auto"/>
        <w:ind w:left="0" w:right="0" w:firstLine="440"/>
        <w:jc w:val="both"/>
      </w:pPr>
      <w:bookmarkStart w:id="1164" w:name="bookmark1164"/>
      <w:bookmarkEnd w:id="1164"/>
      <w:r>
        <w:rPr>
          <w:color w:val="000000"/>
          <w:spacing w:val="0"/>
          <w:w w:val="100"/>
          <w:position w:val="0"/>
        </w:rPr>
        <w:t>金融工具公允价值</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对不存在活跃交易市场的金融工具，本公司通过各种估值方法确定其公允价值。这些估值方法包括贴现现金流模型分 析等。估值时本公司需对未来现金流量、信用风险、市场波动率和相关性等方面进行估计，并选择适当的折现率。这些相关 假设具有不确定性，其变化会对金融工具的公允价值产生影响。</w:t>
      </w:r>
    </w:p>
    <w:p>
      <w:pPr>
        <w:pStyle w:val="Style22"/>
        <w:keepNext w:val="0"/>
        <w:keepLines w:val="0"/>
        <w:widowControl w:val="0"/>
        <w:numPr>
          <w:ilvl w:val="0"/>
          <w:numId w:val="87"/>
        </w:numPr>
        <w:shd w:val="clear" w:color="auto" w:fill="auto"/>
        <w:tabs>
          <w:tab w:pos="723" w:val="left"/>
        </w:tabs>
        <w:bidi w:val="0"/>
        <w:spacing w:before="0" w:after="0" w:line="360" w:lineRule="auto"/>
        <w:ind w:left="0" w:right="0" w:firstLine="440"/>
        <w:jc w:val="both"/>
      </w:pPr>
      <w:bookmarkStart w:id="1165" w:name="bookmark1165"/>
      <w:bookmarkEnd w:id="1165"/>
      <w:r>
        <w:rPr>
          <w:color w:val="000000"/>
          <w:spacing w:val="0"/>
          <w:w w:val="100"/>
          <w:position w:val="0"/>
        </w:rPr>
        <w:t>非金融非流动资产减值</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本公司于资产负债表日对除金融资产之外的非流动资产判断是否存在可能发生减值的迹象。对使用寿命不确定的无形 资产，除每年进行的减值测试外，当其存在减值迹象时，也进行减值测试。其他除金融资产之外的非流动资产，当存在迹象 表明其账面金额不可收回时，进行减值测试。</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公允价值减去处置费用后的净额，参考公平交易中类似资产的销售协议价格或可观察到的市场价格，减去可直接归属 于该资产处置的增量成本确定。在预计未来现金流量现值时，需要对该资产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或资产组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的产量、售价、相关经营成本以及计 算现值时使用的折现率等作出重大判断。本公司在估计可收回金额时会采用所有能够获得的相关资料，包括根据合理和可支 持的假设所作出有关产量、售价和相关经营成本的预测。</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本公司至少每年评估商誉是否发生减值，要求对分配了商誉的资产组的使用价值进行估计。估计使用价值时，本公司 需要估计未来来自资产组的现金流量，同时选择恰当的折现率计算未来现金流量的现值。</w:t>
      </w:r>
    </w:p>
    <w:p>
      <w:pPr>
        <w:pStyle w:val="Style22"/>
        <w:keepNext w:val="0"/>
        <w:keepLines w:val="0"/>
        <w:widowControl w:val="0"/>
        <w:numPr>
          <w:ilvl w:val="0"/>
          <w:numId w:val="87"/>
        </w:numPr>
        <w:shd w:val="clear" w:color="auto" w:fill="auto"/>
        <w:tabs>
          <w:tab w:pos="723" w:val="left"/>
        </w:tabs>
        <w:bidi w:val="0"/>
        <w:spacing w:before="0" w:after="0" w:line="360" w:lineRule="auto"/>
        <w:ind w:left="0" w:right="0" w:firstLine="440"/>
        <w:jc w:val="both"/>
      </w:pPr>
      <w:bookmarkStart w:id="1166" w:name="bookmark1166"/>
      <w:bookmarkEnd w:id="1166"/>
      <w:r>
        <w:rPr>
          <w:color w:val="000000"/>
          <w:spacing w:val="0"/>
          <w:w w:val="100"/>
          <w:position w:val="0"/>
        </w:rPr>
        <w:t>折旧和摊销</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本公司对投资性房地产、固定资产和无形资产在考虑其残值后，在使用寿命内按直线法计提折旧和摊销。本公司定期 复核使用寿命，以决定将计入每个报告期的折旧和摊销费用数额。使用寿命是本公司根据对同类资产的以往经验并结合预期 的技术更新而确定的。如果以前的估计发生重大变化，则会在未来期间对折旧和摊销费用进行调整。</w:t>
      </w:r>
    </w:p>
    <w:p>
      <w:pPr>
        <w:pStyle w:val="Style22"/>
        <w:keepNext w:val="0"/>
        <w:keepLines w:val="0"/>
        <w:widowControl w:val="0"/>
        <w:numPr>
          <w:ilvl w:val="0"/>
          <w:numId w:val="87"/>
        </w:numPr>
        <w:shd w:val="clear" w:color="auto" w:fill="auto"/>
        <w:tabs>
          <w:tab w:pos="723" w:val="left"/>
        </w:tabs>
        <w:bidi w:val="0"/>
        <w:spacing w:before="0" w:after="0" w:line="360" w:lineRule="auto"/>
        <w:ind w:left="0" w:right="0" w:firstLine="440"/>
        <w:jc w:val="both"/>
      </w:pPr>
      <w:bookmarkStart w:id="1167" w:name="bookmark1167"/>
      <w:bookmarkEnd w:id="1167"/>
      <w:r>
        <w:rPr>
          <w:color w:val="000000"/>
          <w:spacing w:val="0"/>
          <w:w w:val="100"/>
          <w:position w:val="0"/>
        </w:rPr>
        <w:t>递延所得税资产</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在很有可能有足够的应纳税利润来抵扣亏损的限度内，本公司就所有未利用的税务亏损确认递延所得税资产。这需要 本公司管理层运用大量的判断来估计未来应纳税利润发生的时间和金额，结合纳税筹划策略，以决定应确认的递延所得税资 产的金额。</w:t>
      </w:r>
    </w:p>
    <w:p>
      <w:pPr>
        <w:pStyle w:val="Style22"/>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.所得税</w:t>
      </w:r>
    </w:p>
    <w:p>
      <w:pPr>
        <w:pStyle w:val="Style2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本公司在正常的经营活动中，有部分交易其最终的税务处理和计算存在一定的不确定性。部分项目是否能够在税前列 支需要税收主管机关的审批。如果这些税务事项的最终认定结果同最初估计的金额存在差异，则该差异将对其最终认定期间 的当期所得税和递延所得税产生影响。</w:t>
      </w:r>
    </w:p>
    <w:p>
      <w:pPr>
        <w:pStyle w:val="Style22"/>
        <w:keepNext w:val="0"/>
        <w:keepLines w:val="0"/>
        <w:widowControl w:val="0"/>
        <w:numPr>
          <w:ilvl w:val="0"/>
          <w:numId w:val="89"/>
        </w:numPr>
        <w:shd w:val="clear" w:color="auto" w:fill="auto"/>
        <w:bidi w:val="0"/>
        <w:spacing w:before="0" w:after="0" w:line="360" w:lineRule="auto"/>
        <w:ind w:left="0" w:right="0" w:firstLine="440"/>
        <w:jc w:val="both"/>
      </w:pPr>
      <w:bookmarkStart w:id="1168" w:name="bookmark1168"/>
      <w:bookmarkEnd w:id="1168"/>
      <w:r>
        <w:rPr>
          <w:color w:val="000000"/>
          <w:spacing w:val="0"/>
          <w:w w:val="100"/>
          <w:position w:val="0"/>
        </w:rPr>
        <w:t>预计负债</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本公司根据合约条款、现有知识及历史经验，对产品质量保证、预计合同亏损、延迟交货违约金等估计并计提相应准 备。在该等或有事项已经形成一项现时义务，且履行该等现时义务很可能导致经济利益流出本公司的情况下，本公司对或有 事项按履行相关现时义务所需支出的最佳估计数确认为预计负债。预计负债的确认和计量在很大程度上依赖于管理层的判 断。在进行判断过程中本公司需评估该等或有事项相关的风险、不确定性及货币时间价值等因素。</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其中，本公司会就出售、维修及改造所售商品向客户提供的售后质量维修承诺预计负债。预计负债时已考虑本公司近 期的维修经验数据，但近期的维修经验可能无法反映将来的维修情况。这项准备的任何增加或减少，均可能影响未来年度的 </w:t>
      </w:r>
      <w:r>
        <w:rPr>
          <w:color w:val="000000"/>
          <w:spacing w:val="0"/>
          <w:w w:val="100"/>
          <w:position w:val="0"/>
        </w:rPr>
        <w:t>损益。</w:t>
      </w:r>
    </w:p>
    <w:p>
      <w:pPr>
        <w:pStyle w:val="Style22"/>
        <w:keepNext w:val="0"/>
        <w:keepLines w:val="0"/>
        <w:widowControl w:val="0"/>
        <w:numPr>
          <w:ilvl w:val="0"/>
          <w:numId w:val="89"/>
        </w:numPr>
        <w:shd w:val="clear" w:color="auto" w:fill="auto"/>
        <w:bidi w:val="0"/>
        <w:spacing w:before="0" w:after="0" w:line="310" w:lineRule="exact"/>
        <w:ind w:left="0" w:right="0" w:firstLine="440"/>
        <w:jc w:val="both"/>
      </w:pPr>
      <w:bookmarkStart w:id="1169" w:name="bookmark1169"/>
      <w:bookmarkEnd w:id="1169"/>
      <w:r>
        <w:rPr>
          <w:color w:val="000000"/>
          <w:spacing w:val="0"/>
          <w:w w:val="100"/>
          <w:position w:val="0"/>
        </w:rPr>
        <w:t>公允价值计量</w:t>
      </w:r>
    </w:p>
    <w:p>
      <w:pPr>
        <w:pStyle w:val="Style22"/>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本公司的某些资产和负债在财务报表中按公允价值计量。在对某项资产或负债的公允价值作出估计时，本公司采用可 获得的可观察市场数据；如果无法获得第一层次输入值，则聘用第三方有资质的评估机构进行估值，在此过程中本公司管理 层与其紧密合作，以确定适当的估值技术和相关模型的输入值。在确定各类资产和负债的公允价值的过程中所采用的估值技 术和输入值的相关信息在本附注五</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w:t>
      </w:r>
    </w:p>
    <w:p>
      <w:pPr>
        <w:pStyle w:val="Style37"/>
        <w:keepNext/>
        <w:keepLines/>
        <w:widowControl w:val="0"/>
        <w:shd w:val="clear" w:color="auto" w:fill="auto"/>
        <w:bidi w:val="0"/>
        <w:spacing w:before="0" w:after="300" w:line="310" w:lineRule="exact"/>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sz w:val="18"/>
          <w:szCs w:val="18"/>
        </w:rPr>
        <w:t>4</w:t>
      </w:r>
      <w:bookmarkEnd w:id="1172"/>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、重要会计政策和会计估计变更</w:t>
      </w:r>
      <w:bookmarkEnd w:id="1170"/>
      <w:bookmarkEnd w:id="1171"/>
      <w:bookmarkEnd w:id="1173"/>
    </w:p>
    <w:p>
      <w:pPr>
        <w:pStyle w:val="Style37"/>
        <w:keepNext/>
        <w:keepLines/>
        <w:widowControl w:val="0"/>
        <w:shd w:val="clear" w:color="auto" w:fill="auto"/>
        <w:bidi w:val="0"/>
        <w:spacing w:before="0" w:after="360" w:line="310" w:lineRule="exact"/>
        <w:ind w:left="0" w:right="0" w:firstLine="0"/>
        <w:jc w:val="left"/>
      </w:pPr>
      <w:bookmarkStart w:id="1170" w:name="bookmark1170"/>
      <w:bookmarkStart w:id="1171" w:name="bookmark1171"/>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）重要会计政策变更</w:t>
      </w:r>
      <w:bookmarkEnd w:id="1170"/>
      <w:bookmarkEnd w:id="1171"/>
      <w:bookmarkEnd w:id="1175"/>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973"/>
        <w:gridCol w:w="3542"/>
        <w:gridCol w:w="107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 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依据财政部公告，公司自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执行新租赁准则，无需审议。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bl>
    <w:p>
      <w:pPr>
        <w:pStyle w:val="Style29"/>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新租赁准则完善了租赁的定义，本公司在新租赁准则下根据租赁的定义评估合同是否为租赁或者包含租赁。对于 首次执行日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前已存在的合同，本公司在首次执行日选择不重新评估其是否为租赁或者包含租赁。</w:t>
      </w:r>
    </w:p>
    <w:p>
      <w:pPr>
        <w:widowControl w:val="0"/>
        <w:spacing w:after="239" w:line="1" w:lineRule="exact"/>
      </w:pPr>
    </w:p>
    <w:p>
      <w:pPr>
        <w:pStyle w:val="Style22"/>
        <w:keepNext w:val="0"/>
        <w:keepLines w:val="0"/>
        <w:widowControl w:val="0"/>
        <w:shd w:val="clear" w:color="auto" w:fill="auto"/>
        <w:tabs>
          <w:tab w:pos="831" w:val="left"/>
        </w:tabs>
        <w:bidi w:val="0"/>
        <w:spacing w:before="0" w:after="0" w:line="314" w:lineRule="exact"/>
        <w:ind w:left="0" w:right="0" w:firstLine="440"/>
        <w:jc w:val="left"/>
      </w:pPr>
      <w:bookmarkStart w:id="1176" w:name="bookmark1176"/>
      <w:r>
        <w:rPr>
          <w:rFonts w:ascii="Times New Roman" w:eastAsia="Times New Roman" w:hAnsi="Times New Roman" w:cs="Times New Roman"/>
          <w:color w:val="000000"/>
          <w:spacing w:val="0"/>
          <w:w w:val="100"/>
          <w:position w:val="0"/>
          <w:sz w:val="18"/>
          <w:szCs w:val="18"/>
        </w:rPr>
        <w:t>（</w:t>
      </w:r>
      <w:bookmarkEnd w:id="117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本公司作为承租人</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原租赁准则下，本公司根据租赁是否实质上将与资产所有权有关的全部风险和报酬转移给本公司，将租赁分为融资租 赁和经营租赁。</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新租赁准则下，本公司不再区分融资租赁与经营租赁，对所有租赁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选择简化处理方法的短期租赁和低价值资产租赁除 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确认使用权资产和租赁负债。</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本公司选择根据首次执行新租赁准则的累积影响数，调整首次执行新租赁准则当年年初留存收益及财务报表其他相关 项目金额，不调整可比期间信息。</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对于首次执行日前的经营租赁，本公司在首次执行日根据剩余租赁付款额按首次执行日本公司增量借款利率折现的现 值计量租赁负债，按照与租赁负债相等的金额计量使用权资产，并根据预付租金进行必要调整。本公司在应用上述方法的同 时根据每项租赁选择采用下列一项或多项简化处理：</w:t>
      </w:r>
    </w:p>
    <w:p>
      <w:pPr>
        <w:pStyle w:val="Style22"/>
        <w:keepNext w:val="0"/>
        <w:keepLines w:val="0"/>
        <w:widowControl w:val="0"/>
        <w:shd w:val="clear" w:color="auto" w:fill="auto"/>
        <w:tabs>
          <w:tab w:pos="759" w:val="left"/>
        </w:tabs>
        <w:bidi w:val="0"/>
        <w:spacing w:before="0" w:after="0" w:line="314" w:lineRule="exact"/>
        <w:ind w:left="0" w:right="0" w:firstLine="440"/>
        <w:jc w:val="left"/>
      </w:pPr>
      <w:bookmarkStart w:id="1177" w:name="bookmark1177"/>
      <w:r>
        <w:rPr>
          <w:rFonts w:ascii="Times New Roman" w:eastAsia="Times New Roman" w:hAnsi="Times New Roman" w:cs="Times New Roman"/>
          <w:color w:val="000000"/>
          <w:spacing w:val="0"/>
          <w:w w:val="100"/>
          <w:position w:val="0"/>
          <w:sz w:val="18"/>
          <w:szCs w:val="18"/>
        </w:rPr>
        <w:t>1</w:t>
      </w:r>
      <w:bookmarkEnd w:id="117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对将于首次执行日后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22"/>
        <w:keepNext w:val="0"/>
        <w:keepLines w:val="0"/>
        <w:widowControl w:val="0"/>
        <w:shd w:val="clear" w:color="auto" w:fill="auto"/>
        <w:tabs>
          <w:tab w:pos="778" w:val="left"/>
        </w:tabs>
        <w:bidi w:val="0"/>
        <w:spacing w:before="0" w:after="0" w:line="314" w:lineRule="exact"/>
        <w:ind w:left="0" w:right="0" w:firstLine="440"/>
        <w:jc w:val="left"/>
      </w:pPr>
      <w:bookmarkStart w:id="1178" w:name="bookmark1178"/>
      <w:r>
        <w:rPr>
          <w:rFonts w:ascii="Times New Roman" w:eastAsia="Times New Roman" w:hAnsi="Times New Roman" w:cs="Times New Roman"/>
          <w:color w:val="000000"/>
          <w:spacing w:val="0"/>
          <w:w w:val="100"/>
          <w:position w:val="0"/>
          <w:sz w:val="18"/>
          <w:szCs w:val="18"/>
        </w:rPr>
        <w:t>2</w:t>
      </w:r>
      <w:bookmarkEnd w:id="117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计量租赁负债时，对具有相似特征的租赁采用同一折现率；</w:t>
      </w:r>
    </w:p>
    <w:p>
      <w:pPr>
        <w:pStyle w:val="Style22"/>
        <w:keepNext w:val="0"/>
        <w:keepLines w:val="0"/>
        <w:widowControl w:val="0"/>
        <w:shd w:val="clear" w:color="auto" w:fill="auto"/>
        <w:tabs>
          <w:tab w:pos="778" w:val="left"/>
        </w:tabs>
        <w:bidi w:val="0"/>
        <w:spacing w:before="0" w:after="0" w:line="314" w:lineRule="exact"/>
        <w:ind w:left="0" w:right="0" w:firstLine="440"/>
        <w:jc w:val="left"/>
      </w:pPr>
      <w:bookmarkStart w:id="1179" w:name="bookmark1179"/>
      <w:r>
        <w:rPr>
          <w:rFonts w:ascii="Times New Roman" w:eastAsia="Times New Roman" w:hAnsi="Times New Roman" w:cs="Times New Roman"/>
          <w:color w:val="000000"/>
          <w:spacing w:val="0"/>
          <w:w w:val="100"/>
          <w:position w:val="0"/>
          <w:sz w:val="18"/>
          <w:szCs w:val="18"/>
        </w:rPr>
        <w:t>3</w:t>
      </w:r>
      <w:bookmarkEnd w:id="11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使用权资产的计量不包含初始直接费用；</w:t>
      </w:r>
    </w:p>
    <w:p>
      <w:pPr>
        <w:pStyle w:val="Style22"/>
        <w:keepNext w:val="0"/>
        <w:keepLines w:val="0"/>
        <w:widowControl w:val="0"/>
        <w:shd w:val="clear" w:color="auto" w:fill="auto"/>
        <w:tabs>
          <w:tab w:pos="778" w:val="left"/>
        </w:tabs>
        <w:bidi w:val="0"/>
        <w:spacing w:before="0" w:after="0" w:line="314" w:lineRule="exact"/>
        <w:ind w:left="0" w:right="0" w:firstLine="440"/>
        <w:jc w:val="left"/>
      </w:pPr>
      <w:bookmarkStart w:id="1180" w:name="bookmark1180"/>
      <w:r>
        <w:rPr>
          <w:rFonts w:ascii="Times New Roman" w:eastAsia="Times New Roman" w:hAnsi="Times New Roman" w:cs="Times New Roman"/>
          <w:color w:val="000000"/>
          <w:spacing w:val="0"/>
          <w:w w:val="100"/>
          <w:position w:val="0"/>
          <w:sz w:val="18"/>
          <w:szCs w:val="18"/>
        </w:rPr>
        <w:t>4</w:t>
      </w:r>
      <w:bookmarkEnd w:id="11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存在续租选择权或终止租赁选择权的，根据首次执行日前选择权的实际行使及其他最新情况确定租赁期；</w:t>
      </w:r>
    </w:p>
    <w:p>
      <w:pPr>
        <w:pStyle w:val="Style22"/>
        <w:keepNext w:val="0"/>
        <w:keepLines w:val="0"/>
        <w:widowControl w:val="0"/>
        <w:shd w:val="clear" w:color="auto" w:fill="auto"/>
        <w:tabs>
          <w:tab w:pos="756" w:val="left"/>
        </w:tabs>
        <w:bidi w:val="0"/>
        <w:spacing w:before="0" w:after="0" w:line="314" w:lineRule="exact"/>
        <w:ind w:left="0" w:right="0" w:firstLine="440"/>
        <w:jc w:val="both"/>
      </w:pPr>
      <w:bookmarkStart w:id="1181" w:name="bookmark1181"/>
      <w:r>
        <w:rPr>
          <w:rFonts w:ascii="Times New Roman" w:eastAsia="Times New Roman" w:hAnsi="Times New Roman" w:cs="Times New Roman"/>
          <w:color w:val="000000"/>
          <w:spacing w:val="0"/>
          <w:w w:val="100"/>
          <w:position w:val="0"/>
          <w:sz w:val="18"/>
          <w:szCs w:val="18"/>
        </w:rPr>
        <w:t>5</w:t>
      </w:r>
      <w:bookmarkEnd w:id="11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作为使用权资产减值测试的替代，根据《企业会计准则第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号——或有事项》评估包含租赁的合同在首次执行日前 是否为亏损合同，并根据首次执行日前计入资产负债表的亏损准备金额调整使用权资产；</w:t>
      </w:r>
    </w:p>
    <w:p>
      <w:pPr>
        <w:pStyle w:val="Style22"/>
        <w:keepNext w:val="0"/>
        <w:keepLines w:val="0"/>
        <w:widowControl w:val="0"/>
        <w:shd w:val="clear" w:color="auto" w:fill="auto"/>
        <w:tabs>
          <w:tab w:pos="756" w:val="left"/>
        </w:tabs>
        <w:bidi w:val="0"/>
        <w:spacing w:before="0" w:after="0" w:line="314" w:lineRule="exact"/>
        <w:ind w:left="0" w:right="0" w:firstLine="440"/>
        <w:jc w:val="both"/>
      </w:pPr>
      <w:bookmarkStart w:id="1182" w:name="bookmark1182"/>
      <w:r>
        <w:rPr>
          <w:rFonts w:ascii="Times New Roman" w:eastAsia="Times New Roman" w:hAnsi="Times New Roman" w:cs="Times New Roman"/>
          <w:color w:val="000000"/>
          <w:spacing w:val="0"/>
          <w:w w:val="100"/>
          <w:position w:val="0"/>
          <w:sz w:val="18"/>
          <w:szCs w:val="18"/>
        </w:rPr>
        <w:t>6</w:t>
      </w:r>
      <w:bookmarkEnd w:id="11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对首次执行新租赁准则当年年初之前发生的租赁变更，不进行追溯调整，根据租赁变更的最终安排，按照新租赁准 则进行会计处理。</w:t>
      </w:r>
    </w:p>
    <w:p>
      <w:pPr>
        <w:pStyle w:val="Style22"/>
        <w:keepNext w:val="0"/>
        <w:keepLines w:val="0"/>
        <w:widowControl w:val="0"/>
        <w:shd w:val="clear" w:color="auto" w:fill="auto"/>
        <w:tabs>
          <w:tab w:pos="831" w:val="left"/>
        </w:tabs>
        <w:bidi w:val="0"/>
        <w:spacing w:before="0" w:after="0" w:line="314" w:lineRule="exact"/>
        <w:ind w:left="0" w:right="0" w:firstLine="440"/>
        <w:jc w:val="left"/>
      </w:pPr>
      <w:bookmarkStart w:id="1183" w:name="bookmark1183"/>
      <w:r>
        <w:rPr>
          <w:rFonts w:ascii="Times New Roman" w:eastAsia="Times New Roman" w:hAnsi="Times New Roman" w:cs="Times New Roman"/>
          <w:color w:val="000000"/>
          <w:spacing w:val="0"/>
          <w:w w:val="100"/>
          <w:position w:val="0"/>
          <w:sz w:val="18"/>
          <w:szCs w:val="18"/>
        </w:rPr>
        <w:t>（</w:t>
      </w:r>
      <w:bookmarkEnd w:id="118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本公司作为出租人</w:t>
      </w:r>
    </w:p>
    <w:p>
      <w:pPr>
        <w:pStyle w:val="Style2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在新租赁准则下，本公司作为转租出租人应基于原租赁产生的使用权资产，而不是原租赁的标的资产，对转租赁进行 分类。对于首次执行日前划分为经营租赁且在首次执行日后仍存续的转租赁，本公司在首次执行日基于原租赁和转租赁的剩 余合同期限和条款进行重新评估，并按照新租赁准则的规定进行分类。重分类为融资租赁的，本公司将其作为一项新的融资 租赁进行会计处理。</w:t>
      </w:r>
    </w:p>
    <w:p>
      <w:pPr>
        <w:pStyle w:val="Style2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除转租赁外，本公司无需对其作为出租人的租赁调整首次执行新租赁准则当年年初留存收益及财务报表其他相关项目 金额。本公司自首次执行日起按照新租赁准则进行会计处理。</w:t>
      </w:r>
    </w:p>
    <w:p>
      <w:pPr>
        <w:pStyle w:val="Style22"/>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本公司在首次执行日执行新租赁准则追溯调整当期期初留存收益及财务报表项目情况详见本附注五</w:t>
      </w:r>
      <w:r>
        <w:rPr>
          <w:rFonts w:ascii="Times New Roman" w:eastAsia="Times New Roman" w:hAnsi="Times New Roman" w:cs="Times New Roman"/>
          <w:color w:val="000000"/>
          <w:spacing w:val="0"/>
          <w:w w:val="100"/>
          <w:position w:val="0"/>
          <w:sz w:val="18"/>
          <w:szCs w:val="18"/>
        </w:rPr>
        <w:t>（44）3</w:t>
      </w:r>
      <w:r>
        <w:rPr>
          <w:color w:val="000000"/>
          <w:spacing w:val="0"/>
          <w:w w:val="100"/>
          <w:position w:val="0"/>
        </w:rPr>
        <w:t>之说明。本公 司在首次执行日确认租赁负债采用承租人增量借款利率。本公司在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日披露的重大经营租赁尚未支付的最低租赁 付款额，按首次执行日承租人增量借款利率折现的现值为</w:t>
      </w:r>
      <w:r>
        <w:rPr>
          <w:rFonts w:ascii="Times New Roman" w:eastAsia="Times New Roman" w:hAnsi="Times New Roman" w:cs="Times New Roman"/>
          <w:color w:val="000000"/>
          <w:spacing w:val="0"/>
          <w:w w:val="100"/>
          <w:position w:val="0"/>
          <w:sz w:val="18"/>
          <w:szCs w:val="18"/>
        </w:rPr>
        <w:t>240,429,798.67</w:t>
      </w:r>
      <w:r>
        <w:rPr>
          <w:color w:val="000000"/>
          <w:spacing w:val="0"/>
          <w:w w:val="100"/>
          <w:position w:val="0"/>
        </w:rPr>
        <w:t xml:space="preserve">元，该等租赁合同在首次执行日确认的租赁负债为 </w:t>
      </w:r>
      <w:r>
        <w:rPr>
          <w:rFonts w:ascii="Times New Roman" w:eastAsia="Times New Roman" w:hAnsi="Times New Roman" w:cs="Times New Roman"/>
          <w:color w:val="000000"/>
          <w:spacing w:val="0"/>
          <w:w w:val="100"/>
          <w:position w:val="0"/>
          <w:sz w:val="18"/>
          <w:szCs w:val="18"/>
        </w:rPr>
        <w:t>177,684,162.78</w:t>
      </w:r>
      <w:r>
        <w:rPr>
          <w:color w:val="000000"/>
          <w:spacing w:val="0"/>
          <w:w w:val="100"/>
          <w:position w:val="0"/>
        </w:rPr>
        <w:t>元，二者差额为</w:t>
      </w:r>
      <w:r>
        <w:rPr>
          <w:rFonts w:ascii="Times New Roman" w:eastAsia="Times New Roman" w:hAnsi="Times New Roman" w:cs="Times New Roman"/>
          <w:color w:val="000000"/>
          <w:spacing w:val="0"/>
          <w:w w:val="100"/>
          <w:position w:val="0"/>
          <w:sz w:val="18"/>
          <w:szCs w:val="18"/>
        </w:rPr>
        <w:t>62,745,635.89</w:t>
      </w:r>
      <w:r>
        <w:rPr>
          <w:color w:val="000000"/>
          <w:spacing w:val="0"/>
          <w:w w:val="100"/>
          <w:position w:val="0"/>
        </w:rPr>
        <w:t>元，差异主要是符合简化处理条件的低价值租赁、短期租赁以及在首次执行日剩 余期限小于一年的租赁无需确认租赁负债。</w:t>
      </w:r>
    </w:p>
    <w:p>
      <w:pPr>
        <w:pStyle w:val="Style33"/>
        <w:keepNext/>
        <w:keepLines/>
        <w:widowControl w:val="0"/>
        <w:shd w:val="clear" w:color="auto" w:fill="auto"/>
        <w:tabs>
          <w:tab w:pos="493" w:val="left"/>
        </w:tabs>
        <w:bidi w:val="0"/>
        <w:spacing w:before="0" w:after="380" w:line="240" w:lineRule="auto"/>
        <w:ind w:left="0" w:right="0" w:firstLine="0"/>
        <w:jc w:val="both"/>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84"/>
      <w:bookmarkEnd w:id="1185"/>
      <w:bookmarkEnd w:id="1187"/>
    </w:p>
    <w:p>
      <w:pPr>
        <w:pStyle w:val="Style2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both"/>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88"/>
      <w:bookmarkEnd w:id="1189"/>
      <w:bookmarkEnd w:id="1191"/>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合并资产负债表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2,868,947,656.46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2,868,947,656.46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36,837,945.12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36,837,945.12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3,307,239,160.97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3,307,239,160.97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514,606,032.81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514,606,032.81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41,431,513.69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39,037,101.53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-2,394,412.16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122,025,481.13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122,025,481.13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634,309,472.37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634,309,472.37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110,739,594.64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110,739,594.64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7,636,136,857.19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7,633,742,445.03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-2,394,412.16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201,127,678.59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201,127,678.59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8,694,551.96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8,694,551.96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61,979,554.86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61,979,554.86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642,413,087.04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642,413,087.04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167,171,849.22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167,171,849.22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273,261,933.47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273,261,933.47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9,248,521.93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9,248,521.93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46,793,102.32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46,793,102.32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141,390,713.82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141,390,713.82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17,020,631.26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17,020,631.26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3,195,240.00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3,195,240.00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1,405,125,015.25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1,572,296,864.47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167,171,849.22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9,041,261,872.44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9,206,039,309.50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164,777,437.06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2,193,277,148.49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2,193,277,148.49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424,041.00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424,041.00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74,250,889.32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74,250,889.32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444,737,342.76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444,737,342.76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937,804,469.00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937,804,469.00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138,290,986.72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138,290,986.72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261,694,730.39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250,706,077.85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-10,988,652.54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53,363,231.41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53,363,231.41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126,979,127.27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126,979,127.27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4,230,821,966.36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4,219,833,313.82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-10,988,652.54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584,084,581.08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584,084,581.08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177,684,162.78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177,684,162.78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81,770,635.19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81,770,635.19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69,563,297.44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69,563,297.44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735,418,513.71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913,102,676.49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177,684,162.78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4,966,240,480.07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5,132,935,990.31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166,695,510.24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2,644,352,958.54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2,644,352,958.54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-16,949,929.15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-16,949,929.15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23,417,267.39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23,417,267.39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1,106,921,372.44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1,105,003,299.26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-1,918,073.18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4,117,741,669.22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4,115,823,596.04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-1,918,073.18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-42,720,276.85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-42,720,276.85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4,075,021,392.37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4,073,103,319.19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-1,918,073.18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9,041,261,872.44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9,206,039,309.50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164,777,437.06</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除对本表列示的合并资产负债表项目进行调整外，首次执行新租赁准则未对其他合并资产负债表项目的首次执行当年年初账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面价值产生影响。</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1,607,095,180.58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1,607,095,180.58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33,822,934.05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33,822,934.05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1,587,785,026.43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1,587,785,026.43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4,814,558.62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4,814,558.62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103,743,312.20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103,743,312.20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1,344,158,710.83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1,344,158,710.83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414,506,568.40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414,506,568.40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25,410,512.55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25,410,512.55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5,121,336,803.66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5,121,336,803.66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2,490,398,565.91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2,490,398,565.91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8,694,551.96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8,694,551.96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35,446,152.03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35,446,152.03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11,522,848.92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11,522,848.92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62,287,116.64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62,287,116.64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9,248,521.93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9,248,521.93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47,005,068.45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47,005,068.45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26,124,185.24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26,124,185.24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2,682,204,162.16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2,693,727,011.08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11,522,848.92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7,803,540,965.82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7,815,063,814.74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11,522,848.92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961,265,236.12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961,265,236.12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1,557,808,467.60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1,557,808,467.60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517,935,063.75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517,935,063.75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123,881,242.66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123,881,242.66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29,681,617.40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29,681,617.40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1,187,472,514.57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1,186,348,549.31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-1,123,965.26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52,098,978.61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52,098,978.61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33,573,593.62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33,573,593.62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4,463,716,714.33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4,462,592,749.07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-1,123,965.26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579,028,833.88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579,028,833.88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12,548,261.37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12,548,261.37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26,178,406.21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26,178,406.21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3,150,230.30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3,150,230.30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608,357,470.39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620,905,731.76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12,548,261.37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5,072,074,184.72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5,083,498,480.83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11,424,296.11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2,144,694,690.01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2,144,694,690.01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-7,400,582.83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-7,400,582.83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23,417,267.39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23,417,267.39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210,755,406.53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210,853,959.34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98,552.81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2,731,466,781.10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2,731,565,333.91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98,552.81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7,803,540,965.82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7,815,063,814.74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11,522,848.92</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除对本表列示的母公司资产负债表项目进行调整外，首次执行新租赁准则未对其他母公司资产负债表项目的首次执行当年年 初账面价值产生影响。</w:t>
      </w:r>
    </w:p>
    <w:p>
      <w:pPr>
        <w:pStyle w:val="Style33"/>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92"/>
      <w:bookmarkEnd w:id="1193"/>
      <w:bookmarkEnd w:id="1195"/>
    </w:p>
    <w:p>
      <w:pPr>
        <w:pStyle w:val="Style2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80" w:line="240" w:lineRule="auto"/>
        <w:ind w:left="0" w:right="0" w:firstLine="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96"/>
      <w:bookmarkEnd w:id="1197"/>
      <w:bookmarkEnd w:id="1198"/>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sz w:val="24"/>
          <w:szCs w:val="24"/>
        </w:rPr>
        <w:t>六</w:t>
      </w:r>
      <w:bookmarkEnd w:id="1201"/>
      <w:r>
        <w:rPr>
          <w:color w:val="000000"/>
          <w:spacing w:val="0"/>
          <w:w w:val="100"/>
          <w:position w:val="0"/>
          <w:sz w:val="24"/>
          <w:szCs w:val="24"/>
        </w:rPr>
        <w:t>、税项</w:t>
      </w:r>
      <w:bookmarkEnd w:id="1199"/>
      <w:bookmarkEnd w:id="1200"/>
      <w:bookmarkEnd w:id="1202"/>
    </w:p>
    <w:p>
      <w:pPr>
        <w:pStyle w:val="Style33"/>
        <w:keepNext/>
        <w:keepLines/>
        <w:widowControl w:val="0"/>
        <w:shd w:val="clear" w:color="auto" w:fill="auto"/>
        <w:bidi w:val="0"/>
        <w:spacing w:before="0" w:after="2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color w:val="000000"/>
          <w:spacing w:val="0"/>
          <w:w w:val="100"/>
          <w:position w:val="0"/>
        </w:rPr>
        <w:t>、主要税种及税率</w:t>
      </w:r>
      <w:bookmarkEnd w:id="1203"/>
      <w:bookmarkEnd w:id="1204"/>
      <w:bookmarkEnd w:id="1206"/>
    </w:p>
    <w:tbl>
      <w:tblPr>
        <w:tblOverlap w:val="never"/>
        <w:jc w:val="center"/>
        <w:tblLayout w:type="fixed"/>
      </w:tblPr>
      <w:tblGrid>
        <w:gridCol w:w="1853"/>
        <w:gridCol w:w="2126"/>
        <w:gridCol w:w="560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销售货物或提供应税劳务 过程中产生的增值额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按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等税率计缴。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16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本公司及境内子公司企业所得税法定税率为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；部分境内公司因享受 高新技术企业、软件企业相关的税收优惠政策适用</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企业所得税税率；境外子公司</w:t>
            </w:r>
            <w:r>
              <w:rPr>
                <w:rFonts w:ascii="Times New Roman" w:eastAsia="Times New Roman" w:hAnsi="Times New Roman" w:cs="Times New Roman"/>
                <w:color w:val="000000"/>
                <w:spacing w:val="0"/>
                <w:w w:val="100"/>
                <w:position w:val="0"/>
                <w:sz w:val="18"/>
                <w:szCs w:val="18"/>
              </w:rPr>
              <w:t>iSoftStone,Inc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联邦政府所得税税率为 </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，州政府所得税税率为</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；境外子公司株式会社</w:t>
            </w:r>
            <w:r>
              <w:rPr>
                <w:rFonts w:ascii="Times New Roman" w:eastAsia="Times New Roman" w:hAnsi="Times New Roman" w:cs="Times New Roman"/>
                <w:color w:val="000000"/>
                <w:spacing w:val="0"/>
                <w:w w:val="100"/>
                <w:position w:val="0"/>
                <w:sz w:val="18"/>
                <w:szCs w:val="18"/>
              </w:rPr>
              <w:t>iSoftStone Japan</w:t>
            </w:r>
            <w:r>
              <w:rPr>
                <w:color w:val="000000"/>
                <w:spacing w:val="0"/>
                <w:w w:val="100"/>
                <w:position w:val="0"/>
              </w:rPr>
              <w:t>综合所得税税率为</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从价计征的，按房产原值一 次减除</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计缴；从租计征的，按租金 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实际土地使用面积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软通动力信息技术（集团）股份有限公司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软通动力技术服务有限公司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南京软通动力信息技术服务有限公司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深圳软通动力信息技术有限公司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西安软通动力网络技术有限公司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北京软通旭天科技发展有限公司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杭州软通信息技术服务有限公司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北京软通动力云计算科技服务有限公司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怀来软通动力信息技术有限公司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软通动力（广州）科技有限公司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上饶市软通数字科技有限公司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境外子公司</w:t>
            </w:r>
            <w:r>
              <w:rPr>
                <w:rFonts w:ascii="Times New Roman" w:eastAsia="Times New Roman" w:hAnsi="Times New Roman" w:cs="Times New Roman"/>
                <w:color w:val="000000"/>
                <w:spacing w:val="0"/>
                <w:w w:val="100"/>
                <w:position w:val="0"/>
                <w:sz w:val="18"/>
                <w:szCs w:val="18"/>
              </w:rPr>
              <w:t>iSoftStone,Inc.</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联邦政府所得税税率为</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sz w:val="17"/>
                <w:szCs w:val="17"/>
              </w:rPr>
              <w:t>，州政府所得税税率为</w:t>
            </w:r>
            <w:r>
              <w:rPr>
                <w:rFonts w:ascii="Times New Roman" w:eastAsia="Times New Roman" w:hAnsi="Times New Roman" w:cs="Times New Roman"/>
                <w:color w:val="000000"/>
                <w:spacing w:val="0"/>
                <w:w w:val="100"/>
                <w:position w:val="0"/>
                <w:sz w:val="18"/>
                <w:szCs w:val="18"/>
              </w:rPr>
              <w:t>1.51%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境外子公司株式会社</w:t>
            </w:r>
            <w:r>
              <w:rPr>
                <w:rFonts w:ascii="Times New Roman" w:eastAsia="Times New Roman" w:hAnsi="Times New Roman" w:cs="Times New Roman"/>
                <w:color w:val="000000"/>
                <w:spacing w:val="0"/>
                <w:w w:val="100"/>
                <w:position w:val="0"/>
                <w:sz w:val="18"/>
                <w:szCs w:val="18"/>
              </w:rPr>
              <w:t>iSoftStone Japan</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综合所得税税率为</w:t>
            </w:r>
            <w:r>
              <w:rPr>
                <w:rFonts w:ascii="Times New Roman" w:eastAsia="Times New Roman" w:hAnsi="Times New Roman" w:cs="Times New Roman"/>
                <w:color w:val="000000"/>
                <w:spacing w:val="0"/>
                <w:w w:val="100"/>
                <w:position w:val="0"/>
                <w:sz w:val="18"/>
                <w:szCs w:val="18"/>
              </w:rPr>
              <w:t>38.00%</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color w:val="000000"/>
          <w:spacing w:val="0"/>
          <w:w w:val="100"/>
          <w:position w:val="0"/>
        </w:rPr>
        <w:t>、税收优惠</w:t>
      </w:r>
      <w:bookmarkEnd w:id="1207"/>
      <w:bookmarkEnd w:id="1208"/>
      <w:bookmarkEnd w:id="1210"/>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，增值税减免：</w:t>
      </w:r>
    </w:p>
    <w:p>
      <w:pPr>
        <w:pStyle w:val="Style22"/>
        <w:keepNext w:val="0"/>
        <w:keepLines w:val="0"/>
        <w:widowControl w:val="0"/>
        <w:shd w:val="clear" w:color="auto" w:fill="auto"/>
        <w:tabs>
          <w:tab w:pos="384" w:val="left"/>
        </w:tabs>
        <w:bidi w:val="0"/>
        <w:spacing w:before="0" w:after="0" w:line="314" w:lineRule="exact"/>
        <w:ind w:left="0" w:right="0" w:firstLine="0"/>
        <w:jc w:val="left"/>
      </w:pPr>
      <w:bookmarkStart w:id="1211" w:name="bookmark1211"/>
      <w:r>
        <w:rPr>
          <w:rFonts w:ascii="Times New Roman" w:eastAsia="Times New Roman" w:hAnsi="Times New Roman" w:cs="Times New Roman"/>
          <w:color w:val="000000"/>
          <w:spacing w:val="0"/>
          <w:w w:val="100"/>
          <w:position w:val="0"/>
          <w:sz w:val="18"/>
          <w:szCs w:val="18"/>
        </w:rPr>
        <w:t>（</w:t>
      </w:r>
      <w:bookmarkEnd w:id="1211"/>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根据《财政部、税务总局、海关总署关于深化增值税改革有关政策的公告》（财政部、税务总局、海关总署公告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 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日，允许生产、生活性服务业纳税人按照当期可抵扣进项税额加计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 纳税额。</w:t>
      </w:r>
    </w:p>
    <w:p>
      <w:pPr>
        <w:pStyle w:val="Style22"/>
        <w:keepNext w:val="0"/>
        <w:keepLines w:val="0"/>
        <w:widowControl w:val="0"/>
        <w:shd w:val="clear" w:color="auto" w:fill="auto"/>
        <w:tabs>
          <w:tab w:pos="384" w:val="left"/>
          <w:tab w:pos="7479" w:val="left"/>
        </w:tabs>
        <w:bidi w:val="0"/>
        <w:spacing w:before="0" w:after="0" w:line="314" w:lineRule="exact"/>
        <w:ind w:left="0" w:right="0" w:firstLine="0"/>
        <w:jc w:val="left"/>
      </w:pPr>
      <w:bookmarkStart w:id="1212" w:name="bookmark1212"/>
      <w:r>
        <w:rPr>
          <w:rFonts w:ascii="Times New Roman" w:eastAsia="Times New Roman" w:hAnsi="Times New Roman" w:cs="Times New Roman"/>
          <w:color w:val="000000"/>
          <w:spacing w:val="0"/>
          <w:w w:val="100"/>
          <w:position w:val="0"/>
          <w:sz w:val="18"/>
          <w:szCs w:val="18"/>
        </w:rPr>
        <w:t>（</w:t>
      </w:r>
      <w:bookmarkEnd w:id="1212"/>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号），纳税人提供技术转</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让、技术开发和与之相关的技术咨询、技术服务免征增值税。</w:t>
      </w:r>
    </w:p>
    <w:p>
      <w:pPr>
        <w:pStyle w:val="Style22"/>
        <w:keepNext w:val="0"/>
        <w:keepLines w:val="0"/>
        <w:widowControl w:val="0"/>
        <w:shd w:val="clear" w:color="auto" w:fill="auto"/>
        <w:tabs>
          <w:tab w:pos="384" w:val="left"/>
          <w:tab w:pos="6567" w:val="left"/>
        </w:tabs>
        <w:bidi w:val="0"/>
        <w:spacing w:before="0" w:after="0" w:line="314" w:lineRule="exact"/>
        <w:ind w:left="0" w:right="0" w:firstLine="0"/>
        <w:jc w:val="left"/>
      </w:pPr>
      <w:bookmarkStart w:id="1213" w:name="bookmark1213"/>
      <w:r>
        <w:rPr>
          <w:rFonts w:ascii="Times New Roman" w:eastAsia="Times New Roman" w:hAnsi="Times New Roman" w:cs="Times New Roman"/>
          <w:color w:val="000000"/>
          <w:spacing w:val="0"/>
          <w:w w:val="100"/>
          <w:position w:val="0"/>
          <w:sz w:val="18"/>
          <w:szCs w:val="18"/>
        </w:rPr>
        <w:t>（</w:t>
      </w:r>
      <w:bookmarkEnd w:id="1213"/>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号），增值税一般纳税人销售其自行</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开发生产的软件产品，对其增值税实际税负超过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2"/>
        <w:keepNext w:val="0"/>
        <w:keepLines w:val="0"/>
        <w:widowControl w:val="0"/>
        <w:shd w:val="clear" w:color="auto" w:fill="auto"/>
        <w:tabs>
          <w:tab w:pos="384" w:val="left"/>
          <w:tab w:pos="7479" w:val="left"/>
        </w:tabs>
        <w:bidi w:val="0"/>
        <w:spacing w:before="0" w:after="0" w:line="314" w:lineRule="exact"/>
        <w:ind w:left="0" w:right="0" w:firstLine="0"/>
        <w:jc w:val="left"/>
      </w:pPr>
      <w:bookmarkStart w:id="1214" w:name="bookmark1214"/>
      <w:r>
        <w:rPr>
          <w:rFonts w:ascii="Times New Roman" w:eastAsia="Times New Roman" w:hAnsi="Times New Roman" w:cs="Times New Roman"/>
          <w:color w:val="000000"/>
          <w:spacing w:val="0"/>
          <w:w w:val="100"/>
          <w:position w:val="0"/>
          <w:sz w:val="18"/>
          <w:szCs w:val="18"/>
        </w:rPr>
        <w:t>（</w:t>
      </w:r>
      <w:bookmarkEnd w:id="1214"/>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号），境内单位向境外单</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位提供离岸服务外包业务，适用增值税零税率政策。</w:t>
      </w:r>
    </w:p>
    <w:p>
      <w:pPr>
        <w:pStyle w:val="Style22"/>
        <w:keepNext w:val="0"/>
        <w:keepLines w:val="0"/>
        <w:widowControl w:val="0"/>
        <w:shd w:val="clear" w:color="auto" w:fill="auto"/>
        <w:tabs>
          <w:tab w:pos="389" w:val="left"/>
        </w:tabs>
        <w:bidi w:val="0"/>
        <w:spacing w:before="0" w:after="0" w:line="320" w:lineRule="exact"/>
        <w:ind w:left="0" w:right="0" w:firstLine="0"/>
        <w:jc w:val="left"/>
      </w:pPr>
      <w:bookmarkStart w:id="1215" w:name="bookmark1215"/>
      <w:r>
        <w:rPr>
          <w:rFonts w:ascii="Times New Roman" w:eastAsia="Times New Roman" w:hAnsi="Times New Roman" w:cs="Times New Roman"/>
          <w:color w:val="000000"/>
          <w:spacing w:val="0"/>
          <w:w w:val="100"/>
          <w:position w:val="0"/>
          <w:sz w:val="18"/>
          <w:szCs w:val="18"/>
        </w:rPr>
        <w:t>（</w:t>
      </w:r>
      <w:bookmarkEnd w:id="1215"/>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根据《财政部、税务总局关于明确养老机构免征增值税等政策的通知》（财税〔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日，对企业集团内单位（含企业集团）之间的资金无偿借贷行为，免征增值税。根据《关于延长部分税收优惠政策 执行期限的公告》（财税〔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号），集团内资金无偿借贷，税收优惠政策于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日到期后，执行期限延长至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2"/>
        <w:keepNext w:val="0"/>
        <w:keepLines w:val="0"/>
        <w:widowControl w:val="0"/>
        <w:shd w:val="clear" w:color="auto" w:fill="auto"/>
        <w:tabs>
          <w:tab w:pos="384" w:val="left"/>
        </w:tabs>
        <w:bidi w:val="0"/>
        <w:spacing w:before="0" w:after="0" w:line="320" w:lineRule="exact"/>
        <w:ind w:left="0" w:right="0" w:firstLine="0"/>
        <w:jc w:val="left"/>
      </w:pPr>
      <w:bookmarkStart w:id="1216" w:name="bookmark1216"/>
      <w:r>
        <w:rPr>
          <w:rFonts w:ascii="Times New Roman" w:eastAsia="Times New Roman" w:hAnsi="Times New Roman" w:cs="Times New Roman"/>
          <w:color w:val="000000"/>
          <w:spacing w:val="0"/>
          <w:w w:val="100"/>
          <w:position w:val="0"/>
          <w:sz w:val="18"/>
          <w:szCs w:val="18"/>
        </w:rPr>
        <w:t>（</w:t>
      </w:r>
      <w:bookmarkEnd w:id="1216"/>
      <w:r>
        <w:rPr>
          <w:rFonts w:ascii="Times New Roman" w:eastAsia="Times New Roman" w:hAnsi="Times New Roman" w:cs="Times New Roman"/>
          <w:color w:val="000000"/>
          <w:spacing w:val="0"/>
          <w:w w:val="100"/>
          <w:position w:val="0"/>
          <w:sz w:val="18"/>
          <w:szCs w:val="18"/>
        </w:rPr>
        <w:t>6）</w:t>
        <w:tab/>
      </w:r>
      <w:r>
        <w:rPr>
          <w:color w:val="000000"/>
          <w:spacing w:val="0"/>
          <w:w w:val="100"/>
          <w:position w:val="0"/>
        </w:rPr>
        <w:t>根据《财政部、国家税务总局关于出口货物劳务增值税和消费税政策的通知》（财税〔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号），出口企业或其他 单位出口的软件产品（海关税则号前四位为</w:t>
      </w:r>
      <w:r>
        <w:rPr>
          <w:rFonts w:ascii="Times New Roman" w:eastAsia="Times New Roman" w:hAnsi="Times New Roman" w:cs="Times New Roman"/>
          <w:color w:val="000000"/>
          <w:spacing w:val="0"/>
          <w:w w:val="100"/>
          <w:position w:val="0"/>
          <w:sz w:val="18"/>
          <w:szCs w:val="18"/>
        </w:rPr>
        <w:t>“9803”</w:t>
      </w:r>
      <w:r>
        <w:rPr>
          <w:color w:val="000000"/>
          <w:spacing w:val="0"/>
          <w:w w:val="100"/>
          <w:position w:val="0"/>
        </w:rPr>
        <w:t>的货物）适用增值税免税政策。</w:t>
      </w:r>
    </w:p>
    <w:p>
      <w:pPr>
        <w:pStyle w:val="Style22"/>
        <w:keepNext w:val="0"/>
        <w:keepLines w:val="0"/>
        <w:widowControl w:val="0"/>
        <w:shd w:val="clear" w:color="auto" w:fill="auto"/>
        <w:tabs>
          <w:tab w:pos="384" w:val="left"/>
        </w:tabs>
        <w:bidi w:val="0"/>
        <w:spacing w:before="0" w:after="0" w:line="320" w:lineRule="exact"/>
        <w:ind w:left="0" w:right="0" w:firstLine="0"/>
        <w:jc w:val="left"/>
      </w:pPr>
      <w:bookmarkStart w:id="1217" w:name="bookmark1217"/>
      <w:r>
        <w:rPr>
          <w:rFonts w:ascii="Times New Roman" w:eastAsia="Times New Roman" w:hAnsi="Times New Roman" w:cs="Times New Roman"/>
          <w:color w:val="000000"/>
          <w:spacing w:val="0"/>
          <w:w w:val="100"/>
          <w:position w:val="0"/>
          <w:sz w:val="18"/>
          <w:szCs w:val="18"/>
        </w:rPr>
        <w:t>（</w:t>
      </w:r>
      <w:bookmarkEnd w:id="1217"/>
      <w:r>
        <w:rPr>
          <w:rFonts w:ascii="Times New Roman" w:eastAsia="Times New Roman" w:hAnsi="Times New Roman" w:cs="Times New Roman"/>
          <w:color w:val="000000"/>
          <w:spacing w:val="0"/>
          <w:w w:val="100"/>
          <w:position w:val="0"/>
          <w:sz w:val="18"/>
          <w:szCs w:val="18"/>
        </w:rPr>
        <w:t>7）</w:t>
        <w:tab/>
      </w:r>
      <w:r>
        <w:rPr>
          <w:color w:val="000000"/>
          <w:spacing w:val="0"/>
          <w:w w:val="100"/>
          <w:position w:val="0"/>
        </w:rPr>
        <w:t>根据《财政部、税务总局关于支持个体工商户复工复业增值税政策的公告》（财政部、税务总局公告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 《财政部、税务总局关于延长小规模纳税人减免增值税政策执行期限的公告》（财政部税务总局公告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号）、《财</w:t>
      </w:r>
    </w:p>
    <w:p>
      <w:pPr>
        <w:pStyle w:val="Style22"/>
        <w:keepNext w:val="0"/>
        <w:keepLines w:val="0"/>
        <w:widowControl w:val="0"/>
        <w:shd w:val="clear" w:color="auto" w:fill="auto"/>
        <w:bidi w:val="0"/>
        <w:spacing w:before="0" w:after="0" w:line="320" w:lineRule="exact"/>
        <w:ind w:left="0" w:right="0" w:firstLine="0"/>
        <w:jc w:val="left"/>
      </w:pPr>
      <w:r>
        <w:rPr>
          <w:color w:val="000000"/>
          <w:spacing w:val="0"/>
          <w:w w:val="100"/>
          <w:position w:val="0"/>
        </w:rPr>
        <w:t>政部税务总局关于延续实施应对疫情部分税费优惠政策的公告》（财政部税务总局公告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日，湖北省增值税小规模纳税人，适用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征收率的应税销售收入，免征增值税；自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日，湖北省增值税小规模纳税人，适用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征收率的应税销售收入，减按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征收率征收增值税；自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日，其他省、自治区、直辖市的增值税小规模纳税人，适用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征收率的应税销售收入，减按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征收率征收增值税。 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的披露要求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,企业所得税减免：</w:t>
      </w:r>
    </w:p>
    <w:p>
      <w:pPr>
        <w:pStyle w:val="Style2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高新技术企业税收优惠政策</w:t>
      </w:r>
    </w:p>
    <w:p>
      <w:pPr>
        <w:pStyle w:val="Style22"/>
        <w:keepNext w:val="0"/>
        <w:keepLines w:val="0"/>
        <w:widowControl w:val="0"/>
        <w:shd w:val="clear" w:color="auto" w:fill="auto"/>
        <w:tabs>
          <w:tab w:pos="8544" w:val="left"/>
        </w:tabs>
        <w:bidi w:val="0"/>
        <w:spacing w:before="0" w:after="0" w:line="320" w:lineRule="exact"/>
        <w:ind w:left="0" w:right="0" w:firstLine="0"/>
        <w:jc w:val="left"/>
      </w:pPr>
      <w:r>
        <w:rPr>
          <w:color w:val="000000"/>
          <w:spacing w:val="0"/>
          <w:w w:val="100"/>
          <w:position w:val="0"/>
        </w:rPr>
        <w:t>根据《科技部、财政部、国家税务总局关于印发</w:t>
      </w:r>
      <w:r>
        <w:rPr>
          <w:color w:val="000000"/>
          <w:spacing w:val="0"/>
          <w:w w:val="100"/>
          <w:position w:val="0"/>
          <w:sz w:val="18"/>
          <w:szCs w:val="18"/>
        </w:rPr>
        <w:t>〈</w:t>
      </w:r>
      <w:r>
        <w:rPr>
          <w:color w:val="000000"/>
          <w:spacing w:val="0"/>
          <w:w w:val="100"/>
          <w:position w:val="0"/>
        </w:rPr>
        <w:t>高新技术企业认定管理办法</w:t>
      </w:r>
      <w:r>
        <w:rPr>
          <w:color w:val="000000"/>
          <w:spacing w:val="0"/>
          <w:w w:val="100"/>
          <w:position w:val="0"/>
          <w:sz w:val="18"/>
          <w:szCs w:val="18"/>
        </w:rPr>
        <w:t>〉</w:t>
      </w:r>
      <w:r>
        <w:rPr>
          <w:color w:val="000000"/>
          <w:spacing w:val="0"/>
          <w:w w:val="100"/>
          <w:position w:val="0"/>
        </w:rPr>
        <w:t>的通知》（国科发火〔</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号）、《国</w:t>
      </w:r>
    </w:p>
    <w:p>
      <w:pPr>
        <w:pStyle w:val="Style22"/>
        <w:keepNext w:val="0"/>
        <w:keepLines w:val="0"/>
        <w:widowControl w:val="0"/>
        <w:shd w:val="clear" w:color="auto" w:fill="auto"/>
        <w:bidi w:val="0"/>
        <w:spacing w:before="0" w:after="300" w:line="320" w:lineRule="exact"/>
        <w:ind w:left="0" w:right="0" w:firstLine="0"/>
        <w:jc w:val="left"/>
      </w:pPr>
      <w:r>
        <w:rPr>
          <w:color w:val="000000"/>
          <w:spacing w:val="0"/>
          <w:w w:val="100"/>
          <w:position w:val="0"/>
        </w:rPr>
        <w:t>家税务总局关于实施高新技术企业所得税优惠政策有关问题的公告》（国家税务总局公告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号），企业获得高新技 术企业资格后，自高新技术企业证书注明的发证时间所在年度起可申报享受企业所得税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优惠税率的税收优惠。报告期内，</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本公司及部分子公司享受企业所得税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的优惠税率政策:</w:t>
      </w:r>
    </w:p>
    <w:tbl>
      <w:tblPr>
        <w:tblOverlap w:val="never"/>
        <w:jc w:val="center"/>
        <w:tblLayout w:type="fixed"/>
      </w:tblPr>
      <w:tblGrid>
        <w:gridCol w:w="734"/>
        <w:gridCol w:w="4502"/>
        <w:gridCol w:w="1925"/>
        <w:gridCol w:w="2515"/>
      </w:tblGrid>
      <w:tr>
        <w:trPr>
          <w:trHeight w:val="35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序号</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公司名称</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取得日期</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年度</w:t>
            </w:r>
          </w:p>
        </w:tc>
      </w:tr>
      <w:tr>
        <w:trPr>
          <w:trHeight w:val="350"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企业所得税税率（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软通动力信息技术（集团）股份有限公司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南京软通动力信息技术服务有限公司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rPr>
                <w:sz w:val="16"/>
                <w:szCs w:val="16"/>
              </w:rPr>
            </w:pPr>
            <w:r>
              <w:rPr>
                <w:color w:val="000000"/>
                <w:spacing w:val="0"/>
                <w:w w:val="100"/>
                <w:position w:val="0"/>
                <w:sz w:val="16"/>
                <w:szCs w:val="16"/>
              </w:rPr>
              <w:t>深圳软通动力信息技术有限公司</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6"/>
                <w:szCs w:val="16"/>
              </w:rPr>
              <w:t>日</w:t>
            </w:r>
          </w:p>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6"/>
                <w:szCs w:val="16"/>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西安软通动力网络技术有限公司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北京软通旭天科技发展有限公司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w:t>
            </w:r>
          </w:p>
        </w:tc>
      </w:tr>
    </w:tbl>
    <w:p>
      <w:pPr>
        <w:pStyle w:val="Style29"/>
        <w:keepNext w:val="0"/>
        <w:keepLines w:val="0"/>
        <w:widowControl w:val="0"/>
        <w:shd w:val="clear" w:color="auto" w:fill="auto"/>
        <w:bidi w:val="0"/>
        <w:spacing w:before="0" w:after="0" w:line="312" w:lineRule="exact"/>
        <w:ind w:left="5"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深圳软通动力信息技术有限公司于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日获得高新技术企业证书，同时为软件企业，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年按照软件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政策享受所得税税收优惠；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年度按照高新技术企业政策享受所得税税收优惠。</w:t>
      </w:r>
    </w:p>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软件企业税收优惠政策</w:t>
      </w:r>
    </w:p>
    <w:p>
      <w:pPr>
        <w:pStyle w:val="Style22"/>
        <w:keepNext w:val="0"/>
        <w:keepLines w:val="0"/>
        <w:widowControl w:val="0"/>
        <w:shd w:val="clear" w:color="auto" w:fill="auto"/>
        <w:bidi w:val="0"/>
        <w:spacing w:before="0" w:line="314" w:lineRule="exact"/>
        <w:ind w:left="0" w:right="0" w:firstLine="0"/>
        <w:jc w:val="both"/>
      </w:pPr>
      <w:r>
        <w:rPr>
          <w:color w:val="000000"/>
          <w:spacing w:val="0"/>
          <w:w w:val="100"/>
          <w:position w:val="0"/>
        </w:rPr>
        <w:t>根据《财政部国家税务总局关于进一步鼓励软件产业和集成电路产业企业所得税政策的通知》（财税〔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号）、《财 政部国家税务总局关于集成电路设计和软件产业企业所得税政策的公告》（财税〔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号）、《财政部国家税务总局关 于集成电路设计企业和软件企业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年度企业所得税汇算清缴适用政策的公告》（财税〔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号）、《财政部税务总局 发展改革委工业和信息化部关于促进集成电路产业和软件产业高质量发展企业所得税政策的公告》（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号），我国 境内符合条件的软件企业，经认定后，自获利年度起，第一年至第二年免征企业所得税，第三年至第五年按照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 率减半征收企业所得税，并享受至期满为止。报告期内，本公司部分子公司享受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的政策。明细情况如下：</w:t>
      </w:r>
    </w:p>
    <w:tbl>
      <w:tblPr>
        <w:tblOverlap w:val="never"/>
        <w:jc w:val="center"/>
        <w:tblLayout w:type="fixed"/>
      </w:tblPr>
      <w:tblGrid>
        <w:gridCol w:w="950"/>
        <w:gridCol w:w="5477"/>
        <w:gridCol w:w="3250"/>
      </w:tblGrid>
      <w:tr>
        <w:trPr>
          <w:trHeight w:val="350" w:hRule="exact"/>
        </w:trPr>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序号</w:t>
            </w:r>
          </w:p>
        </w:tc>
        <w:tc>
          <w:tcPr>
            <w:tcBorders>
              <w:top w:val="single" w:sz="4"/>
              <w:lef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公司名称</w:t>
            </w: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6"/>
                <w:szCs w:val="16"/>
              </w:rPr>
              <w:t>年度</w:t>
            </w:r>
          </w:p>
        </w:tc>
      </w:tr>
      <w:tr>
        <w:trPr>
          <w:trHeight w:val="350"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right w:val="single" w:sz="4"/>
            </w:tcBorders>
            <w:shd w:val="clear" w:color="auto" w:fill="C0C0C0"/>
            <w:vAlign w:val="center"/>
          </w:tcPr>
          <w:p>
            <w:pPr>
              <w:pStyle w:val="Style2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企业所得税税率（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杭州软通信息技术服务有限公司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北京软通动力云计算科技服务有限公司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怀来软通动力信息技术有限公司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软通动力（广州）科技有限公司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上饶市软通数字科技有限公司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bl>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小型微利企业税收优惠政策</w:t>
      </w:r>
    </w:p>
    <w:p>
      <w:pPr>
        <w:pStyle w:val="Style22"/>
        <w:keepNext w:val="0"/>
        <w:keepLines w:val="0"/>
        <w:widowControl w:val="0"/>
        <w:shd w:val="clear" w:color="auto" w:fill="auto"/>
        <w:tabs>
          <w:tab w:pos="279" w:val="left"/>
        </w:tabs>
        <w:bidi w:val="0"/>
        <w:spacing w:before="0" w:after="0" w:line="312" w:lineRule="exact"/>
        <w:ind w:left="0" w:right="0" w:firstLine="0"/>
        <w:jc w:val="both"/>
      </w:pPr>
      <w:bookmarkStart w:id="1218" w:name="bookmark1218"/>
      <w:r>
        <w:rPr>
          <w:rFonts w:ascii="Times New Roman" w:eastAsia="Times New Roman" w:hAnsi="Times New Roman" w:cs="Times New Roman"/>
          <w:color w:val="000000"/>
          <w:spacing w:val="0"/>
          <w:w w:val="100"/>
          <w:position w:val="0"/>
          <w:sz w:val="18"/>
          <w:szCs w:val="18"/>
        </w:rPr>
        <w:t>1</w:t>
      </w:r>
      <w:bookmarkEnd w:id="12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根据《财政部、税务总局关于进一步扩大小型微利企业所得税优惠政策范围的通知》（财税〔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日，对年应纳税所得额低于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万元）的小型微利企业，其所得减按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 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2"/>
        <w:keepNext w:val="0"/>
        <w:keepLines w:val="0"/>
        <w:widowControl w:val="0"/>
        <w:shd w:val="clear" w:color="auto" w:fill="auto"/>
        <w:tabs>
          <w:tab w:pos="289" w:val="left"/>
          <w:tab w:pos="7167" w:val="left"/>
        </w:tabs>
        <w:bidi w:val="0"/>
        <w:spacing w:before="0" w:after="0" w:line="312" w:lineRule="exact"/>
        <w:ind w:left="0" w:right="0" w:firstLine="0"/>
        <w:jc w:val="both"/>
        <w:rPr>
          <w:sz w:val="18"/>
          <w:szCs w:val="18"/>
        </w:rPr>
      </w:pPr>
      <w:bookmarkStart w:id="1219" w:name="bookmark1219"/>
      <w:r>
        <w:rPr>
          <w:rFonts w:ascii="Times New Roman" w:eastAsia="Times New Roman" w:hAnsi="Times New Roman" w:cs="Times New Roman"/>
          <w:color w:val="000000"/>
          <w:spacing w:val="0"/>
          <w:w w:val="100"/>
          <w:position w:val="0"/>
          <w:sz w:val="18"/>
          <w:szCs w:val="18"/>
        </w:rPr>
        <w:t>2</w:t>
      </w:r>
      <w:bookmarkEnd w:id="1219"/>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根据《财政部、税务总局关于实施小微企业普惠性税收减免政策的通知》（财税〔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0，</w:t>
      </w:r>
      <w:r>
        <w:rPr>
          <w:color w:val="000000"/>
          <w:spacing w:val="0"/>
          <w:w w:val="100"/>
          <w:position w:val="0"/>
        </w:rPr>
        <w:t>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 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 税。</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根据《财政部税务总局关于实施小微企业和个体工商户所得税优惠政策的公告》（财税〔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号），对小型微利企业 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万元的部分，在《财政部税务总局关于实施小微企业普惠性税收减免政策的通知》（财税〔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号）第二条规定的优惠政策基础上，再减半征收企业所得税。</w:t>
      </w:r>
    </w:p>
    <w:p>
      <w:pPr>
        <w:pStyle w:val="Style22"/>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报告期内，本公司部分子公司享受小型微利企业所得税优惠政策。</w:t>
      </w:r>
    </w:p>
    <w:p>
      <w:pPr>
        <w:pStyle w:val="Style22"/>
        <w:keepNext w:val="0"/>
        <w:keepLines w:val="0"/>
        <w:widowControl w:val="0"/>
        <w:shd w:val="clear" w:color="auto" w:fill="auto"/>
        <w:bidi w:val="0"/>
        <w:spacing w:before="0" w:after="0" w:line="312" w:lineRule="exact"/>
        <w:ind w:left="0" w:right="0" w:firstLine="0"/>
        <w:jc w:val="both"/>
      </w:pPr>
      <w:bookmarkStart w:id="1220" w:name="bookmark1220"/>
      <w:r>
        <w:rPr>
          <w:rFonts w:ascii="Times New Roman" w:eastAsia="Times New Roman" w:hAnsi="Times New Roman" w:cs="Times New Roman"/>
          <w:color w:val="000000"/>
          <w:spacing w:val="0"/>
          <w:w w:val="100"/>
          <w:position w:val="0"/>
          <w:sz w:val="18"/>
          <w:szCs w:val="18"/>
        </w:rPr>
        <w:t>（</w:t>
      </w:r>
      <w:bookmarkEnd w:id="12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研究开发费用税前加计扣除政策</w:t>
      </w:r>
    </w:p>
    <w:p>
      <w:pPr>
        <w:pStyle w:val="Style2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根据《财政部、国家税务总局、科技部关于完善研究开发费用税前加计扣除政策的通知》（财税〔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119</w:t>
      </w:r>
      <w:r>
        <w:rPr>
          <w:color w:val="000000"/>
          <w:spacing w:val="0"/>
          <w:w w:val="100"/>
          <w:position w:val="0"/>
        </w:rPr>
        <w:t>号）、《财政 部、税务总局、科技部关于提高研究开发费用税前加计扣除比例的通知》（财税〔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日起，企业开 展研发活动中实际发生的研发费用，未形成无形资产计入当期损益的，在按规定据实扣除的基础上，按照本年度实际发生额 </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，从本年度应纳税所得额中扣除；形成无形资产的，按照无形资产成本的</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在税前摊销。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日期间，企业研发费用税前加计扣除比例由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提高至</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。报告期内，本公司及部分子公司享受研 发费用税前加计扣除政策。根据《关于延长部分税收优惠政策执行期限的公告》(财税〔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号 税收优惠政策于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日到期后，执行期限延长至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61"/>
        <w:keepNext w:val="0"/>
        <w:keepLines w:val="0"/>
        <w:widowControl w:val="0"/>
        <w:shd w:val="clear" w:color="auto" w:fill="auto"/>
        <w:bidi w:val="0"/>
        <w:spacing w:before="0" w:line="240" w:lineRule="auto"/>
        <w:ind w:left="0" w:right="0" w:firstLine="0"/>
        <w:jc w:val="left"/>
      </w:pPr>
      <w:bookmarkStart w:id="1221" w:name="bookmark1221"/>
      <w:r>
        <w:rPr>
          <w:rFonts w:ascii="Times New Roman" w:eastAsia="Times New Roman" w:hAnsi="Times New Roman" w:cs="Times New Roman"/>
          <w:color w:val="000000"/>
          <w:spacing w:val="0"/>
          <w:w w:val="100"/>
          <w:position w:val="0"/>
        </w:rPr>
        <w:t>3</w:t>
      </w:r>
      <w:bookmarkEnd w:id="1221"/>
      <w:r>
        <w:rPr>
          <w:color w:val="000000"/>
          <w:spacing w:val="0"/>
          <w:w w:val="100"/>
          <w:position w:val="0"/>
        </w:rPr>
        <w:t>、其他</w:t>
      </w:r>
    </w:p>
    <w:p>
      <w:pPr>
        <w:pStyle w:val="Style27"/>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sz w:val="24"/>
          <w:szCs w:val="24"/>
        </w:rPr>
        <w:t>七</w:t>
      </w:r>
      <w:bookmarkEnd w:id="1224"/>
      <w:r>
        <w:rPr>
          <w:color w:val="000000"/>
          <w:spacing w:val="0"/>
          <w:w w:val="100"/>
          <w:position w:val="0"/>
          <w:sz w:val="24"/>
          <w:szCs w:val="24"/>
        </w:rPr>
        <w:t>、合并财务报表项目注释</w:t>
      </w:r>
      <w:bookmarkEnd w:id="1222"/>
      <w:bookmarkEnd w:id="1223"/>
      <w:bookmarkEnd w:id="1225"/>
    </w:p>
    <w:p>
      <w:pPr>
        <w:pStyle w:val="Style61"/>
        <w:keepNext w:val="0"/>
        <w:keepLines w:val="0"/>
        <w:widowControl w:val="0"/>
        <w:shd w:val="clear" w:color="auto" w:fill="auto"/>
        <w:bidi w:val="0"/>
        <w:spacing w:before="0" w:line="240" w:lineRule="auto"/>
        <w:ind w:left="0" w:right="0" w:firstLine="0"/>
        <w:jc w:val="left"/>
      </w:pPr>
      <w:bookmarkStart w:id="1226" w:name="bookmark1226"/>
      <w:r>
        <w:rPr>
          <w:rFonts w:ascii="Times New Roman" w:eastAsia="Times New Roman" w:hAnsi="Times New Roman" w:cs="Times New Roman"/>
          <w:color w:val="000000"/>
          <w:spacing w:val="0"/>
          <w:w w:val="100"/>
          <w:position w:val="0"/>
        </w:rPr>
        <w:t>1</w:t>
      </w:r>
      <w:bookmarkEnd w:id="1226"/>
      <w:r>
        <w:rPr>
          <w:color w:val="000000"/>
          <w:spacing w:val="0"/>
          <w:w w:val="100"/>
          <w:position w:val="0"/>
        </w:rPr>
        <w:t>、货币资金</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837"/>
        <w:gridCol w:w="20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2,973,830,331.97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2,844,975,992.51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20,988,367.18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22,052,359.07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1,917,945.23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2,994,819,890.68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2,868,947,656.46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136,320,535.18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141,733,926.40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20,988,367.18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22,025,956.11</w:t>
            </w:r>
          </w:p>
        </w:tc>
      </w:tr>
    </w:tbl>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29"/>
        <w:keepNext w:val="0"/>
        <w:keepLines w:val="0"/>
        <w:widowControl w:val="0"/>
        <w:numPr>
          <w:ilvl w:val="0"/>
          <w:numId w:val="91"/>
        </w:numPr>
        <w:shd w:val="clear" w:color="auto" w:fill="auto"/>
        <w:tabs>
          <w:tab w:pos="206"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w:t>
      </w:r>
      <w:r>
        <w:rPr>
          <w:rFonts w:ascii="Times New Roman" w:eastAsia="Times New Roman" w:hAnsi="Times New Roman" w:cs="Times New Roman"/>
          <w:color w:val="000000"/>
          <w:spacing w:val="0"/>
          <w:w w:val="100"/>
          <w:position w:val="0"/>
          <w:sz w:val="18"/>
          <w:szCs w:val="18"/>
        </w:rPr>
        <w:t>20,988,367.18</w:t>
      </w:r>
      <w:r>
        <w:rPr>
          <w:color w:val="000000"/>
          <w:spacing w:val="0"/>
          <w:w w:val="100"/>
          <w:position w:val="0"/>
        </w:rPr>
        <w:t>元使用受到限制，其中：</w:t>
      </w:r>
      <w:r>
        <w:rPr>
          <w:rFonts w:ascii="Times New Roman" w:eastAsia="Times New Roman" w:hAnsi="Times New Roman" w:cs="Times New Roman"/>
          <w:color w:val="000000"/>
          <w:spacing w:val="0"/>
          <w:w w:val="100"/>
          <w:position w:val="0"/>
          <w:sz w:val="18"/>
          <w:szCs w:val="18"/>
        </w:rPr>
        <w:t>19,175,971.69</w:t>
      </w:r>
      <w:r>
        <w:rPr>
          <w:color w:val="000000"/>
          <w:spacing w:val="0"/>
          <w:w w:val="100"/>
          <w:position w:val="0"/>
        </w:rPr>
        <w:t>元为保函保证金，</w:t>
      </w:r>
      <w:r>
        <w:rPr>
          <w:rFonts w:ascii="Times New Roman" w:eastAsia="Times New Roman" w:hAnsi="Times New Roman" w:cs="Times New Roman"/>
          <w:color w:val="000000"/>
          <w:spacing w:val="0"/>
          <w:w w:val="100"/>
          <w:position w:val="0"/>
          <w:sz w:val="18"/>
          <w:szCs w:val="18"/>
        </w:rPr>
        <w:t>801,006.9</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元为 履约保证金，</w:t>
      </w:r>
      <w:r>
        <w:rPr>
          <w:rFonts w:ascii="Times New Roman" w:eastAsia="Times New Roman" w:hAnsi="Times New Roman" w:cs="Times New Roman"/>
          <w:color w:val="000000"/>
          <w:spacing w:val="0"/>
          <w:w w:val="100"/>
          <w:position w:val="0"/>
          <w:sz w:val="18"/>
          <w:szCs w:val="18"/>
        </w:rPr>
        <w:t>1,011,388.52</w:t>
      </w:r>
      <w:r>
        <w:rPr>
          <w:color w:val="000000"/>
          <w:spacing w:val="0"/>
          <w:w w:val="100"/>
          <w:position w:val="0"/>
        </w:rPr>
        <w:t>元为信用证保证金。</w:t>
      </w:r>
    </w:p>
    <w:p>
      <w:pPr>
        <w:pStyle w:val="Style29"/>
        <w:keepNext w:val="0"/>
        <w:keepLines w:val="0"/>
        <w:widowControl w:val="0"/>
        <w:numPr>
          <w:ilvl w:val="0"/>
          <w:numId w:val="91"/>
        </w:numPr>
        <w:shd w:val="clear" w:color="auto" w:fill="auto"/>
        <w:tabs>
          <w:tab w:pos="206"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日，其他货币资金中</w:t>
      </w:r>
      <w:r>
        <w:rPr>
          <w:rFonts w:ascii="Times New Roman" w:eastAsia="Times New Roman" w:hAnsi="Times New Roman" w:cs="Times New Roman"/>
          <w:color w:val="000000"/>
          <w:spacing w:val="0"/>
          <w:w w:val="100"/>
          <w:position w:val="0"/>
          <w:sz w:val="18"/>
          <w:szCs w:val="18"/>
        </w:rPr>
        <w:t>22,025,956.11</w:t>
      </w:r>
      <w:r>
        <w:rPr>
          <w:color w:val="000000"/>
          <w:spacing w:val="0"/>
          <w:w w:val="100"/>
          <w:position w:val="0"/>
        </w:rPr>
        <w:t>元使用受到限制，其中</w:t>
      </w:r>
      <w:r>
        <w:rPr>
          <w:rFonts w:ascii="Times New Roman" w:eastAsia="Times New Roman" w:hAnsi="Times New Roman" w:cs="Times New Roman"/>
          <w:color w:val="000000"/>
          <w:spacing w:val="0"/>
          <w:w w:val="100"/>
          <w:position w:val="0"/>
          <w:sz w:val="18"/>
          <w:szCs w:val="18"/>
        </w:rPr>
        <w:t>20,991,106.71</w:t>
      </w:r>
      <w:r>
        <w:rPr>
          <w:color w:val="000000"/>
          <w:spacing w:val="0"/>
          <w:w w:val="100"/>
          <w:position w:val="0"/>
        </w:rPr>
        <w:t>元为保函保证金；</w:t>
      </w:r>
      <w:r>
        <w:rPr>
          <w:rFonts w:ascii="Times New Roman" w:eastAsia="Times New Roman" w:hAnsi="Times New Roman" w:cs="Times New Roman"/>
          <w:color w:val="000000"/>
          <w:spacing w:val="0"/>
          <w:w w:val="100"/>
          <w:position w:val="0"/>
          <w:sz w:val="18"/>
          <w:szCs w:val="18"/>
        </w:rPr>
        <w:t>1,034,849.4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元为信 用证保证金。</w:t>
      </w:r>
    </w:p>
    <w:p>
      <w:pPr>
        <w:widowControl w:val="0"/>
        <w:spacing w:after="359" w:line="1" w:lineRule="exact"/>
      </w:pPr>
    </w:p>
    <w:p>
      <w:pPr>
        <w:pStyle w:val="Style61"/>
        <w:keepNext w:val="0"/>
        <w:keepLines w:val="0"/>
        <w:widowControl w:val="0"/>
        <w:shd w:val="clear" w:color="auto" w:fill="auto"/>
        <w:tabs>
          <w:tab w:pos="378" w:val="left"/>
        </w:tabs>
        <w:bidi w:val="0"/>
        <w:spacing w:before="0" w:line="240" w:lineRule="auto"/>
        <w:ind w:left="0" w:right="0" w:firstLine="0"/>
        <w:jc w:val="left"/>
      </w:pPr>
      <w:bookmarkStart w:id="1227" w:name="bookmark1227"/>
      <w:r>
        <w:rPr>
          <w:rFonts w:ascii="Times New Roman" w:eastAsia="Times New Roman" w:hAnsi="Times New Roman" w:cs="Times New Roman"/>
          <w:color w:val="000000"/>
          <w:spacing w:val="0"/>
          <w:w w:val="100"/>
          <w:position w:val="0"/>
        </w:rPr>
        <w:t>2</w:t>
      </w:r>
      <w:bookmarkEnd w:id="1227"/>
      <w:r>
        <w:rPr>
          <w:color w:val="000000"/>
          <w:spacing w:val="0"/>
          <w:w w:val="100"/>
          <w:position w:val="0"/>
        </w:rPr>
        <w:t>、</w:t>
        <w:tab/>
        <w:t>交易性金融资产</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228" w:name="bookmark1228"/>
      <w:r>
        <w:rPr>
          <w:rFonts w:ascii="Times New Roman" w:eastAsia="Times New Roman" w:hAnsi="Times New Roman" w:cs="Times New Roman"/>
          <w:color w:val="000000"/>
          <w:spacing w:val="0"/>
          <w:w w:val="100"/>
          <w:position w:val="0"/>
        </w:rPr>
        <w:t>3</w:t>
      </w:r>
      <w:bookmarkEnd w:id="1228"/>
      <w:r>
        <w:rPr>
          <w:color w:val="000000"/>
          <w:spacing w:val="0"/>
          <w:w w:val="100"/>
          <w:position w:val="0"/>
        </w:rPr>
        <w:t>、</w:t>
        <w:tab/>
        <w:t>衍生金融资产</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229" w:name="bookmark1229"/>
      <w:r>
        <w:rPr>
          <w:rFonts w:ascii="Times New Roman" w:eastAsia="Times New Roman" w:hAnsi="Times New Roman" w:cs="Times New Roman"/>
          <w:color w:val="000000"/>
          <w:spacing w:val="0"/>
          <w:w w:val="100"/>
          <w:position w:val="0"/>
        </w:rPr>
        <w:t>4</w:t>
      </w:r>
      <w:bookmarkEnd w:id="1229"/>
      <w:r>
        <w:rPr>
          <w:color w:val="000000"/>
          <w:spacing w:val="0"/>
          <w:w w:val="100"/>
          <w:position w:val="0"/>
        </w:rPr>
        <w:t>、</w:t>
        <w:tab/>
        <w:t>应收票据</w:t>
      </w:r>
    </w:p>
    <w:p>
      <w:pPr>
        <w:pStyle w:val="Style61"/>
        <w:keepNext w:val="0"/>
        <w:keepLines w:val="0"/>
        <w:widowControl w:val="0"/>
        <w:numPr>
          <w:ilvl w:val="0"/>
          <w:numId w:val="93"/>
        </w:numPr>
        <w:shd w:val="clear" w:color="auto" w:fill="auto"/>
        <w:bidi w:val="0"/>
        <w:spacing w:before="0" w:line="240" w:lineRule="auto"/>
        <w:ind w:left="0" w:right="0" w:firstLine="0"/>
        <w:jc w:val="left"/>
      </w:pPr>
      <w:bookmarkStart w:id="1230" w:name="bookmark1230"/>
      <w:bookmarkEnd w:id="1230"/>
      <w:r>
        <w:rPr>
          <w:color w:val="000000"/>
          <w:spacing w:val="0"/>
          <w:w w:val="100"/>
          <w:position w:val="0"/>
        </w:rPr>
        <w:t>应收票据分类列示</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3,454,309.00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13,993,112.98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33,383,636.12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-234,198.79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14,608,914.19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36,837,945.12</w:t>
            </w:r>
          </w:p>
        </w:tc>
      </w:tr>
    </w:tbl>
    <w:p>
      <w:pPr>
        <w:spacing w:lineRule="exact" w:line="1"/>
        <w:rPr>
          <w:sz w:val="2"/>
          <w:szCs w:val="2"/>
        </w:rPr>
      </w:pPr>
      <w:r>
        <w:br w:type="page"/>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14,843,1</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234,198.</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14,608,91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14,843,1</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234,198.</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14,608,91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36,837,94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234,198.79</w:t>
      </w:r>
    </w:p>
    <w:p>
      <w:pPr>
        <w:widowControl w:val="0"/>
        <w:spacing w:after="13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14,843,112.98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234,198.79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14,843,112.98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234,198.79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详见''本节附注五（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231" w:name="bookmark1231"/>
      <w:bookmarkStart w:id="1232" w:name="bookmark1232"/>
      <w:bookmarkStart w:id="1233" w:name="bookmark1233"/>
      <w:bookmarkStart w:id="1234" w:name="bookmark1234"/>
      <w:r>
        <w:rPr>
          <w:color w:val="000000"/>
          <w:spacing w:val="0"/>
          <w:w w:val="100"/>
          <w:position w:val="0"/>
        </w:rPr>
        <w:t>（</w:t>
      </w:r>
      <w:bookmarkEnd w:id="123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31"/>
      <w:bookmarkEnd w:id="1232"/>
      <w:bookmarkEnd w:id="1234"/>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704"/>
        <w:gridCol w:w="1277"/>
        <w:gridCol w:w="1272"/>
        <w:gridCol w:w="994"/>
        <w:gridCol w:w="974"/>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234,198.79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234,198.79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234,198.79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234,198.79</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61"/>
        <w:keepNext w:val="0"/>
        <w:keepLines w:val="0"/>
        <w:widowControl w:val="0"/>
        <w:shd w:val="clear" w:color="auto" w:fill="auto"/>
        <w:tabs>
          <w:tab w:pos="493" w:val="left"/>
        </w:tabs>
        <w:bidi w:val="0"/>
        <w:spacing w:before="0" w:after="380" w:line="240" w:lineRule="auto"/>
        <w:ind w:left="0" w:right="0" w:firstLine="0"/>
        <w:jc w:val="left"/>
      </w:pPr>
      <w:bookmarkStart w:id="1235" w:name="bookmark1235"/>
      <w:r>
        <w:rPr>
          <w:color w:val="000000"/>
          <w:spacing w:val="0"/>
          <w:w w:val="100"/>
          <w:position w:val="0"/>
        </w:rPr>
        <w:t>（</w:t>
      </w:r>
      <w:bookmarkEnd w:id="1235"/>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p>
    <w:p>
      <w:pPr>
        <w:pStyle w:val="Style61"/>
        <w:keepNext w:val="0"/>
        <w:keepLines w:val="0"/>
        <w:widowControl w:val="0"/>
        <w:shd w:val="clear" w:color="auto" w:fill="auto"/>
        <w:tabs>
          <w:tab w:pos="493" w:val="left"/>
        </w:tabs>
        <w:bidi w:val="0"/>
        <w:spacing w:before="0" w:after="380" w:line="240" w:lineRule="auto"/>
        <w:ind w:left="0" w:right="0" w:firstLine="0"/>
        <w:jc w:val="left"/>
      </w:pPr>
      <w:bookmarkStart w:id="1236" w:name="bookmark1236"/>
      <w:r>
        <w:rPr>
          <w:color w:val="000000"/>
          <w:spacing w:val="0"/>
          <w:w w:val="100"/>
          <w:position w:val="0"/>
        </w:rPr>
        <w:t>（</w:t>
      </w:r>
      <w:bookmarkEnd w:id="1236"/>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p>
    <w:p>
      <w:pPr>
        <w:pStyle w:val="Style61"/>
        <w:keepNext w:val="0"/>
        <w:keepLines w:val="0"/>
        <w:widowControl w:val="0"/>
        <w:shd w:val="clear" w:color="auto" w:fill="auto"/>
        <w:tabs>
          <w:tab w:pos="493" w:val="left"/>
        </w:tabs>
        <w:bidi w:val="0"/>
        <w:spacing w:before="0" w:after="380" w:line="240" w:lineRule="auto"/>
        <w:ind w:left="0" w:right="0" w:firstLine="0"/>
        <w:jc w:val="left"/>
      </w:pPr>
      <w:bookmarkStart w:id="1237" w:name="bookmark1237"/>
      <w:r>
        <w:rPr>
          <w:color w:val="000000"/>
          <w:spacing w:val="0"/>
          <w:w w:val="100"/>
          <w:position w:val="0"/>
        </w:rPr>
        <w:t>（</w:t>
      </w:r>
      <w:bookmarkEnd w:id="1237"/>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61"/>
        <w:keepNext w:val="0"/>
        <w:keepLines w:val="0"/>
        <w:widowControl w:val="0"/>
        <w:shd w:val="clear" w:color="auto" w:fill="auto"/>
        <w:bidi w:val="0"/>
        <w:spacing w:before="0" w:after="380" w:line="240" w:lineRule="auto"/>
        <w:ind w:left="0" w:right="0" w:firstLine="0"/>
        <w:jc w:val="both"/>
      </w:pPr>
      <w:bookmarkStart w:id="1238" w:name="bookmark1238"/>
      <w:r>
        <w:rPr>
          <w:color w:val="000000"/>
          <w:spacing w:val="0"/>
          <w:w w:val="100"/>
          <w:position w:val="0"/>
        </w:rPr>
        <w:t>（</w:t>
      </w:r>
      <w:bookmarkEnd w:id="1238"/>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p>
    <w:p>
      <w:pPr>
        <w:pStyle w:val="Style61"/>
        <w:keepNext w:val="0"/>
        <w:keepLines w:val="0"/>
        <w:widowControl w:val="0"/>
        <w:shd w:val="clear" w:color="auto" w:fill="auto"/>
        <w:bidi w:val="0"/>
        <w:spacing w:before="0" w:after="380" w:line="240" w:lineRule="auto"/>
        <w:ind w:left="0" w:right="0" w:firstLine="0"/>
        <w:jc w:val="both"/>
      </w:pPr>
      <w:bookmarkStart w:id="1239" w:name="bookmark1239"/>
      <w:r>
        <w:rPr>
          <w:rFonts w:ascii="Times New Roman" w:eastAsia="Times New Roman" w:hAnsi="Times New Roman" w:cs="Times New Roman"/>
          <w:color w:val="000000"/>
          <w:spacing w:val="0"/>
          <w:w w:val="100"/>
          <w:position w:val="0"/>
        </w:rPr>
        <w:t>5</w:t>
      </w:r>
      <w:bookmarkEnd w:id="1239"/>
      <w:r>
        <w:rPr>
          <w:color w:val="000000"/>
          <w:spacing w:val="0"/>
          <w:w w:val="100"/>
          <w:position w:val="0"/>
        </w:rPr>
        <w:t>、应收账款</w:t>
      </w:r>
    </w:p>
    <w:p>
      <w:pPr>
        <w:pStyle w:val="Style61"/>
        <w:keepNext w:val="0"/>
        <w:keepLines w:val="0"/>
        <w:widowControl w:val="0"/>
        <w:shd w:val="clear" w:color="auto" w:fill="auto"/>
        <w:bidi w:val="0"/>
        <w:spacing w:before="0" w:after="380" w:line="240" w:lineRule="auto"/>
        <w:ind w:left="0" w:right="0" w:firstLine="0"/>
        <w:jc w:val="both"/>
      </w:pPr>
      <w:bookmarkStart w:id="1240" w:name="bookmark1240"/>
      <w:r>
        <w:rPr>
          <w:color w:val="000000"/>
          <w:spacing w:val="0"/>
          <w:w w:val="100"/>
          <w:position w:val="0"/>
        </w:rPr>
        <w:t>（</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23,794,6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23,794,6</w:t>
            </w:r>
          </w:p>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5,494,377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5,494,377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4,706,29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60,011,2</w:t>
            </w:r>
          </w:p>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4,646,284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3,367,608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60,369,83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3,307,239,1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4,730,09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0,867.78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83,805,9</w:t>
            </w:r>
          </w:p>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62.93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4,646,284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3,373,103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65,864,21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3,307,239,1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23,794,698.82</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1838"/>
        <w:gridCol w:w="1277"/>
        <w:gridCol w:w="1138"/>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四川蓝光和骏实业有限公司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5,176,173.94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5,176,173.94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深圳前海花样年数据管理有限公司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3,640,200.00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3,640,200.00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固安九通新盛园区建设发展有限公司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3,437,863.00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3,437,863.00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四川蓝本数字建造科技有限公司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1,541,207.78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1,541,207.78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bl>
    <w:p>
      <w:pPr>
        <w:widowControl w:val="0"/>
        <w:spacing w:line="1" w:lineRule="exact"/>
      </w:pPr>
      <w:r>
        <w:br w:type="page"/>
      </w:r>
    </w:p>
    <w:tbl>
      <w:tblPr>
        <w:tblOverlap w:val="never"/>
        <w:jc w:val="center"/>
        <w:tblLayout w:type="fixed"/>
      </w:tblPr>
      <w:tblGrid>
        <w:gridCol w:w="3413"/>
        <w:gridCol w:w="1838"/>
        <w:gridCol w:w="1277"/>
        <w:gridCol w:w="1138"/>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北京鲲鹏金科控股有限公司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大厂回族自治县鼎鸿投资开发有限公司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北京梦想工场网络科技有限公司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975,744.00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泰禾集团股份有限公司北京分公司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922,680.59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922,680.59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宁波妈妈购网络科技有限公司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896,414.30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896,414.30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华夏幸福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东方网力科技股份有限公司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639,610.44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639,610.44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众融通（北京）网络科技有限责任公司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555,190.50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555,190.50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上海红御房地产开发有限公司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542,799.02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542,799.02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四川嘉宝生活服务集团股份有限公司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514,005.01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514,005.01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大厂华夏幸福基业房地产开发有限公司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329,434.99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329,434.99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四川蓝光金谷环境科技有限公司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319,186.94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319,186.94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成都蓝光全维商业管理有限公司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264,322.28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264,322.28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华夏幸福基业股份有限公司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170,186.01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170,186.01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廊坊市幸福基业房地产经纪有限公司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23,794,698.82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23,794,698.82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5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60,011,264.11</w:t>
      </w:r>
    </w:p>
    <w:p>
      <w:pPr>
        <w:widowControl w:val="0"/>
        <w:spacing w:after="119" w:line="1" w:lineRule="exact"/>
      </w:pP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4,706,296,168.96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60,011,264.11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4,706,296,168.96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60,011,264.11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按账龄划分的具有类似信用风险特征的应收账款。</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4,546,629,607.07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98,787,706.69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45,106,409.01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39,567,145.01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23,169,763.39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5,945,008.41</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10,452,373.21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4,730,090,867.78</w:t>
            </w:r>
          </w:p>
        </w:tc>
      </w:tr>
    </w:tbl>
    <w:p>
      <w:pPr>
        <w:pStyle w:val="Style22"/>
        <w:keepNext w:val="0"/>
        <w:keepLines w:val="0"/>
        <w:widowControl w:val="0"/>
        <w:shd w:val="clear" w:color="auto" w:fill="auto"/>
        <w:bidi w:val="0"/>
        <w:spacing w:before="0" w:after="380" w:line="360"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不适用</w:t>
      </w:r>
    </w:p>
    <w:p>
      <w:pPr>
        <w:pStyle w:val="Style33"/>
        <w:keepNext/>
        <w:keepLines/>
        <w:widowControl w:val="0"/>
        <w:shd w:val="clear" w:color="auto" w:fill="auto"/>
        <w:bidi w:val="0"/>
        <w:spacing w:before="0" w:after="240" w:line="240" w:lineRule="auto"/>
        <w:ind w:left="0" w:right="0" w:firstLine="0"/>
        <w:jc w:val="both"/>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41"/>
      <w:bookmarkEnd w:id="1242"/>
      <w:bookmarkEnd w:id="1244"/>
    </w:p>
    <w:p>
      <w:pPr>
        <w:pStyle w:val="Style22"/>
        <w:keepNext w:val="0"/>
        <w:keepLines w:val="0"/>
        <w:widowControl w:val="0"/>
        <w:shd w:val="clear" w:color="auto" w:fill="auto"/>
        <w:bidi w:val="0"/>
        <w:spacing w:before="0" w:after="120" w:line="360" w:lineRule="exact"/>
        <w:ind w:left="0" w:right="0" w:firstLine="0"/>
        <w:jc w:val="both"/>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421"/>
        <w:gridCol w:w="1416"/>
        <w:gridCol w:w="1277"/>
        <w:gridCol w:w="1416"/>
        <w:gridCol w:w="974"/>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5,494,377.55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18,340,321.27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23,794,698.82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60,369,836.92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1,694,509.88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1,984,003.53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60,011,264.11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65,864,214.47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20,034,831.15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2,024,003.53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-69,079.16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83,805,962.93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45"/>
      <w:bookmarkEnd w:id="1246"/>
      <w:bookmarkEnd w:id="124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2,024,003.53</w:t>
            </w:r>
          </w:p>
        </w:tc>
      </w:tr>
    </w:tbl>
    <w:p>
      <w:pPr>
        <w:widowControl w:val="0"/>
        <w:spacing w:after="679" w:line="1" w:lineRule="exact"/>
      </w:pPr>
    </w:p>
    <w:p>
      <w:pPr>
        <w:pStyle w:val="Style33"/>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49"/>
      <w:bookmarkEnd w:id="1250"/>
      <w:bookmarkEnd w:id="125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1,668,614,308.65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4,251,452.04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415,896,727.02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521,209.71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239,020,370.39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1,307,269.07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229,134,274.65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26,959,249.07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152,682,535.27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114,912.20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2,705,348,215.98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tabs>
          <w:tab w:pos="493" w:val="left"/>
        </w:tabs>
        <w:bidi w:val="0"/>
        <w:spacing w:before="0" w:after="380" w:line="240" w:lineRule="auto"/>
        <w:ind w:left="0" w:right="0" w:firstLine="0"/>
        <w:jc w:val="both"/>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253"/>
      <w:bookmarkEnd w:id="1254"/>
      <w:bookmarkEnd w:id="1256"/>
    </w:p>
    <w:p>
      <w:pPr>
        <w:pStyle w:val="Style33"/>
        <w:keepNext/>
        <w:keepLines/>
        <w:widowControl w:val="0"/>
        <w:shd w:val="clear" w:color="auto" w:fill="auto"/>
        <w:tabs>
          <w:tab w:pos="493" w:val="left"/>
        </w:tabs>
        <w:bidi w:val="0"/>
        <w:spacing w:before="0" w:after="380" w:line="240" w:lineRule="auto"/>
        <w:ind w:left="0" w:right="0" w:firstLine="0"/>
        <w:jc w:val="both"/>
      </w:pPr>
      <w:bookmarkStart w:id="1253" w:name="bookmark1253"/>
      <w:bookmarkStart w:id="1254" w:name="bookmark1254"/>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253"/>
      <w:bookmarkEnd w:id="1254"/>
      <w:bookmarkEnd w:id="1258"/>
    </w:p>
    <w:p>
      <w:pPr>
        <w:pStyle w:val="Style33"/>
        <w:keepNext/>
        <w:keepLines/>
        <w:widowControl w:val="0"/>
        <w:shd w:val="clear" w:color="auto" w:fill="auto"/>
        <w:bidi w:val="0"/>
        <w:spacing w:before="0" w:after="380" w:line="240" w:lineRule="auto"/>
        <w:ind w:left="0" w:right="0" w:firstLine="0"/>
        <w:jc w:val="both"/>
      </w:pPr>
      <w:bookmarkStart w:id="1253" w:name="bookmark1253"/>
      <w:bookmarkStart w:id="1254" w:name="bookmark1254"/>
      <w:bookmarkStart w:id="1259" w:name="bookmark1259"/>
      <w:bookmarkStart w:id="1260" w:name="bookmark1260"/>
      <w:r>
        <w:rPr>
          <w:rFonts w:ascii="Times New Roman" w:eastAsia="Times New Roman" w:hAnsi="Times New Roman" w:cs="Times New Roman"/>
          <w:color w:val="000000"/>
          <w:spacing w:val="0"/>
          <w:w w:val="100"/>
          <w:position w:val="0"/>
        </w:rPr>
        <w:t>6</w:t>
      </w:r>
      <w:bookmarkEnd w:id="1259"/>
      <w:r>
        <w:rPr>
          <w:color w:val="000000"/>
          <w:spacing w:val="0"/>
          <w:w w:val="100"/>
          <w:position w:val="0"/>
        </w:rPr>
        <w:t>、应收款项融资</w:t>
      </w:r>
      <w:bookmarkEnd w:id="1253"/>
      <w:bookmarkEnd w:id="1254"/>
      <w:bookmarkEnd w:id="126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5,934,269.87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4,814,558.62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163,428,551.38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509,791,474.19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169,362,821.25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514,606,032.81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39"/>
        <w:gridCol w:w="1930"/>
        <w:gridCol w:w="1934"/>
        <w:gridCol w:w="1930"/>
        <w:gridCol w:w="1944"/>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本期成本变动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本期公允价值变动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4,814,558.62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1,119,711.25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5,934,269.87</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509,791,474.19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-346,362,922.81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163,428,551.38</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514,606,032.81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-345,243,211.56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169,362,821.25</w:t>
            </w:r>
          </w:p>
        </w:tc>
      </w:tr>
    </w:tbl>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rPr>
        <w:t>续上表:</w:t>
      </w:r>
    </w:p>
    <w:p>
      <w:pPr>
        <w:widowControl w:val="0"/>
        <w:spacing w:line="1" w:lineRule="exact"/>
      </w:pPr>
    </w:p>
    <w:tbl>
      <w:tblPr>
        <w:tblOverlap w:val="never"/>
        <w:jc w:val="center"/>
        <w:tblLayout w:type="fixed"/>
      </w:tblPr>
      <w:tblGrid>
        <w:gridCol w:w="1718"/>
        <w:gridCol w:w="1704"/>
        <w:gridCol w:w="1560"/>
        <w:gridCol w:w="1555"/>
        <w:gridCol w:w="3139"/>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累计公允价值变动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累计在其他综合收益中确认的损失准备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4,814,558.62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5,934,269.87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509,791,474.19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163,428,551.38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514,606,032.81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169,362,821.25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7</w:t>
      </w:r>
      <w:bookmarkEnd w:id="1263"/>
      <w:r>
        <w:rPr>
          <w:color w:val="000000"/>
          <w:spacing w:val="0"/>
          <w:w w:val="100"/>
          <w:position w:val="0"/>
        </w:rPr>
        <w:t>、预付款项</w:t>
      </w:r>
      <w:bookmarkEnd w:id="1261"/>
      <w:bookmarkEnd w:id="1262"/>
      <w:bookmarkEnd w:id="1264"/>
    </w:p>
    <w:p>
      <w:pPr>
        <w:pStyle w:val="Style33"/>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61"/>
      <w:bookmarkEnd w:id="1262"/>
      <w:bookmarkEnd w:id="12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46,796,695.43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33,640,992.78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3,147,082.50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1,564,027.18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753,027.85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893,193.63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3,079,053.72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50,898,437.14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39,037,101.53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61"/>
        <w:keepNext w:val="0"/>
        <w:keepLines w:val="0"/>
        <w:widowControl w:val="0"/>
        <w:shd w:val="clear" w:color="auto" w:fill="auto"/>
        <w:bidi w:val="0"/>
        <w:spacing w:before="0" w:after="340" w:line="240" w:lineRule="auto"/>
        <w:ind w:left="0" w:right="0" w:firstLine="0"/>
        <w:jc w:val="left"/>
      </w:pPr>
      <w:bookmarkStart w:id="1267" w:name="bookmark1267"/>
      <w:r>
        <w:rPr>
          <w:color w:val="000000"/>
          <w:spacing w:val="0"/>
          <w:w w:val="100"/>
          <w:position w:val="0"/>
        </w:rPr>
        <w:t>（</w:t>
      </w:r>
      <w:bookmarkEnd w:id="126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p>
    <w:tbl>
      <w:tblPr>
        <w:tblOverlap w:val="never"/>
        <w:jc w:val="center"/>
        <w:tblLayout w:type="fixed"/>
      </w:tblPr>
      <w:tblGrid>
        <w:gridCol w:w="686"/>
        <w:gridCol w:w="989"/>
        <w:gridCol w:w="1416"/>
        <w:gridCol w:w="1704"/>
        <w:gridCol w:w="3298"/>
        <w:gridCol w:w="1776"/>
      </w:tblGrid>
      <w:tr>
        <w:trPr>
          <w:trHeight w:val="32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占预付款项期末余额合计数的比例（%）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未结算原因</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 </w:t>
            </w:r>
            <w:r>
              <w:rPr>
                <w:color w:val="000000"/>
                <w:spacing w:val="0"/>
                <w:w w:val="100"/>
                <w:position w:val="0"/>
                <w:sz w:val="18"/>
                <w:szCs w:val="18"/>
              </w:rPr>
              <w:t>759,287.25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 xml:space="preserve">11.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预付服务费</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5, 432, </w:t>
            </w:r>
            <w:r>
              <w:rPr>
                <w:color w:val="000000"/>
                <w:spacing w:val="0"/>
                <w:w w:val="100"/>
                <w:position w:val="0"/>
                <w:sz w:val="18"/>
                <w:szCs w:val="18"/>
              </w:rPr>
              <w:t xml:space="preserve">288.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 xml:space="preserve">10.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预付服务费</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5,016, </w:t>
            </w:r>
            <w:r>
              <w:rPr>
                <w:color w:val="000000"/>
                <w:spacing w:val="0"/>
                <w:w w:val="100"/>
                <w:position w:val="0"/>
                <w:sz w:val="18"/>
                <w:szCs w:val="18"/>
              </w:rPr>
              <w:t xml:space="preserve">557.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预付服务费</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4, 528, </w:t>
            </w:r>
            <w:r>
              <w:rPr>
                <w:color w:val="000000"/>
                <w:spacing w:val="0"/>
                <w:w w:val="100"/>
                <w:position w:val="0"/>
                <w:sz w:val="18"/>
                <w:szCs w:val="18"/>
              </w:rPr>
              <w:t xml:space="preserve">301.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预付服务费</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3, 497, </w:t>
            </w:r>
            <w:r>
              <w:rPr>
                <w:color w:val="000000"/>
                <w:spacing w:val="0"/>
                <w:w w:val="100"/>
                <w:position w:val="0"/>
                <w:sz w:val="18"/>
                <w:szCs w:val="18"/>
              </w:rPr>
              <w:t xml:space="preserve">344.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预付服务费及货款</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24, 233, </w:t>
            </w:r>
            <w:r>
              <w:rPr>
                <w:color w:val="000000"/>
                <w:spacing w:val="0"/>
                <w:w w:val="100"/>
                <w:position w:val="0"/>
                <w:sz w:val="18"/>
                <w:szCs w:val="18"/>
              </w:rPr>
              <w:t xml:space="preserve">779. </w:t>
            </w:r>
            <w:r>
              <w:rPr>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40" w:right="0" w:firstLine="0"/>
              <w:jc w:val="left"/>
              <w:rPr>
                <w:sz w:val="18"/>
                <w:szCs w:val="18"/>
              </w:rPr>
            </w:pPr>
            <w:r>
              <w:rPr>
                <w:color w:val="000000"/>
                <w:spacing w:val="0"/>
                <w:w w:val="100"/>
                <w:position w:val="0"/>
                <w:sz w:val="18"/>
                <w:szCs w:val="18"/>
              </w:rPr>
              <w:t xml:space="preserve">47.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期初数与上年末余额差异详见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本节附注五、重要会计政策及会计估计（</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61"/>
        <w:keepNext w:val="0"/>
        <w:keepLines w:val="0"/>
        <w:widowControl w:val="0"/>
        <w:shd w:val="clear" w:color="auto" w:fill="auto"/>
        <w:bidi w:val="0"/>
        <w:spacing w:before="0" w:after="400" w:line="240" w:lineRule="auto"/>
        <w:ind w:left="0" w:right="0" w:firstLine="0"/>
        <w:jc w:val="left"/>
      </w:pPr>
      <w:bookmarkStart w:id="1268" w:name="bookmark1268"/>
      <w:r>
        <w:rPr>
          <w:rFonts w:ascii="Times New Roman" w:eastAsia="Times New Roman" w:hAnsi="Times New Roman" w:cs="Times New Roman"/>
          <w:color w:val="000000"/>
          <w:spacing w:val="0"/>
          <w:w w:val="100"/>
          <w:position w:val="0"/>
        </w:rPr>
        <w:t>8</w:t>
      </w:r>
      <w:bookmarkEnd w:id="1268"/>
      <w:r>
        <w:rPr>
          <w:color w:val="000000"/>
          <w:spacing w:val="0"/>
          <w:w w:val="100"/>
          <w:position w:val="0"/>
        </w:rPr>
        <w:t>、其他应收款</w:t>
      </w:r>
    </w:p>
    <w:p>
      <w:pPr>
        <w:pStyle w:val="Style22"/>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95,083,134.27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122,025,481.13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95,083,134.27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122,025,481.13</w:t>
            </w:r>
          </w:p>
        </w:tc>
      </w:tr>
    </w:tbl>
    <w:p>
      <w:pPr>
        <w:widowControl w:val="0"/>
        <w:spacing w:after="339" w:line="1" w:lineRule="exact"/>
      </w:pPr>
    </w:p>
    <w:p>
      <w:pPr>
        <w:pStyle w:val="Style61"/>
        <w:keepNext w:val="0"/>
        <w:keepLines w:val="0"/>
        <w:widowControl w:val="0"/>
        <w:shd w:val="clear" w:color="auto" w:fill="auto"/>
        <w:tabs>
          <w:tab w:pos="493" w:val="left"/>
        </w:tabs>
        <w:bidi w:val="0"/>
        <w:spacing w:before="0" w:after="340" w:line="240" w:lineRule="auto"/>
        <w:ind w:left="0" w:right="0" w:firstLine="0"/>
        <w:jc w:val="left"/>
      </w:pPr>
      <w:bookmarkStart w:id="1269" w:name="bookmark1269"/>
      <w:r>
        <w:rPr>
          <w:color w:val="000000"/>
          <w:spacing w:val="0"/>
          <w:w w:val="100"/>
          <w:position w:val="0"/>
        </w:rPr>
        <w:t>（</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p>
    <w:p>
      <w:pPr>
        <w:pStyle w:val="Style61"/>
        <w:keepNext w:val="0"/>
        <w:keepLines w:val="0"/>
        <w:widowControl w:val="0"/>
        <w:shd w:val="clear" w:color="auto" w:fill="auto"/>
        <w:tabs>
          <w:tab w:pos="493" w:val="left"/>
        </w:tabs>
        <w:bidi w:val="0"/>
        <w:spacing w:before="0" w:after="340" w:line="240" w:lineRule="auto"/>
        <w:ind w:left="0" w:right="0" w:firstLine="0"/>
        <w:jc w:val="left"/>
      </w:pPr>
      <w:bookmarkStart w:id="1270" w:name="bookmark1270"/>
      <w:r>
        <w:rPr>
          <w:color w:val="000000"/>
          <w:spacing w:val="0"/>
          <w:w w:val="100"/>
          <w:position w:val="0"/>
        </w:rPr>
        <w:t>（</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p>
    <w:p>
      <w:pPr>
        <w:pStyle w:val="Style61"/>
        <w:keepNext w:val="0"/>
        <w:keepLines w:val="0"/>
        <w:widowControl w:val="0"/>
        <w:shd w:val="clear" w:color="auto" w:fill="auto"/>
        <w:tabs>
          <w:tab w:pos="493" w:val="left"/>
        </w:tabs>
        <w:bidi w:val="0"/>
        <w:spacing w:before="0" w:after="340" w:line="240" w:lineRule="auto"/>
        <w:ind w:left="0" w:right="0" w:firstLine="0"/>
        <w:jc w:val="left"/>
      </w:pPr>
      <w:bookmarkStart w:id="1271" w:name="bookmark1271"/>
      <w:r>
        <w:rPr>
          <w:color w:val="000000"/>
          <w:spacing w:val="0"/>
          <w:w w:val="100"/>
          <w:position w:val="0"/>
        </w:rPr>
        <w:t>（</w:t>
      </w:r>
      <w:bookmarkEnd w:id="127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p>
    <w:p>
      <w:pPr>
        <w:pStyle w:val="Style61"/>
        <w:keepNext w:val="0"/>
        <w:keepLines w:val="0"/>
        <w:widowControl w:val="0"/>
        <w:shd w:val="clear" w:color="auto" w:fill="auto"/>
        <w:bidi w:val="0"/>
        <w:spacing w:before="0" w:after="340" w:line="240" w:lineRule="auto"/>
        <w:ind w:left="0" w:right="0" w:firstLine="0"/>
        <w:jc w:val="left"/>
      </w:pPr>
      <w:bookmarkStart w:id="1272" w:name="bookmark1272"/>
      <w:r>
        <w:rPr>
          <w:rFonts w:ascii="Times New Roman" w:eastAsia="Times New Roman" w:hAnsi="Times New Roman" w:cs="Times New Roman"/>
          <w:color w:val="000000"/>
          <w:spacing w:val="0"/>
          <w:w w:val="100"/>
          <w:position w:val="0"/>
        </w:rPr>
        <w:t>1</w:t>
      </w:r>
      <w:bookmarkEnd w:id="1272"/>
      <w:r>
        <w:rPr>
          <w:color w:val="000000"/>
          <w:spacing w:val="0"/>
          <w:w w:val="100"/>
          <w:position w:val="0"/>
        </w:rPr>
        <w:t>）其他应收款按款项性质分类情况</w:t>
      </w:r>
    </w:p>
    <w:p>
      <w:pPr>
        <w:pStyle w:val="Style22"/>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79,990,895.17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56,250,893.74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18,635,704.69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17,435,770.31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36,569,213.73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日常经营款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9,802,409.33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12,409,692.59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代收项目款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4,370,490.65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20,069,547.25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-18,886,365.57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-20,709,636.49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95,083,134.27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122,025,481.13</w:t>
            </w:r>
          </w:p>
        </w:tc>
      </w:tr>
    </w:tbl>
    <w:p>
      <w:pPr>
        <w:widowControl w:val="0"/>
        <w:spacing w:after="339" w:line="1" w:lineRule="exact"/>
      </w:pPr>
    </w:p>
    <w:p>
      <w:pPr>
        <w:pStyle w:val="Style61"/>
        <w:keepNext w:val="0"/>
        <w:keepLines w:val="0"/>
        <w:widowControl w:val="0"/>
        <w:shd w:val="clear" w:color="auto" w:fill="auto"/>
        <w:bidi w:val="0"/>
        <w:spacing w:before="0" w:after="400" w:line="240" w:lineRule="auto"/>
        <w:ind w:left="0" w:right="0" w:firstLine="0"/>
        <w:jc w:val="left"/>
      </w:pPr>
      <w:bookmarkStart w:id="1273" w:name="bookmark1273"/>
      <w:r>
        <w:rPr>
          <w:rFonts w:ascii="Times New Roman" w:eastAsia="Times New Roman" w:hAnsi="Times New Roman" w:cs="Times New Roman"/>
          <w:color w:val="000000"/>
          <w:spacing w:val="0"/>
          <w:w w:val="100"/>
          <w:position w:val="0"/>
        </w:rPr>
        <w:t>2</w:t>
      </w:r>
      <w:bookmarkEnd w:id="1273"/>
      <w:r>
        <w:rPr>
          <w:color w:val="000000"/>
          <w:spacing w:val="0"/>
          <w:w w:val="100"/>
          <w:position w:val="0"/>
        </w:rPr>
        <w:t>）坏账准备计提情况</w:t>
      </w:r>
    </w:p>
    <w:p>
      <w:pPr>
        <w:pStyle w:val="Style22"/>
        <w:keepNext w:val="0"/>
        <w:keepLines w:val="0"/>
        <w:widowControl w:val="0"/>
        <w:shd w:val="clear" w:color="auto" w:fill="auto"/>
        <w:bidi w:val="0"/>
        <w:spacing w:before="0" w:after="340" w:line="240" w:lineRule="auto"/>
        <w:ind w:left="9020" w:right="0" w:firstLine="0"/>
        <w:jc w:val="lef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18,309,636.49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20,709,636.49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-1,795,817.57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-1,795,817.57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-27,453.35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16,486,365.57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18,886,365.57</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73,976,513.03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15,010,364.78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5,419,769.76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19,562,852.27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7,039,578.22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6,995,520.16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5,527,753.89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113,969,499.84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color w:val="000000"/>
          <w:spacing w:val="0"/>
          <w:w w:val="100"/>
          <w:position w:val="0"/>
        </w:rPr>
        <w:t>）本期计提、收回或转回的坏账准备情况</w:t>
      </w:r>
      <w:bookmarkEnd w:id="1274"/>
      <w:bookmarkEnd w:id="1275"/>
      <w:bookmarkEnd w:id="127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709"/>
        <w:gridCol w:w="1277"/>
        <w:gridCol w:w="1416"/>
        <w:gridCol w:w="1421"/>
        <w:gridCol w:w="989"/>
        <w:gridCol w:w="1037"/>
        <w:gridCol w:w="173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18,309,636.49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-1,795,817.57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16,486,365.57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20,709,636.49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-1,795,817.57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-27,453.35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18,886,365.57</w:t>
            </w:r>
          </w:p>
        </w:tc>
      </w:tr>
    </w:tbl>
    <w:p>
      <w:pPr>
        <w:pStyle w:val="Style61"/>
        <w:keepNext w:val="0"/>
        <w:keepLines w:val="0"/>
        <w:widowControl w:val="0"/>
        <w:shd w:val="clear" w:color="auto" w:fill="auto"/>
        <w:bidi w:val="0"/>
        <w:spacing w:before="0" w:after="140" w:line="307" w:lineRule="exact"/>
        <w:ind w:left="0" w:right="0" w:firstLine="0"/>
        <w:jc w:val="both"/>
      </w:pPr>
      <w:r>
        <w:rPr>
          <w:b w:val="0"/>
          <w:bCs w:val="0"/>
          <w:color w:val="000000"/>
          <w:spacing w:val="0"/>
          <w:w w:val="100"/>
          <w:position w:val="0"/>
        </w:rPr>
        <w:t>用以确定报告期坏账准备计提金额以及评估金融工具的信用风险自初始确认后是否已显著增加等事项所 采用的依据、输入值、假设等信息详见</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第十节、财务报告</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附注十、与金融工具相关的风险</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二</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信用风险</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w:t>
      </w:r>
      <w:r>
        <w:br w:type="page"/>
      </w:r>
    </w:p>
    <w:p>
      <w:pPr>
        <w:pStyle w:val="Style61"/>
        <w:keepNext w:val="0"/>
        <w:keepLines w:val="0"/>
        <w:widowControl w:val="0"/>
        <w:shd w:val="clear" w:color="auto" w:fill="auto"/>
        <w:tabs>
          <w:tab w:pos="397" w:val="left"/>
        </w:tabs>
        <w:bidi w:val="0"/>
        <w:spacing w:before="0" w:line="240" w:lineRule="auto"/>
        <w:ind w:left="0" w:right="0" w:firstLine="0"/>
        <w:jc w:val="left"/>
      </w:pPr>
      <w:bookmarkStart w:id="1278" w:name="bookmark1278"/>
      <w:r>
        <w:rPr>
          <w:rFonts w:ascii="Times New Roman" w:eastAsia="Times New Roman" w:hAnsi="Times New Roman" w:cs="Times New Roman"/>
          <w:color w:val="000000"/>
          <w:spacing w:val="0"/>
          <w:w w:val="100"/>
          <w:position w:val="0"/>
        </w:rPr>
        <w:t>4</w:t>
      </w:r>
      <w:bookmarkEnd w:id="1278"/>
      <w:r>
        <w:rPr>
          <w:color w:val="000000"/>
          <w:spacing w:val="0"/>
          <w:w w:val="100"/>
          <w:position w:val="0"/>
        </w:rPr>
        <w:t>）</w:t>
        <w:tab/>
        <w:t>本期实际核销的其他应收款情况</w:t>
      </w:r>
    </w:p>
    <w:p>
      <w:pPr>
        <w:pStyle w:val="Style61"/>
        <w:keepNext w:val="0"/>
        <w:keepLines w:val="0"/>
        <w:widowControl w:val="0"/>
        <w:shd w:val="clear" w:color="auto" w:fill="auto"/>
        <w:tabs>
          <w:tab w:pos="397" w:val="left"/>
        </w:tabs>
        <w:bidi w:val="0"/>
        <w:spacing w:before="0" w:line="240" w:lineRule="auto"/>
        <w:ind w:left="0" w:right="0" w:firstLine="0"/>
        <w:jc w:val="left"/>
      </w:pPr>
      <w:bookmarkStart w:id="1279" w:name="bookmark1279"/>
      <w:r>
        <w:rPr>
          <w:rFonts w:ascii="Times New Roman" w:eastAsia="Times New Roman" w:hAnsi="Times New Roman" w:cs="Times New Roman"/>
          <w:color w:val="000000"/>
          <w:spacing w:val="0"/>
          <w:w w:val="100"/>
          <w:position w:val="0"/>
        </w:rPr>
        <w:t>5</w:t>
      </w:r>
      <w:bookmarkEnd w:id="1279"/>
      <w:r>
        <w:rPr>
          <w:color w:val="000000"/>
          <w:spacing w:val="0"/>
          <w:w w:val="100"/>
          <w:position w:val="0"/>
        </w:rPr>
        <w:t>）</w:t>
        <w:tab/>
        <w:t>按欠款方归集的期末余额前五名的其他应收款情况</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7,098,031.34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215,954.67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5,618,870.75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573,654.52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3,287,250.00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894,825.00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日常经营款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代收项目款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2,890,110.99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21,894,263.08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1,684,434.19</w:t>
            </w:r>
          </w:p>
        </w:tc>
      </w:tr>
    </w:tbl>
    <w:p>
      <w:pPr>
        <w:widowControl w:val="0"/>
        <w:spacing w:after="359" w:line="1" w:lineRule="exact"/>
      </w:pPr>
    </w:p>
    <w:p>
      <w:pPr>
        <w:pStyle w:val="Style61"/>
        <w:keepNext w:val="0"/>
        <w:keepLines w:val="0"/>
        <w:widowControl w:val="0"/>
        <w:shd w:val="clear" w:color="auto" w:fill="auto"/>
        <w:tabs>
          <w:tab w:pos="397" w:val="left"/>
        </w:tabs>
        <w:bidi w:val="0"/>
        <w:spacing w:before="0" w:line="240" w:lineRule="auto"/>
        <w:ind w:left="0" w:right="0" w:firstLine="0"/>
        <w:jc w:val="left"/>
      </w:pPr>
      <w:bookmarkStart w:id="1280" w:name="bookmark1280"/>
      <w:r>
        <w:rPr>
          <w:rFonts w:ascii="Times New Roman" w:eastAsia="Times New Roman" w:hAnsi="Times New Roman" w:cs="Times New Roman"/>
          <w:color w:val="000000"/>
          <w:spacing w:val="0"/>
          <w:w w:val="100"/>
          <w:position w:val="0"/>
        </w:rPr>
        <w:t>6</w:t>
      </w:r>
      <w:bookmarkEnd w:id="1280"/>
      <w:r>
        <w:rPr>
          <w:color w:val="000000"/>
          <w:spacing w:val="0"/>
          <w:w w:val="100"/>
          <w:position w:val="0"/>
        </w:rPr>
        <w:t>）</w:t>
        <w:tab/>
        <w:t>涉及政府补助的应收款项</w:t>
      </w:r>
    </w:p>
    <w:p>
      <w:pPr>
        <w:pStyle w:val="Style61"/>
        <w:keepNext w:val="0"/>
        <w:keepLines w:val="0"/>
        <w:widowControl w:val="0"/>
        <w:shd w:val="clear" w:color="auto" w:fill="auto"/>
        <w:tabs>
          <w:tab w:pos="392" w:val="left"/>
        </w:tabs>
        <w:bidi w:val="0"/>
        <w:spacing w:before="0" w:line="240" w:lineRule="auto"/>
        <w:ind w:left="0" w:right="0" w:firstLine="0"/>
        <w:jc w:val="left"/>
      </w:pPr>
      <w:bookmarkStart w:id="1281" w:name="bookmark1281"/>
      <w:r>
        <w:rPr>
          <w:rFonts w:ascii="Times New Roman" w:eastAsia="Times New Roman" w:hAnsi="Times New Roman" w:cs="Times New Roman"/>
          <w:color w:val="000000"/>
          <w:spacing w:val="0"/>
          <w:w w:val="100"/>
          <w:position w:val="0"/>
        </w:rPr>
        <w:t>7</w:t>
      </w:r>
      <w:bookmarkEnd w:id="1281"/>
      <w:r>
        <w:rPr>
          <w:color w:val="000000"/>
          <w:spacing w:val="0"/>
          <w:w w:val="100"/>
          <w:position w:val="0"/>
        </w:rPr>
        <w:t>）</w:t>
        <w:tab/>
        <w:t>因金融资产转移而终止确认的其他应收款</w:t>
      </w:r>
    </w:p>
    <w:p>
      <w:pPr>
        <w:pStyle w:val="Style61"/>
        <w:keepNext w:val="0"/>
        <w:keepLines w:val="0"/>
        <w:widowControl w:val="0"/>
        <w:shd w:val="clear" w:color="auto" w:fill="auto"/>
        <w:tabs>
          <w:tab w:pos="397" w:val="left"/>
        </w:tabs>
        <w:bidi w:val="0"/>
        <w:spacing w:before="0" w:line="240" w:lineRule="auto"/>
        <w:ind w:left="0" w:right="0" w:firstLine="0"/>
        <w:jc w:val="left"/>
      </w:pPr>
      <w:bookmarkStart w:id="1282" w:name="bookmark1282"/>
      <w:r>
        <w:rPr>
          <w:rFonts w:ascii="Times New Roman" w:eastAsia="Times New Roman" w:hAnsi="Times New Roman" w:cs="Times New Roman"/>
          <w:color w:val="000000"/>
          <w:spacing w:val="0"/>
          <w:w w:val="100"/>
          <w:position w:val="0"/>
        </w:rPr>
        <w:t>8</w:t>
      </w:r>
      <w:bookmarkEnd w:id="1282"/>
      <w:r>
        <w:rPr>
          <w:color w:val="000000"/>
          <w:spacing w:val="0"/>
          <w:w w:val="100"/>
          <w:position w:val="0"/>
        </w:rPr>
        <w:t>）</w:t>
        <w:tab/>
        <w:t>转移其他应收款且继续涉入形成的资产、负债金额</w:t>
      </w:r>
    </w:p>
    <w:p>
      <w:pPr>
        <w:pStyle w:val="Style61"/>
        <w:keepNext w:val="0"/>
        <w:keepLines w:val="0"/>
        <w:widowControl w:val="0"/>
        <w:shd w:val="clear" w:color="auto" w:fill="auto"/>
        <w:bidi w:val="0"/>
        <w:spacing w:before="0" w:line="240" w:lineRule="auto"/>
        <w:ind w:left="0" w:right="0" w:firstLine="0"/>
        <w:jc w:val="left"/>
      </w:pPr>
      <w:bookmarkStart w:id="1283" w:name="bookmark1283"/>
      <w:r>
        <w:rPr>
          <w:rFonts w:ascii="Times New Roman" w:eastAsia="Times New Roman" w:hAnsi="Times New Roman" w:cs="Times New Roman"/>
          <w:color w:val="000000"/>
          <w:spacing w:val="0"/>
          <w:w w:val="100"/>
          <w:position w:val="0"/>
        </w:rPr>
        <w:t>9</w:t>
      </w:r>
      <w:bookmarkEnd w:id="1283"/>
      <w:r>
        <w:rPr>
          <w:color w:val="000000"/>
          <w:spacing w:val="0"/>
          <w:w w:val="100"/>
          <w:position w:val="0"/>
        </w:rPr>
        <w:t>、存货</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61"/>
        <w:keepNext w:val="0"/>
        <w:keepLines w:val="0"/>
        <w:widowControl w:val="0"/>
        <w:shd w:val="clear" w:color="auto" w:fill="auto"/>
        <w:bidi w:val="0"/>
        <w:spacing w:before="0" w:line="240" w:lineRule="auto"/>
        <w:ind w:left="0" w:right="0" w:firstLine="0"/>
        <w:jc w:val="left"/>
      </w:pPr>
      <w:bookmarkStart w:id="1284" w:name="bookmark1284"/>
      <w:r>
        <w:rPr>
          <w:color w:val="000000"/>
          <w:spacing w:val="0"/>
          <w:w w:val="100"/>
          <w:position w:val="0"/>
        </w:rPr>
        <w:t>（</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）存货分类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4"/>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707,688,059.53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14,627,853.58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693,060,205.95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658,354,624.25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24,045,151.88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634,309,472.37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707,688,059.53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14,627,853.58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693,060,205.95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658,354,624.25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24,045,151.88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634,309,472.37</w:t>
            </w:r>
          </w:p>
        </w:tc>
      </w:tr>
    </w:tbl>
    <w:p>
      <w:pPr>
        <w:widowControl w:val="0"/>
        <w:spacing w:after="359" w:line="1" w:lineRule="exact"/>
      </w:pPr>
    </w:p>
    <w:p>
      <w:pPr>
        <w:pStyle w:val="Style61"/>
        <w:keepNext w:val="0"/>
        <w:keepLines w:val="0"/>
        <w:widowControl w:val="0"/>
        <w:shd w:val="clear" w:color="auto" w:fill="auto"/>
        <w:bidi w:val="0"/>
        <w:spacing w:before="0" w:line="240" w:lineRule="auto"/>
        <w:ind w:left="0" w:right="0" w:firstLine="0"/>
        <w:jc w:val="left"/>
      </w:pPr>
      <w:bookmarkStart w:id="1285" w:name="bookmark1285"/>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24,045,151.88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-9,417,298.30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14,627,853.58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24,045,151.88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-9,417,298.30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14,627,853.58</w:t>
            </w:r>
          </w:p>
        </w:tc>
      </w:tr>
    </w:tbl>
    <w:p>
      <w:pPr>
        <w:pStyle w:val="Style2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存货可变现净值是按存货的估计售价减去至完工时估计将要发生的成本、估计的销售费用以及相关税费后的金额。在确定存 货的可变现净值时，以取得的确凿证据为基础，同时考虑持有存货的目的以及资产负债表日后事项的影响，除有明确证据表 明资产负债表日市场价格异常外，本期期末存货项目的可变现净值以资产负债表日市场价格为基础确定。</w:t>
      </w:r>
    </w:p>
    <w:p>
      <w:pPr>
        <w:pStyle w:val="Style61"/>
        <w:keepNext w:val="0"/>
        <w:keepLines w:val="0"/>
        <w:widowControl w:val="0"/>
        <w:shd w:val="clear" w:color="auto" w:fill="auto"/>
        <w:tabs>
          <w:tab w:pos="493" w:val="left"/>
        </w:tabs>
        <w:bidi w:val="0"/>
        <w:spacing w:before="0" w:after="280" w:line="240" w:lineRule="auto"/>
        <w:ind w:left="0" w:right="0" w:firstLine="0"/>
        <w:jc w:val="both"/>
      </w:pPr>
      <w:bookmarkStart w:id="1286" w:name="bookmark1286"/>
      <w:r>
        <w:rPr>
          <w:color w:val="000000"/>
          <w:spacing w:val="0"/>
          <w:w w:val="100"/>
          <w:position w:val="0"/>
        </w:rPr>
        <w:t>（</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p>
    <w:p>
      <w:pPr>
        <w:pStyle w:val="Style2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报告期各期末存货余额中无资本化利息金额。</w:t>
      </w:r>
    </w:p>
    <w:p>
      <w:pPr>
        <w:pStyle w:val="Style61"/>
        <w:keepNext w:val="0"/>
        <w:keepLines w:val="0"/>
        <w:widowControl w:val="0"/>
        <w:shd w:val="clear" w:color="auto" w:fill="auto"/>
        <w:tabs>
          <w:tab w:pos="493" w:val="left"/>
        </w:tabs>
        <w:bidi w:val="0"/>
        <w:spacing w:before="0" w:after="380" w:line="240" w:lineRule="auto"/>
        <w:ind w:left="0" w:right="0" w:firstLine="0"/>
        <w:jc w:val="both"/>
      </w:pPr>
      <w:bookmarkStart w:id="1287" w:name="bookmark1287"/>
      <w:r>
        <w:rPr>
          <w:color w:val="000000"/>
          <w:spacing w:val="0"/>
          <w:w w:val="100"/>
          <w:position w:val="0"/>
        </w:rPr>
        <w:t>（</w:t>
      </w:r>
      <w:bookmarkEnd w:id="1287"/>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p>
    <w:p>
      <w:pPr>
        <w:pStyle w:val="Style61"/>
        <w:keepNext w:val="0"/>
        <w:keepLines w:val="0"/>
        <w:widowControl w:val="0"/>
        <w:shd w:val="clear" w:color="auto" w:fill="auto"/>
        <w:tabs>
          <w:tab w:pos="474" w:val="left"/>
        </w:tabs>
        <w:bidi w:val="0"/>
        <w:spacing w:before="0" w:after="380" w:line="240" w:lineRule="auto"/>
        <w:ind w:left="0" w:right="0" w:firstLine="0"/>
        <w:jc w:val="both"/>
      </w:pPr>
      <w:bookmarkStart w:id="1288" w:name="bookmark1288"/>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p>
    <w:p>
      <w:pPr>
        <w:pStyle w:val="Style61"/>
        <w:keepNext w:val="0"/>
        <w:keepLines w:val="0"/>
        <w:widowControl w:val="0"/>
        <w:shd w:val="clear" w:color="auto" w:fill="auto"/>
        <w:tabs>
          <w:tab w:pos="474" w:val="left"/>
        </w:tabs>
        <w:bidi w:val="0"/>
        <w:spacing w:before="0" w:after="380" w:line="240" w:lineRule="auto"/>
        <w:ind w:left="0" w:right="0" w:firstLine="0"/>
        <w:jc w:val="both"/>
      </w:pPr>
      <w:bookmarkStart w:id="1289" w:name="bookmark1289"/>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p>
    <w:p>
      <w:pPr>
        <w:pStyle w:val="Style61"/>
        <w:keepNext w:val="0"/>
        <w:keepLines w:val="0"/>
        <w:widowControl w:val="0"/>
        <w:shd w:val="clear" w:color="auto" w:fill="auto"/>
        <w:tabs>
          <w:tab w:pos="474" w:val="left"/>
        </w:tabs>
        <w:bidi w:val="0"/>
        <w:spacing w:before="0" w:after="380" w:line="240" w:lineRule="auto"/>
        <w:ind w:left="0" w:right="0" w:firstLine="0"/>
        <w:jc w:val="both"/>
      </w:pPr>
      <w:bookmarkStart w:id="1290" w:name="bookmark1290"/>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西藏信托保障金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61"/>
        <w:keepNext w:val="0"/>
        <w:keepLines w:val="0"/>
        <w:widowControl w:val="0"/>
        <w:shd w:val="clear" w:color="auto" w:fill="auto"/>
        <w:bidi w:val="0"/>
        <w:spacing w:before="0" w:after="380" w:line="240" w:lineRule="auto"/>
        <w:ind w:left="0" w:right="0" w:firstLine="0"/>
        <w:jc w:val="both"/>
      </w:pPr>
      <w:bookmarkStart w:id="1291" w:name="bookmark1291"/>
      <w:r>
        <w:rPr>
          <w:rFonts w:ascii="Times New Roman" w:eastAsia="Times New Roman" w:hAnsi="Times New Roman" w:cs="Times New Roman"/>
          <w:color w:val="000000"/>
          <w:spacing w:val="0"/>
          <w:w w:val="100"/>
          <w:position w:val="0"/>
        </w:rPr>
        <w:t>1</w:t>
      </w:r>
      <w:bookmarkEnd w:id="129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应退企业所得税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22,858,330.08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80,423,581.45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待抵扣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增值税留抵税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12,125,127.16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22,882,287.55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6,235,474.83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7,433,725.64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41,218,932.07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110,739,594.64</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61"/>
        <w:keepNext w:val="0"/>
        <w:keepLines w:val="0"/>
        <w:widowControl w:val="0"/>
        <w:shd w:val="clear" w:color="auto" w:fill="auto"/>
        <w:bidi w:val="0"/>
        <w:spacing w:before="0" w:after="380" w:line="240" w:lineRule="auto"/>
        <w:ind w:left="0" w:right="0" w:firstLine="0"/>
        <w:jc w:val="both"/>
      </w:pPr>
      <w:r>
        <w:rPr>
          <w:b w:val="0"/>
          <w:bCs w:val="0"/>
          <w:color w:val="000000"/>
          <w:spacing w:val="0"/>
          <w:w w:val="100"/>
          <w:position w:val="0"/>
        </w:rPr>
        <w:t>期末未发现其他流动资产存在明显减值迹象，故未计提减值准备。</w:t>
      </w:r>
    </w:p>
    <w:p>
      <w:pPr>
        <w:pStyle w:val="Style61"/>
        <w:keepNext w:val="0"/>
        <w:keepLines w:val="0"/>
        <w:widowControl w:val="0"/>
        <w:shd w:val="clear" w:color="auto" w:fill="auto"/>
        <w:bidi w:val="0"/>
        <w:spacing w:before="0" w:after="380" w:line="240" w:lineRule="auto"/>
        <w:ind w:left="0" w:right="0" w:firstLine="0"/>
        <w:jc w:val="both"/>
      </w:pPr>
      <w:bookmarkStart w:id="1292" w:name="bookmark1292"/>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4</w:t>
      </w:r>
      <w:r>
        <w:rPr>
          <w:color w:val="000000"/>
          <w:spacing w:val="0"/>
          <w:w w:val="100"/>
          <w:position w:val="0"/>
        </w:rPr>
        <w:t>、债权投资</w:t>
      </w:r>
      <w:r>
        <w:br w:type="page"/>
      </w:r>
    </w:p>
    <w:p>
      <w:pPr>
        <w:pStyle w:val="Style33"/>
        <w:keepNext/>
        <w:keepLines/>
        <w:widowControl w:val="0"/>
        <w:shd w:val="clear" w:color="auto" w:fill="auto"/>
        <w:tabs>
          <w:tab w:pos="474" w:val="left"/>
        </w:tabs>
        <w:bidi w:val="0"/>
        <w:spacing w:before="0" w:after="36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293"/>
      <w:bookmarkEnd w:id="1294"/>
      <w:bookmarkEnd w:id="1296"/>
    </w:p>
    <w:p>
      <w:pPr>
        <w:pStyle w:val="Style33"/>
        <w:keepNext/>
        <w:keepLines/>
        <w:widowControl w:val="0"/>
        <w:shd w:val="clear" w:color="auto" w:fill="auto"/>
        <w:tabs>
          <w:tab w:pos="474" w:val="left"/>
        </w:tabs>
        <w:bidi w:val="0"/>
        <w:spacing w:before="0" w:after="360" w:line="240" w:lineRule="auto"/>
        <w:ind w:left="0" w:right="0" w:firstLine="0"/>
        <w:jc w:val="left"/>
      </w:pPr>
      <w:bookmarkStart w:id="1293" w:name="bookmark1293"/>
      <w:bookmarkStart w:id="1294" w:name="bookmark1294"/>
      <w:bookmarkStart w:id="1297" w:name="bookmark1297"/>
      <w:bookmarkStart w:id="1298" w:name="bookmark1298"/>
      <w:r>
        <w:rPr>
          <w:rFonts w:ascii="Times New Roman" w:eastAsia="Times New Roman" w:hAnsi="Times New Roman" w:cs="Times New Roman"/>
          <w:color w:val="000000"/>
          <w:spacing w:val="0"/>
          <w:w w:val="100"/>
          <w:position w:val="0"/>
        </w:rPr>
        <w:t>1</w:t>
      </w:r>
      <w:bookmarkEnd w:id="1297"/>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93"/>
      <w:bookmarkEnd w:id="1294"/>
      <w:bookmarkEnd w:id="1298"/>
    </w:p>
    <w:p>
      <w:pPr>
        <w:pStyle w:val="Style33"/>
        <w:keepNext/>
        <w:keepLines/>
        <w:widowControl w:val="0"/>
        <w:shd w:val="clear" w:color="auto" w:fill="auto"/>
        <w:tabs>
          <w:tab w:pos="474" w:val="left"/>
        </w:tabs>
        <w:bidi w:val="0"/>
        <w:spacing w:before="0" w:after="360" w:line="240" w:lineRule="auto"/>
        <w:ind w:left="0" w:right="0" w:firstLine="0"/>
        <w:jc w:val="left"/>
      </w:pPr>
      <w:bookmarkStart w:id="1293" w:name="bookmark1293"/>
      <w:bookmarkStart w:id="1294" w:name="bookmark1294"/>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293"/>
      <w:bookmarkEnd w:id="1294"/>
      <w:bookmarkEnd w:id="13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上饶市数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通教育科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技有限公</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200,162,3</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330,354.4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200,492,7</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北京通通</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互联科技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965,330.0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-437,456. </w:t>
            </w: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527,873.1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无锡埃卡 内基信息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AI Data</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Innovatio n</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Corporati</w:t>
            </w:r>
          </w:p>
          <w:p>
            <w:pPr>
              <w:pStyle w:val="Style24"/>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镇江市软 通极客信 息技术有 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201,127,6</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-107,102.</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201,020,5</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76.10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201,127,6</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-107,102.</w:t>
            </w:r>
          </w:p>
          <w:p>
            <w:pPr>
              <w:pStyle w:val="Style2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201,020,5</w:t>
            </w:r>
          </w:p>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61"/>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期末未发现长期股权投资存在明显减值迹象，故未计提减值准备。</w:t>
      </w:r>
      <w:r>
        <w:br w:type="page"/>
      </w:r>
    </w:p>
    <w:p>
      <w:pPr>
        <w:pStyle w:val="Style33"/>
        <w:keepNext/>
        <w:keepLines/>
        <w:widowControl w:val="0"/>
        <w:shd w:val="clear" w:color="auto" w:fill="auto"/>
        <w:bidi w:val="0"/>
        <w:spacing w:before="0" w:after="40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01"/>
      <w:bookmarkEnd w:id="1302"/>
      <w:bookmarkEnd w:id="1304"/>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贝尔特物联技术无锡有限公司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573,088.48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464,565.13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凯闻信息服务有限公司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1,339,719.17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BRILENT,INC.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北京中关村软件园中以创新投资发展中 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1,975,106.77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北京中关村信息谷资产管理有限公司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4,890,267.66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北京创新信标应用信息技术合伙企业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2,548,195.25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8,694,551.96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入留存收益的金</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指定为以公允价</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值计量且其变动</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计入其他综合收</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贝尔特物联技术 无锡有限公司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4,431,911.52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凯闻信息服务有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BRILENT,INC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3,303,786.57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北京中关村软件 园中以创新投资 发展中心（有限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北京中关村信息 谷资产管理有限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18,655,614.48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北京创新信标应 用信息技术合伙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7,760,591.32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18,443,956.47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以上权益工具投资为非交易性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指定为其他权益工具投资。</w:t>
      </w:r>
      <w:r>
        <w:br w:type="page"/>
      </w:r>
    </w:p>
    <w:p>
      <w:pPr>
        <w:pStyle w:val="Style33"/>
        <w:keepNext/>
        <w:keepLines/>
        <w:widowControl w:val="0"/>
        <w:shd w:val="clear" w:color="auto" w:fill="auto"/>
        <w:tabs>
          <w:tab w:pos="474" w:val="left"/>
        </w:tabs>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05"/>
      <w:bookmarkEnd w:id="1306"/>
      <w:bookmarkEnd w:id="1308"/>
    </w:p>
    <w:p>
      <w:pPr>
        <w:pStyle w:val="Style33"/>
        <w:keepNext/>
        <w:keepLines/>
        <w:widowControl w:val="0"/>
        <w:shd w:val="clear" w:color="auto" w:fill="auto"/>
        <w:tabs>
          <w:tab w:pos="483" w:val="left"/>
        </w:tabs>
        <w:bidi w:val="0"/>
        <w:spacing w:before="0" w:after="380" w:line="240" w:lineRule="auto"/>
        <w:ind w:left="0" w:right="0" w:firstLine="0"/>
        <w:jc w:val="left"/>
      </w:pPr>
      <w:bookmarkStart w:id="1305" w:name="bookmark1305"/>
      <w:bookmarkStart w:id="1306" w:name="bookmark1306"/>
      <w:bookmarkStart w:id="1309" w:name="bookmark1309"/>
      <w:bookmarkStart w:id="1310" w:name="bookmark1310"/>
      <w:r>
        <w:rPr>
          <w:rFonts w:ascii="Times New Roman" w:eastAsia="Times New Roman" w:hAnsi="Times New Roman" w:cs="Times New Roman"/>
          <w:color w:val="000000"/>
          <w:spacing w:val="0"/>
          <w:w w:val="100"/>
          <w:position w:val="0"/>
        </w:rPr>
        <w:t>2</w:t>
      </w:r>
      <w:bookmarkEnd w:id="1309"/>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305"/>
      <w:bookmarkEnd w:id="1306"/>
      <w:bookmarkEnd w:id="1310"/>
    </w:p>
    <w:p>
      <w:pPr>
        <w:pStyle w:val="Style33"/>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05"/>
      <w:bookmarkEnd w:id="1306"/>
      <w:bookmarkEnd w:id="1312"/>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43,434,758.03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30,240,993.58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73,675,751.61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9,918,407.66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10,892,654.90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9,918,407.66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10,892,654.90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43,093,202.38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27,268,934.87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70,362,137.25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）转回至固 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43,093,202.38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27,268,934.87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70,362,137.25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10,259,963.31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3,946,305.95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14,206,269.26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6,912,942.81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4,783,253.94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11,696,196.75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2,410,221.98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435,011.50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2,845,233.48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338,722.93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226,163.32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564,886.25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 资产转入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2,071,499.05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2,280,347.23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7,230,436.51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4,484,277.69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11,714,714.20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）转回至固 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7,230,436.51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4,484,277.69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11,714,714.20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2,092,728.28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733,987.75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2,826,716.03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8,167,235.03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3,212,318.20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11,379,553.23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36,521,815.22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25,457,739.64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61,979,554.86</w:t>
            </w:r>
          </w:p>
        </w:tc>
      </w:tr>
    </w:tbl>
    <w:p>
      <w:pPr>
        <w:widowControl w:val="0"/>
        <w:spacing w:after="319" w:line="1" w:lineRule="exact"/>
      </w:pPr>
    </w:p>
    <w:p>
      <w:pPr>
        <w:pStyle w:val="Style33"/>
        <w:keepNext/>
        <w:keepLines/>
        <w:widowControl w:val="0"/>
        <w:shd w:val="clear" w:color="auto" w:fill="auto"/>
        <w:tabs>
          <w:tab w:pos="493" w:val="left"/>
        </w:tabs>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color w:val="000000"/>
          <w:spacing w:val="0"/>
          <w:w w:val="100"/>
          <w:position w:val="0"/>
        </w:rPr>
        <w:t>（</w:t>
      </w:r>
      <w:bookmarkEnd w:id="131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13"/>
      <w:bookmarkEnd w:id="1314"/>
      <w:bookmarkEnd w:id="1316"/>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color w:val="000000"/>
          <w:spacing w:val="0"/>
          <w:w w:val="100"/>
          <w:position w:val="0"/>
        </w:rPr>
        <w:t>（</w:t>
      </w:r>
      <w:bookmarkEnd w:id="131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17"/>
      <w:bookmarkEnd w:id="1318"/>
      <w:bookmarkEnd w:id="132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期末未发现投资性房地产存在明显减值迹象，故未计提减值准备。</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日用于借款抵押的投资性房地产，详见本附注七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33"/>
        <w:keepNext/>
        <w:keepLines/>
        <w:widowControl w:val="0"/>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21"/>
      <w:bookmarkEnd w:id="1322"/>
      <w:bookmarkEnd w:id="132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730,302,804.96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642,413,087.04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730,302,804.96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642,413,087.04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25"/>
      <w:bookmarkEnd w:id="1326"/>
      <w:bookmarkEnd w:id="132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房屋建筑物附属设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479,068,214.97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23,957,908.95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3,484,093.00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506,234,917.69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1,012,745,134.61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43,093,202.38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164,129,700.10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207,312,852.48</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164,129,700.10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164,219,650.10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）投资性房 地产转回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43,093,202.38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43,093,202.38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9,918,407.66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65,432,048.59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75,755,656.25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65,304,870.97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65,710,070.97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）汇率折 算影响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127,177.62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127,177.62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）转入投 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9,918,407.66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9,918,407.66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512,243,009.69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24,047,858.95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3,078,893.00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604,932,569.20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1,144,302,330.84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85,230,419.85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17,081,467.44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3,046,275.83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264,973,884.45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370,332,047.57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18,068,430.87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1,141,138.26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90,654,115.56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110,021,502.71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10,837,994.36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1,141,138.26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90,654,115.56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102,791,066.20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）投资性房 地产转回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7,230,436.51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7,230,436.51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2,071,499.05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63,877,325.35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66,354,024.40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63,779,692.88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64,184,892.88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）汇率折 算影响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97,632.47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97,632.47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）转入投 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2,071,499.05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2,071,499.05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101,227,351.67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18,222,605.70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2,798,893.85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291,750,674.66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413,999,525.88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411,015,658.02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5,825,253.25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279,999.15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313,181,894.54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730,302,804.96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393,837,795.12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6,876,441.51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437,817.17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241,261,033.24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642,413,087.04</w:t>
            </w:r>
          </w:p>
        </w:tc>
      </w:tr>
    </w:tbl>
    <w:p>
      <w:pPr>
        <w:widowControl w:val="0"/>
        <w:spacing w:after="359" w:line="1" w:lineRule="exact"/>
      </w:pPr>
    </w:p>
    <w:p>
      <w:pPr>
        <w:pStyle w:val="Style61"/>
        <w:keepNext w:val="0"/>
        <w:keepLines w:val="0"/>
        <w:widowControl w:val="0"/>
        <w:shd w:val="clear" w:color="auto" w:fill="auto"/>
        <w:tabs>
          <w:tab w:pos="493" w:val="left"/>
        </w:tabs>
        <w:bidi w:val="0"/>
        <w:spacing w:before="0" w:line="240" w:lineRule="auto"/>
        <w:ind w:left="0" w:right="0" w:firstLine="0"/>
        <w:jc w:val="both"/>
      </w:pPr>
      <w:bookmarkStart w:id="1329" w:name="bookmark1329"/>
      <w:r>
        <w:rPr>
          <w:color w:val="000000"/>
          <w:spacing w:val="0"/>
          <w:w w:val="100"/>
          <w:position w:val="0"/>
        </w:rPr>
        <w:t>（</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p>
    <w:p>
      <w:pPr>
        <w:pStyle w:val="Style61"/>
        <w:keepNext w:val="0"/>
        <w:keepLines w:val="0"/>
        <w:widowControl w:val="0"/>
        <w:shd w:val="clear" w:color="auto" w:fill="auto"/>
        <w:tabs>
          <w:tab w:pos="493" w:val="left"/>
        </w:tabs>
        <w:bidi w:val="0"/>
        <w:spacing w:before="0" w:line="240" w:lineRule="auto"/>
        <w:ind w:left="0" w:right="0" w:firstLine="0"/>
        <w:jc w:val="both"/>
      </w:pPr>
      <w:bookmarkStart w:id="1330" w:name="bookmark1330"/>
      <w:r>
        <w:rPr>
          <w:color w:val="000000"/>
          <w:spacing w:val="0"/>
          <w:w w:val="100"/>
          <w:position w:val="0"/>
        </w:rPr>
        <w:t>（</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p>
    <w:p>
      <w:pPr>
        <w:pStyle w:val="Style61"/>
        <w:keepNext w:val="0"/>
        <w:keepLines w:val="0"/>
        <w:widowControl w:val="0"/>
        <w:shd w:val="clear" w:color="auto" w:fill="auto"/>
        <w:tabs>
          <w:tab w:pos="493" w:val="left"/>
        </w:tabs>
        <w:bidi w:val="0"/>
        <w:spacing w:before="0" w:line="240" w:lineRule="auto"/>
        <w:ind w:left="0" w:right="0" w:firstLine="0"/>
        <w:jc w:val="both"/>
      </w:pPr>
      <w:bookmarkStart w:id="1331" w:name="bookmark1331"/>
      <w:r>
        <w:rPr>
          <w:color w:val="000000"/>
          <w:spacing w:val="0"/>
          <w:w w:val="100"/>
          <w:position w:val="0"/>
        </w:rPr>
        <w:t>（</w:t>
      </w:r>
      <w:bookmarkEnd w:id="1331"/>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p>
    <w:p>
      <w:pPr>
        <w:pStyle w:val="Style61"/>
        <w:keepNext w:val="0"/>
        <w:keepLines w:val="0"/>
        <w:widowControl w:val="0"/>
        <w:shd w:val="clear" w:color="auto" w:fill="auto"/>
        <w:tabs>
          <w:tab w:pos="493" w:val="left"/>
        </w:tabs>
        <w:bidi w:val="0"/>
        <w:spacing w:before="0" w:line="240" w:lineRule="auto"/>
        <w:ind w:left="0" w:right="0" w:firstLine="0"/>
        <w:jc w:val="both"/>
      </w:pPr>
      <w:bookmarkStart w:id="1332" w:name="bookmark1332"/>
      <w:r>
        <w:rPr>
          <w:color w:val="000000"/>
          <w:spacing w:val="0"/>
          <w:w w:val="100"/>
          <w:position w:val="0"/>
        </w:rPr>
        <w:t>（</w:t>
      </w:r>
      <w:bookmarkEnd w:id="1332"/>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p>
    <w:p>
      <w:pPr>
        <w:pStyle w:val="Style61"/>
        <w:keepNext w:val="0"/>
        <w:keepLines w:val="0"/>
        <w:widowControl w:val="0"/>
        <w:shd w:val="clear" w:color="auto" w:fill="auto"/>
        <w:tabs>
          <w:tab w:pos="483" w:val="left"/>
        </w:tabs>
        <w:bidi w:val="0"/>
        <w:spacing w:before="0" w:line="240" w:lineRule="auto"/>
        <w:ind w:left="0" w:right="0" w:firstLine="0"/>
        <w:jc w:val="both"/>
      </w:pPr>
      <w:bookmarkStart w:id="1333" w:name="bookmark1333"/>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p>
    <w:p>
      <w:pPr>
        <w:pStyle w:val="Style61"/>
        <w:keepNext w:val="0"/>
        <w:keepLines w:val="0"/>
        <w:widowControl w:val="0"/>
        <w:shd w:val="clear" w:color="auto" w:fill="auto"/>
        <w:tabs>
          <w:tab w:pos="483" w:val="left"/>
        </w:tabs>
        <w:bidi w:val="0"/>
        <w:spacing w:before="0" w:line="240" w:lineRule="auto"/>
        <w:ind w:left="0" w:right="0" w:firstLine="0"/>
        <w:jc w:val="both"/>
      </w:pPr>
      <w:bookmarkStart w:id="1334" w:name="bookmark1334"/>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p>
    <w:p>
      <w:pPr>
        <w:pStyle w:val="Style61"/>
        <w:keepNext w:val="0"/>
        <w:keepLines w:val="0"/>
        <w:widowControl w:val="0"/>
        <w:shd w:val="clear" w:color="auto" w:fill="auto"/>
        <w:tabs>
          <w:tab w:pos="483" w:val="left"/>
        </w:tabs>
        <w:bidi w:val="0"/>
        <w:spacing w:before="0" w:line="240" w:lineRule="auto"/>
        <w:ind w:left="0" w:right="0" w:firstLine="0"/>
        <w:jc w:val="both"/>
      </w:pPr>
      <w:bookmarkStart w:id="1335" w:name="bookmark1335"/>
      <w:r>
        <w:rPr>
          <w:rFonts w:ascii="Times New Roman" w:eastAsia="Times New Roman" w:hAnsi="Times New Roman" w:cs="Times New Roman"/>
          <w:color w:val="000000"/>
          <w:spacing w:val="0"/>
          <w:w w:val="100"/>
          <w:position w:val="0"/>
        </w:rPr>
        <w:t>2</w:t>
      </w:r>
      <w:bookmarkEnd w:id="1335"/>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p>
    <w:p>
      <w:pPr>
        <w:pStyle w:val="Style61"/>
        <w:keepNext w:val="0"/>
        <w:keepLines w:val="0"/>
        <w:widowControl w:val="0"/>
        <w:shd w:val="clear" w:color="auto" w:fill="auto"/>
        <w:tabs>
          <w:tab w:pos="483" w:val="left"/>
        </w:tabs>
        <w:bidi w:val="0"/>
        <w:spacing w:before="0" w:line="240" w:lineRule="auto"/>
        <w:ind w:left="0" w:right="0" w:firstLine="0"/>
        <w:jc w:val="both"/>
      </w:pPr>
      <w:bookmarkStart w:id="1336" w:name="bookmark1336"/>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216,026,296.20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216,026,296.20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309,168,830.57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309,168,830.57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309,168,830.57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309,168,830.57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13,928,448.56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13,928,448.56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13,727,636.37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13,727,636.37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200,812.19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200,812.19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511,266,678.21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511,266,678.21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48,854,446.98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48,854,446.98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117,102,548.13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117,102,548.13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117,102,548.13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117,102,548.13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5,393,864.41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5,393,864.41</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5,323,073.27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5,323,073.27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70,791.14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160,563,130.70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160,563,130.70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350,703,547.51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350,703,547.51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167,171,849.22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167,171,849.22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37"/>
      <w:bookmarkEnd w:id="1338"/>
      <w:bookmarkEnd w:id="1340"/>
    </w:p>
    <w:p>
      <w:pPr>
        <w:pStyle w:val="Style33"/>
        <w:keepNext/>
        <w:keepLines/>
        <w:widowControl w:val="0"/>
        <w:shd w:val="clear" w:color="auto" w:fill="auto"/>
        <w:bidi w:val="0"/>
        <w:spacing w:before="0" w:after="380" w:line="240" w:lineRule="auto"/>
        <w:ind w:left="0" w:right="0" w:firstLine="0"/>
        <w:jc w:val="left"/>
      </w:pPr>
      <w:bookmarkStart w:id="1337" w:name="bookmark1337"/>
      <w:bookmarkStart w:id="1338" w:name="bookmark1338"/>
      <w:bookmarkStart w:id="1341" w:name="bookmark1341"/>
      <w:bookmarkStart w:id="1342" w:name="bookmark1342"/>
      <w:r>
        <w:rPr>
          <w:color w:val="000000"/>
          <w:spacing w:val="0"/>
          <w:w w:val="100"/>
          <w:position w:val="0"/>
        </w:rPr>
        <w:t>（</w:t>
      </w:r>
      <w:bookmarkEnd w:id="134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37"/>
      <w:bookmarkEnd w:id="1338"/>
      <w:bookmarkEnd w:id="134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213,112,006.42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214,326,088.22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427,438,094.64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27,268,934.87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34,660,183.13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61,929,118.00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8,118,156.76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8,118,156.76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26,542,026.37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26,542,026.37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）投资性 房地产转回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27,268,934.87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27,268,934.87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974,247.24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1,807,899.64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2,782,146.88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1,326,823.44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1,326,823.44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率折算影响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481,076.20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481,076.20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40"/>
              <w:jc w:val="left"/>
            </w:pPr>
            <w:r>
              <w:rPr>
                <w:color w:val="000000"/>
                <w:spacing w:val="0"/>
                <w:w w:val="100"/>
                <w:position w:val="0"/>
              </w:rPr>
              <w:t>⑶转 入投资性房地产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974,247.24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974,247.24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239,406,694.05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247,178,371.71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486,585,065.76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34,719,214.52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119,456,946.65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154,176,161.17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9,356,574.15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38,263,851.79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47,620,425.94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4,872,296.46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38,263,851.79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43,136,148.25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资性房地产转回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4,484,277.69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4,484,277.69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208,848.18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1,789,860.10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1,998,708.28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1,309,615.11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1,309,615.11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率折算影响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480,244.99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480,244.99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40"/>
              <w:jc w:val="left"/>
            </w:pPr>
            <w:r>
              <w:rPr>
                <w:color w:val="000000"/>
                <w:spacing w:val="0"/>
                <w:w w:val="100"/>
                <w:position w:val="0"/>
              </w:rPr>
              <w:t>⑶转 入投资性房地产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208,848.18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208,848.18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43,866,940.49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155,930,938.34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199,797,878.83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195,539,753.56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91,247,433.37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286,787,186.93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178,392,791.90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94,869,141.57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273,261,933.47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17.82%</w:t>
      </w:r>
      <w:r>
        <w:rPr>
          <w:color w:val="000000"/>
          <w:spacing w:val="0"/>
          <w:w w:val="100"/>
          <w:position w:val="0"/>
        </w:rPr>
        <w:t>。</w:t>
      </w:r>
      <w:r>
        <w:br w:type="page"/>
      </w:r>
    </w:p>
    <w:p>
      <w:pPr>
        <w:pStyle w:val="Style33"/>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w:t>
      </w:r>
      <w:bookmarkEnd w:id="134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43"/>
      <w:bookmarkEnd w:id="1344"/>
      <w:bookmarkEnd w:id="1346"/>
    </w:p>
    <w:p>
      <w:pPr>
        <w:pStyle w:val="Style33"/>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43"/>
      <w:bookmarkEnd w:id="1344"/>
      <w:bookmarkEnd w:id="1348"/>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确认为无形</w:t>
            </w:r>
          </w:p>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术架构研发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1,110,745.43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1,338,876.30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1,288,610.10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1,161,011.63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软通员工共</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享服务中心</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平台研发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1,255,659.30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1,279,069.08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2,534,728.38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软通人力资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源管理系统</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1,574,624.64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5,633,920.99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5,711,401.47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1,497,144.16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软通</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专</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业服务自动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化系统研发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3,147,189.98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25,551,328.1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12,725,328.2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15,973,189.8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智 能化技术和 工具研发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2,160,302.58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5,179,495.65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4,281,958.17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3,057,840.06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费用化研发 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1,001,047,04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1,001,047,04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9,248,521.93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1,040,029,73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26,542,026.3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1,001,047,04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21,689,185.7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widowControl w:val="0"/>
        <w:spacing w:line="1" w:lineRule="exact"/>
      </w:pPr>
    </w:p>
    <w:tbl>
      <w:tblPr>
        <w:tblOverlap w:val="never"/>
        <w:jc w:val="center"/>
        <w:tblLayout w:type="fixed"/>
      </w:tblPr>
      <w:tblGrid>
        <w:gridCol w:w="2962"/>
        <w:gridCol w:w="3384"/>
        <w:gridCol w:w="3331"/>
      </w:tblGrid>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资本化开始的时点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截至期末的研发进度</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技术架构研发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软通员工共享服务中心平台研发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软通人力资源管理系统研发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专业服务自动化系统研发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w:t>
            </w:r>
            <w:r>
              <w:rPr>
                <w:rFonts w:ascii="Times New Roman" w:eastAsia="Times New Roman" w:hAnsi="Times New Roman" w:cs="Times New Roman"/>
                <w:color w:val="000000"/>
                <w:spacing w:val="0"/>
                <w:w w:val="100"/>
                <w:position w:val="0"/>
                <w:sz w:val="18"/>
                <w:szCs w:val="18"/>
              </w:rPr>
              <w:t>iPSA</w:t>
            </w:r>
            <w:r>
              <w:rPr>
                <w:color w:val="000000"/>
                <w:spacing w:val="0"/>
                <w:w w:val="100"/>
                <w:position w:val="0"/>
              </w:rPr>
              <w:t>智能化技术和工具研发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开发中</w:t>
            </w: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本公司在研究开发阶段有足够的技术等相关资源支持且研究开发的内容具有针对性，开发支出能够可靠计量，形成的开发成 果可使用。</w:t>
      </w:r>
    </w:p>
    <w:p>
      <w:pPr>
        <w:widowControl w:val="0"/>
        <w:spacing w:after="279" w:line="1" w:lineRule="exact"/>
      </w:pPr>
    </w:p>
    <w:p>
      <w:pPr>
        <w:pStyle w:val="Style33"/>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49"/>
      <w:bookmarkEnd w:id="1350"/>
      <w:bookmarkEnd w:id="1351"/>
    </w:p>
    <w:p>
      <w:pPr>
        <w:pStyle w:val="Style33"/>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49"/>
      <w:bookmarkEnd w:id="1350"/>
      <w:bookmarkEnd w:id="1353"/>
    </w:p>
    <w:p>
      <w:pPr>
        <w:pStyle w:val="Style22"/>
        <w:keepNext w:val="0"/>
        <w:keepLines w:val="0"/>
        <w:widowControl w:val="0"/>
        <w:shd w:val="clear" w:color="auto" w:fill="auto"/>
        <w:bidi w:val="0"/>
        <w:spacing w:before="0" w:after="380" w:line="240" w:lineRule="auto"/>
        <w:ind w:left="0" w:right="0" w:firstLine="0"/>
        <w:jc w:val="right"/>
      </w:pPr>
      <w:bookmarkStart w:id="1354" w:name="bookmark1354"/>
      <w:r>
        <w:rPr>
          <w:color w:val="000000"/>
          <w:spacing w:val="0"/>
          <w:w w:val="100"/>
          <w:position w:val="0"/>
        </w:rPr>
        <w:t>单</w:t>
      </w:r>
      <w:bookmarkEnd w:id="1354"/>
      <w:r>
        <w:rPr>
          <w:color w:val="000000"/>
          <w:spacing w:val="0"/>
          <w:w w:val="100"/>
          <w:position w:val="0"/>
        </w:rPr>
        <w:t>位：元</w:t>
      </w: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汇率变动影响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iSoftStone,Inc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100,753,247.72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2,303,849.04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98,449,398.68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北京软通旭天科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46,793,102.32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46,793,102.32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上海康时信息系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35,655,007.46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35,655,007.46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183,201,357.50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2,303,849.04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180,897,508.46</w:t>
            </w:r>
          </w:p>
        </w:tc>
      </w:tr>
    </w:tbl>
    <w:p>
      <w:pPr>
        <w:widowControl w:val="0"/>
        <w:spacing w:after="299" w:line="1" w:lineRule="exact"/>
      </w:pPr>
    </w:p>
    <w:p>
      <w:pPr>
        <w:pStyle w:val="Style33"/>
        <w:keepNext/>
        <w:keepLines/>
        <w:widowControl w:val="0"/>
        <w:numPr>
          <w:ilvl w:val="0"/>
          <w:numId w:val="95"/>
        </w:numPr>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商誉减值准备</w:t>
      </w:r>
      <w:bookmarkEnd w:id="1355"/>
      <w:bookmarkEnd w:id="1356"/>
      <w:bookmarkEnd w:id="135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汇率变动影响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iSoftStone,Inc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产组组合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100,753,247.72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2,303,849.04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98,449,398.68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北京软通旭天科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上海康时信息系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35,655,007.46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35,655,007.46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136,408,255.18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2,303,849.04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134,104,406.14</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61"/>
        <w:keepNext w:val="0"/>
        <w:keepLines w:val="0"/>
        <w:widowControl w:val="0"/>
        <w:numPr>
          <w:ilvl w:val="0"/>
          <w:numId w:val="97"/>
        </w:numPr>
        <w:shd w:val="clear" w:color="auto" w:fill="auto"/>
        <w:bidi w:val="0"/>
        <w:spacing w:before="0" w:after="0" w:line="240" w:lineRule="auto"/>
        <w:ind w:left="0" w:right="0" w:firstLine="440"/>
        <w:jc w:val="left"/>
      </w:pPr>
      <w:bookmarkStart w:id="1359" w:name="bookmark1359"/>
      <w:bookmarkEnd w:id="1359"/>
      <w:r>
        <w:rPr>
          <w:b w:val="0"/>
          <w:bCs w:val="0"/>
          <w:color w:val="000000"/>
          <w:spacing w:val="0"/>
          <w:w w:val="100"/>
          <w:position w:val="0"/>
        </w:rPr>
        <w:t>北京软通旭天科技发展有限公司</w:t>
      </w:r>
    </w:p>
    <w:tbl>
      <w:tblPr>
        <w:tblOverlap w:val="never"/>
        <w:jc w:val="center"/>
        <w:tblLayout w:type="fixed"/>
      </w:tblPr>
      <w:tblGrid>
        <w:gridCol w:w="4128"/>
        <w:gridCol w:w="5549"/>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北京软通旭天科技发展有限公司</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资产组或资产组组合的构成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旭天办公大楼</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资产组或资产组组合的账面价值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457, 538, </w:t>
            </w:r>
            <w:r>
              <w:rPr>
                <w:color w:val="000000"/>
                <w:spacing w:val="0"/>
                <w:w w:val="100"/>
                <w:position w:val="0"/>
                <w:sz w:val="18"/>
                <w:szCs w:val="18"/>
              </w:rPr>
              <w:t xml:space="preserve">884. </w:t>
            </w:r>
            <w:r>
              <w:rPr>
                <w:color w:val="000000"/>
                <w:spacing w:val="0"/>
                <w:w w:val="100"/>
                <w:position w:val="0"/>
                <w:sz w:val="18"/>
                <w:szCs w:val="18"/>
              </w:rPr>
              <w:t>68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旭天办公大楼可以带来独立的现金流，可将其认定为一个单独的资产组</w:t>
            </w:r>
          </w:p>
        </w:tc>
      </w:tr>
      <w:tr>
        <w:trPr>
          <w:trHeight w:val="6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资产组或资产组组合是否与购买日、以前年度商誉减 值测试时所确定的资产组或资产组组合一致</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22"/>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9"/>
        <w:keepNext w:val="0"/>
        <w:keepLines w:val="0"/>
        <w:widowControl w:val="0"/>
        <w:shd w:val="clear" w:color="auto" w:fill="auto"/>
        <w:bidi w:val="0"/>
        <w:spacing w:before="0" w:after="0" w:line="240" w:lineRule="auto"/>
        <w:ind w:left="442" w:right="0" w:firstLine="0"/>
        <w:jc w:val="left"/>
      </w:pPr>
      <w:r>
        <w:rPr>
          <w:color w:val="000000"/>
          <w:spacing w:val="0"/>
          <w:w w:val="100"/>
          <w:position w:val="0"/>
          <w:sz w:val="18"/>
          <w:szCs w:val="18"/>
        </w:rPr>
        <w:t>(1)</w:t>
      </w:r>
      <w:r>
        <w:rPr>
          <w:color w:val="000000"/>
          <w:spacing w:val="0"/>
          <w:w w:val="100"/>
          <w:position w:val="0"/>
        </w:rPr>
        <w:t>商誉减值测试情况:</w:t>
      </w:r>
    </w:p>
    <w:tbl>
      <w:tblPr>
        <w:tblOverlap w:val="never"/>
        <w:jc w:val="center"/>
        <w:tblLayout w:type="fixed"/>
      </w:tblPr>
      <w:tblGrid>
        <w:gridCol w:w="6029"/>
        <w:gridCol w:w="3648"/>
      </w:tblGrid>
      <w:tr>
        <w:trPr>
          <w:trHeight w:val="33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北京软通旭天科技发展有限公司</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46, 793, </w:t>
            </w:r>
            <w:r>
              <w:rPr>
                <w:color w:val="000000"/>
                <w:spacing w:val="0"/>
                <w:w w:val="100"/>
                <w:position w:val="0"/>
                <w:sz w:val="18"/>
                <w:szCs w:val="18"/>
              </w:rPr>
              <w:t xml:space="preserve">102. </w:t>
            </w:r>
            <w:r>
              <w:rPr>
                <w:color w:val="000000"/>
                <w:spacing w:val="0"/>
                <w:w w:val="100"/>
                <w:position w:val="0"/>
                <w:sz w:val="18"/>
                <w:szCs w:val="18"/>
              </w:rPr>
              <w:t>32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商誉减值准备余额②</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商誉的账面价值③=①-②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46, 793, </w:t>
            </w:r>
            <w:r>
              <w:rPr>
                <w:color w:val="000000"/>
                <w:spacing w:val="0"/>
                <w:w w:val="100"/>
                <w:position w:val="0"/>
                <w:sz w:val="18"/>
                <w:szCs w:val="18"/>
              </w:rPr>
              <w:t xml:space="preserve">102. </w:t>
            </w:r>
            <w:r>
              <w:rPr>
                <w:color w:val="000000"/>
                <w:spacing w:val="0"/>
                <w:w w:val="100"/>
                <w:position w:val="0"/>
                <w:sz w:val="18"/>
                <w:szCs w:val="18"/>
              </w:rPr>
              <w:t>32</w:t>
            </w:r>
          </w:p>
        </w:tc>
      </w:tr>
    </w:tbl>
    <w:p>
      <w:pPr>
        <w:widowControl w:val="0"/>
        <w:spacing w:line="1" w:lineRule="exact"/>
      </w:pPr>
      <w:r>
        <w:br w:type="page"/>
      </w:r>
    </w:p>
    <w:tbl>
      <w:tblPr>
        <w:tblOverlap w:val="never"/>
        <w:jc w:val="center"/>
        <w:tblLayout w:type="fixed"/>
      </w:tblPr>
      <w:tblGrid>
        <w:gridCol w:w="6029"/>
        <w:gridCol w:w="3648"/>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北京软通旭天科技发展有限公司</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包含未确认归属于少数股东权益的商誉价值⑤=④+③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color w:val="000000"/>
                <w:spacing w:val="0"/>
                <w:w w:val="100"/>
                <w:position w:val="0"/>
                <w:sz w:val="18"/>
                <w:szCs w:val="18"/>
              </w:rPr>
              <w:t xml:space="preserve">46, </w:t>
            </w:r>
            <w:r>
              <w:rPr>
                <w:color w:val="000000"/>
                <w:spacing w:val="0"/>
                <w:w w:val="100"/>
                <w:position w:val="0"/>
                <w:sz w:val="18"/>
                <w:szCs w:val="18"/>
              </w:rPr>
              <w:t>793,102.32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拆分后分摊至各资产组的包含未确认归属于少数股东权益的商誉价值⑥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left"/>
              <w:rPr>
                <w:sz w:val="18"/>
                <w:szCs w:val="18"/>
              </w:rPr>
            </w:pPr>
            <w:r>
              <w:rPr>
                <w:color w:val="000000"/>
                <w:spacing w:val="0"/>
                <w:w w:val="100"/>
                <w:position w:val="0"/>
                <w:sz w:val="18"/>
                <w:szCs w:val="18"/>
              </w:rPr>
              <w:t xml:space="preserve">46, 793, </w:t>
            </w:r>
            <w:r>
              <w:rPr>
                <w:color w:val="000000"/>
                <w:spacing w:val="0"/>
                <w:w w:val="100"/>
                <w:position w:val="0"/>
                <w:sz w:val="18"/>
                <w:szCs w:val="18"/>
              </w:rPr>
              <w:t xml:space="preserve">102. </w:t>
            </w:r>
            <w:r>
              <w:rPr>
                <w:color w:val="000000"/>
                <w:spacing w:val="0"/>
                <w:w w:val="100"/>
                <w:position w:val="0"/>
                <w:sz w:val="18"/>
                <w:szCs w:val="18"/>
              </w:rPr>
              <w:t>32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 xml:space="preserve">457, 538, </w:t>
            </w:r>
            <w:r>
              <w:rPr>
                <w:color w:val="000000"/>
                <w:spacing w:val="0"/>
                <w:w w:val="100"/>
                <w:position w:val="0"/>
                <w:sz w:val="18"/>
                <w:szCs w:val="18"/>
              </w:rPr>
              <w:t xml:space="preserve">884. </w:t>
            </w:r>
            <w:r>
              <w:rPr>
                <w:color w:val="000000"/>
                <w:spacing w:val="0"/>
                <w:w w:val="100"/>
                <w:position w:val="0"/>
                <w:sz w:val="18"/>
                <w:szCs w:val="18"/>
              </w:rPr>
              <w:t>68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包含整体商誉的资产组的账面价值⑧二⑥+⑦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 xml:space="preserve">504, </w:t>
            </w:r>
            <w:r>
              <w:rPr>
                <w:color w:val="000000"/>
                <w:spacing w:val="0"/>
                <w:w w:val="100"/>
                <w:position w:val="0"/>
                <w:sz w:val="18"/>
                <w:szCs w:val="18"/>
              </w:rPr>
              <w:t xml:space="preserve">331,987. </w:t>
            </w:r>
            <w:r>
              <w:rPr>
                <w:color w:val="000000"/>
                <w:spacing w:val="0"/>
                <w:w w:val="100"/>
                <w:position w:val="0"/>
                <w:sz w:val="18"/>
                <w:szCs w:val="18"/>
              </w:rPr>
              <w:t>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资产组或资产组组合可收回金额⑨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 xml:space="preserve">654, 000, </w:t>
            </w:r>
            <w:r>
              <w:rPr>
                <w:color w:val="000000"/>
                <w:spacing w:val="0"/>
                <w:w w:val="100"/>
                <w:position w:val="0"/>
                <w:sz w:val="18"/>
                <w:szCs w:val="18"/>
              </w:rPr>
              <w:t xml:space="preserve">000. </w:t>
            </w:r>
            <w:r>
              <w:rPr>
                <w:color w:val="000000"/>
                <w:spacing w:val="0"/>
                <w:w w:val="100"/>
                <w:position w:val="0"/>
                <w:sz w:val="18"/>
                <w:szCs w:val="18"/>
              </w:rPr>
              <w:t>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商誉减值损失（⑩大于</w:t>
            </w:r>
            <w:r>
              <w:rPr>
                <w:color w:val="000000"/>
                <w:spacing w:val="0"/>
                <w:w w:val="100"/>
                <w:position w:val="0"/>
                <w:sz w:val="18"/>
                <w:szCs w:val="18"/>
              </w:rPr>
              <w:t>0</w:t>
            </w:r>
            <w:r>
              <w:rPr>
                <w:color w:val="000000"/>
                <w:spacing w:val="0"/>
                <w:w w:val="100"/>
                <w:position w:val="0"/>
              </w:rPr>
              <w:t>时）⑩二⑧-⑨</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归属于本公司的商誉减值损失</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120" w:line="240" w:lineRule="auto"/>
        <w:ind w:left="422" w:right="0" w:firstLine="0"/>
        <w:jc w:val="left"/>
      </w:pPr>
      <w:r>
        <w:rPr>
          <w:color w:val="000000"/>
          <w:spacing w:val="0"/>
          <w:w w:val="100"/>
          <w:position w:val="0"/>
          <w:sz w:val="18"/>
          <w:szCs w:val="18"/>
        </w:rPr>
        <w:t>（2）</w:t>
      </w:r>
      <w:r>
        <w:rPr>
          <w:color w:val="000000"/>
          <w:spacing w:val="0"/>
          <w:w w:val="100"/>
          <w:position w:val="0"/>
        </w:rPr>
        <w:t>可收回金额的确定方法及依据</w:t>
      </w:r>
      <w:r>
        <w:rPr>
          <w:color w:val="000000"/>
          <w:spacing w:val="0"/>
          <w:w w:val="100"/>
          <w:position w:val="0"/>
        </w:rPr>
        <w:t>一一</w:t>
      </w:r>
      <w:r>
        <w:rPr>
          <w:color w:val="000000"/>
          <w:spacing w:val="0"/>
          <w:w w:val="100"/>
          <w:position w:val="0"/>
        </w:rPr>
        <w:t>北京软通旭天科技发展有限公司</w:t>
      </w:r>
    </w:p>
    <w:p>
      <w:pPr>
        <w:pStyle w:val="Style29"/>
        <w:keepNext w:val="0"/>
        <w:keepLines w:val="0"/>
        <w:widowControl w:val="0"/>
        <w:shd w:val="clear" w:color="auto" w:fill="auto"/>
        <w:bidi w:val="0"/>
        <w:spacing w:before="0" w:after="0" w:line="240" w:lineRule="auto"/>
        <w:ind w:left="422" w:right="0" w:firstLine="0"/>
        <w:jc w:val="left"/>
      </w:pPr>
      <w:r>
        <w:rPr>
          <w:color w:val="000000"/>
          <w:spacing w:val="0"/>
          <w:w w:val="100"/>
          <w:position w:val="0"/>
        </w:rPr>
        <w:t>合并北京软通旭天科技发展有限公司时形成商誉的资产组系旭天办公大楼，具体包含土地使用权及地上建筑物所有权，</w:t>
      </w:r>
    </w:p>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采用收益法测算该资产组于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日的预计未来现金流量的现值。</w:t>
      </w:r>
    </w:p>
    <w:p>
      <w:pPr>
        <w:pStyle w:val="Style22"/>
        <w:keepNext w:val="0"/>
        <w:keepLines w:val="0"/>
        <w:widowControl w:val="0"/>
        <w:shd w:val="clear" w:color="auto" w:fill="auto"/>
        <w:bidi w:val="0"/>
        <w:spacing w:before="0" w:after="0" w:line="309" w:lineRule="exact"/>
        <w:ind w:left="0" w:right="0" w:firstLine="440"/>
        <w:jc w:val="both"/>
      </w:pPr>
      <w:r>
        <w:rPr>
          <w:color w:val="000000"/>
          <w:spacing w:val="0"/>
          <w:w w:val="100"/>
          <w:position w:val="0"/>
        </w:rPr>
        <w:t>主要参数如下：</w:t>
      </w:r>
    </w:p>
    <w:p>
      <w:pPr>
        <w:pStyle w:val="Style22"/>
        <w:keepNext w:val="0"/>
        <w:keepLines w:val="0"/>
        <w:widowControl w:val="0"/>
        <w:numPr>
          <w:ilvl w:val="0"/>
          <w:numId w:val="99"/>
        </w:numPr>
        <w:shd w:val="clear" w:color="auto" w:fill="auto"/>
        <w:tabs>
          <w:tab w:pos="790" w:val="left"/>
        </w:tabs>
        <w:bidi w:val="0"/>
        <w:spacing w:before="0" w:after="0" w:line="309" w:lineRule="exact"/>
        <w:ind w:left="0" w:right="0" w:firstLine="440"/>
        <w:jc w:val="both"/>
        <w:rPr>
          <w:sz w:val="18"/>
          <w:szCs w:val="18"/>
        </w:rPr>
      </w:pPr>
      <w:bookmarkStart w:id="1360" w:name="bookmark1360"/>
      <w:bookmarkEnd w:id="1360"/>
      <w:r>
        <w:rPr>
          <w:color w:val="000000"/>
          <w:spacing w:val="0"/>
          <w:w w:val="100"/>
          <w:position w:val="0"/>
          <w:sz w:val="17"/>
          <w:szCs w:val="17"/>
        </w:rPr>
        <w:t>租金水平：有租约部分的年租金按租赁合同约定的租金水平确定，无租约部分的年租金参考基准日同一区域内市场 租金水平综合确定，取</w:t>
      </w:r>
      <w:r>
        <w:rPr>
          <w:color w:val="000000"/>
          <w:spacing w:val="0"/>
          <w:w w:val="100"/>
          <w:position w:val="0"/>
          <w:sz w:val="18"/>
          <w:szCs w:val="18"/>
        </w:rPr>
        <w:t xml:space="preserve">4. </w:t>
      </w:r>
      <w:r>
        <w:rPr>
          <w:color w:val="000000"/>
          <w:spacing w:val="0"/>
          <w:w w:val="100"/>
          <w:position w:val="0"/>
          <w:sz w:val="18"/>
          <w:szCs w:val="18"/>
        </w:rPr>
        <w:t>76</w:t>
      </w:r>
      <w:r>
        <w:rPr>
          <w:color w:val="000000"/>
          <w:spacing w:val="0"/>
          <w:w w:val="100"/>
          <w:position w:val="0"/>
          <w:sz w:val="17"/>
          <w:szCs w:val="17"/>
        </w:rPr>
        <w:t>元/（平米•天）；租金增长率参考同一地区历史年度租金增长水平，取</w:t>
      </w:r>
      <w:r>
        <w:rPr>
          <w:color w:val="000000"/>
          <w:spacing w:val="0"/>
          <w:w w:val="100"/>
          <w:position w:val="0"/>
          <w:sz w:val="18"/>
          <w:szCs w:val="18"/>
        </w:rPr>
        <w:t>3%；</w:t>
      </w:r>
    </w:p>
    <w:p>
      <w:pPr>
        <w:pStyle w:val="Style22"/>
        <w:keepNext w:val="0"/>
        <w:keepLines w:val="0"/>
        <w:widowControl w:val="0"/>
        <w:numPr>
          <w:ilvl w:val="0"/>
          <w:numId w:val="99"/>
        </w:numPr>
        <w:shd w:val="clear" w:color="auto" w:fill="auto"/>
        <w:tabs>
          <w:tab w:pos="790" w:val="left"/>
        </w:tabs>
        <w:bidi w:val="0"/>
        <w:spacing w:before="0" w:after="0" w:line="309" w:lineRule="exact"/>
        <w:ind w:left="0" w:right="0" w:firstLine="440"/>
        <w:jc w:val="both"/>
      </w:pPr>
      <w:bookmarkStart w:id="1361" w:name="bookmark1361"/>
      <w:bookmarkEnd w:id="1361"/>
      <w:r>
        <w:rPr>
          <w:color w:val="000000"/>
          <w:spacing w:val="0"/>
          <w:w w:val="100"/>
          <w:position w:val="0"/>
        </w:rPr>
        <w:t>收益期年限：土地使用权到期日早于房屋建筑物经济寿命年限到期日，本次测算按土地使用权到期日与房屋建筑物 经济寿命年限到期日孰早作为收益期截止日，故收益期为</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2061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p>
    <w:p>
      <w:pPr>
        <w:pStyle w:val="Style22"/>
        <w:keepNext w:val="0"/>
        <w:keepLines w:val="0"/>
        <w:widowControl w:val="0"/>
        <w:numPr>
          <w:ilvl w:val="0"/>
          <w:numId w:val="99"/>
        </w:numPr>
        <w:shd w:val="clear" w:color="auto" w:fill="auto"/>
        <w:tabs>
          <w:tab w:pos="790" w:val="left"/>
        </w:tabs>
        <w:bidi w:val="0"/>
        <w:spacing w:before="0" w:after="0" w:line="309" w:lineRule="exact"/>
        <w:ind w:left="0" w:right="0" w:firstLine="440"/>
        <w:jc w:val="both"/>
      </w:pPr>
      <w:bookmarkStart w:id="1362" w:name="bookmark1362"/>
      <w:bookmarkEnd w:id="1362"/>
      <w:r>
        <w:rPr>
          <w:color w:val="000000"/>
          <w:spacing w:val="0"/>
          <w:w w:val="100"/>
          <w:position w:val="0"/>
        </w:rPr>
        <w:t>折现率：采用安全利率加风险调整值法综合测算。安全利率选用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日的国债到期收益率；风险调整值根 据资产组所在地区的经济现状及未来预测、资产组用途及新旧程度等方面来确定，折现率为</w:t>
      </w:r>
      <w:r>
        <w:rPr>
          <w:color w:val="000000"/>
          <w:spacing w:val="0"/>
          <w:w w:val="100"/>
          <w:position w:val="0"/>
          <w:sz w:val="18"/>
          <w:szCs w:val="18"/>
        </w:rPr>
        <w:t>8.00%</w:t>
      </w:r>
      <w:r>
        <w:rPr>
          <w:color w:val="000000"/>
          <w:spacing w:val="0"/>
          <w:w w:val="100"/>
          <w:position w:val="0"/>
        </w:rPr>
        <w:t>。</w:t>
      </w:r>
    </w:p>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商誉减值测试的影响</w:t>
      </w:r>
    </w:p>
    <w:p>
      <w:pPr>
        <w:pStyle w:val="Style22"/>
        <w:keepNext w:val="0"/>
        <w:keepLines w:val="0"/>
        <w:widowControl w:val="0"/>
        <w:shd w:val="clear" w:color="auto" w:fill="auto"/>
        <w:bidi w:val="0"/>
        <w:spacing w:before="0" w:after="380" w:line="309" w:lineRule="exact"/>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63"/>
      <w:bookmarkEnd w:id="1364"/>
      <w:bookmarkEnd w:id="136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141,390,713.82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101,015,914.76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97,551,877.10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144,854,751.48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141,390,713.82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101,015,914.76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97,551,877.10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144,854,751.48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67"/>
      <w:bookmarkEnd w:id="1368"/>
      <w:bookmarkEnd w:id="1370"/>
    </w:p>
    <w:p>
      <w:pPr>
        <w:pStyle w:val="Style33"/>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67"/>
      <w:bookmarkEnd w:id="1368"/>
      <w:bookmarkEnd w:id="13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9,068,514.59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1,360,277.20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17,954,267.70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2,693,140.15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78,613,992.67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11,792,098.89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60,631,633.09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9,094,744.97</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计入其他综合收益的公 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减少</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4,456,804.75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668,520.71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8,706,568.05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1,305,985.22</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19,462,064.94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2,919,309.74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26,178,406.20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3,926,760.92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111,601,376.95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16,740,206.54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113,470,875.04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17,020,631.26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73"/>
      <w:bookmarkEnd w:id="1374"/>
      <w:bookmarkEnd w:id="13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165,497,780.49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41,374,444.79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169,696,455.69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42,424,113.92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固定资产一次性折旧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105,649,845.16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15,847,476.77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99,249,903.83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14,887,485.57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61,677,986.33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12,251,697.95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301,147,625.65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64,721,921.56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330,624,345.85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69,563,297.44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77"/>
      <w:bookmarkEnd w:id="1378"/>
      <w:bookmarkEnd w:id="13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16,740,206.54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17,020,631.26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64,721,921.56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69,563,297.44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81"/>
      <w:bookmarkEnd w:id="1382"/>
      <w:bookmarkEnd w:id="138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68,357,543.11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87,625,331.04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613,593,917.20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460,221,815.97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681,951,460.31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547,847,147.01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85"/>
      <w:bookmarkEnd w:id="1386"/>
      <w:bookmarkEnd w:id="138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33,284,667.58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76,212,749.32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83,551,387.50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71,508,365.28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68,840,292.15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97,585,738.67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96,876,929.27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55,305,779.39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56,963,890.92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121,940,653.69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9,184,175.91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9,184,175.91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13,069,891.26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16,704,834.43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47,882,337.42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48,019,263.82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46,756,074.38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46,796,374.39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74,148,151.88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613,593,917.20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460,221,815.97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3</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89"/>
      <w:bookmarkEnd w:id="1390"/>
      <w:bookmarkEnd w:id="139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1,961,810.77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1,961,810.77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195,240.00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西藏信托保障金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1,961,810.77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1,961,810.77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3,195,240.00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3,195,240.00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93"/>
      <w:bookmarkEnd w:id="1394"/>
      <w:bookmarkEnd w:id="1396"/>
    </w:p>
    <w:p>
      <w:pPr>
        <w:pStyle w:val="Style33"/>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93"/>
      <w:bookmarkEnd w:id="1394"/>
      <w:bookmarkEnd w:id="139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3,361,209.21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3,277,148.49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2,343,361,209.21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2,193,277,148.49</w:t>
            </w:r>
          </w:p>
        </w:tc>
      </w:tr>
    </w:tbl>
    <w:p>
      <w:pPr>
        <w:pStyle w:val="Style61"/>
        <w:keepNext w:val="0"/>
        <w:keepLines w:val="0"/>
        <w:widowControl w:val="0"/>
        <w:shd w:val="clear" w:color="auto" w:fill="auto"/>
        <w:bidi w:val="0"/>
        <w:spacing w:before="0" w:line="240" w:lineRule="auto"/>
        <w:ind w:left="0" w:right="0" w:firstLine="0"/>
        <w:jc w:val="left"/>
      </w:pPr>
      <w:bookmarkStart w:id="1399" w:name="bookmark1399"/>
      <w:r>
        <w:rPr>
          <w:color w:val="000000"/>
          <w:spacing w:val="0"/>
          <w:w w:val="100"/>
          <w:position w:val="0"/>
        </w:rPr>
        <w:t>（</w:t>
      </w:r>
      <w:bookmarkEnd w:id="139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p>
    <w:p>
      <w:pPr>
        <w:pStyle w:val="Style61"/>
        <w:keepNext w:val="0"/>
        <w:keepLines w:val="0"/>
        <w:widowControl w:val="0"/>
        <w:shd w:val="clear" w:color="auto" w:fill="auto"/>
        <w:tabs>
          <w:tab w:pos="483" w:val="left"/>
        </w:tabs>
        <w:bidi w:val="0"/>
        <w:spacing w:before="0" w:line="240" w:lineRule="auto"/>
        <w:ind w:left="0" w:right="0" w:firstLine="0"/>
        <w:jc w:val="left"/>
      </w:pPr>
      <w:bookmarkStart w:id="1400" w:name="bookmark1400"/>
      <w:r>
        <w:rPr>
          <w:rFonts w:ascii="Times New Roman" w:eastAsia="Times New Roman" w:hAnsi="Times New Roman" w:cs="Times New Roman"/>
          <w:color w:val="000000"/>
          <w:spacing w:val="0"/>
          <w:w w:val="100"/>
          <w:position w:val="0"/>
        </w:rPr>
        <w:t>3</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p>
    <w:p>
      <w:pPr>
        <w:pStyle w:val="Style61"/>
        <w:keepNext w:val="0"/>
        <w:keepLines w:val="0"/>
        <w:widowControl w:val="0"/>
        <w:shd w:val="clear" w:color="auto" w:fill="auto"/>
        <w:tabs>
          <w:tab w:pos="483" w:val="left"/>
        </w:tabs>
        <w:bidi w:val="0"/>
        <w:spacing w:before="0" w:line="240" w:lineRule="auto"/>
        <w:ind w:left="0" w:right="0" w:firstLine="0"/>
        <w:jc w:val="left"/>
      </w:pPr>
      <w:bookmarkStart w:id="1401" w:name="bookmark1401"/>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p>
    <w:p>
      <w:pPr>
        <w:pStyle w:val="Style61"/>
        <w:keepNext w:val="0"/>
        <w:keepLines w:val="0"/>
        <w:widowControl w:val="0"/>
        <w:shd w:val="clear" w:color="auto" w:fill="auto"/>
        <w:tabs>
          <w:tab w:pos="483" w:val="left"/>
        </w:tabs>
        <w:bidi w:val="0"/>
        <w:spacing w:before="0" w:line="240" w:lineRule="auto"/>
        <w:ind w:left="0" w:right="0" w:firstLine="0"/>
        <w:jc w:val="left"/>
      </w:pPr>
      <w:bookmarkStart w:id="1402" w:name="bookmark1402"/>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19,520,821.00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424,041.00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19,520,821.00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424,041.00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61"/>
        <w:keepNext w:val="0"/>
        <w:keepLines w:val="0"/>
        <w:widowControl w:val="0"/>
        <w:shd w:val="clear" w:color="auto" w:fill="auto"/>
        <w:bidi w:val="0"/>
        <w:spacing w:before="0" w:line="240" w:lineRule="auto"/>
        <w:ind w:left="0" w:right="0" w:firstLine="0"/>
        <w:jc w:val="left"/>
      </w:pPr>
      <w:bookmarkStart w:id="1403" w:name="bookmark1403"/>
      <w:r>
        <w:rPr>
          <w:rFonts w:ascii="Times New Roman" w:eastAsia="Times New Roman" w:hAnsi="Times New Roman" w:cs="Times New Roman"/>
          <w:color w:val="000000"/>
          <w:spacing w:val="0"/>
          <w:w w:val="100"/>
          <w:position w:val="0"/>
        </w:rPr>
        <w:t>3</w:t>
      </w:r>
      <w:bookmarkEnd w:id="1403"/>
      <w:r>
        <w:rPr>
          <w:rFonts w:ascii="Times New Roman" w:eastAsia="Times New Roman" w:hAnsi="Times New Roman" w:cs="Times New Roman"/>
          <w:color w:val="000000"/>
          <w:spacing w:val="0"/>
          <w:w w:val="100"/>
          <w:position w:val="0"/>
        </w:rPr>
        <w:t>6</w:t>
      </w:r>
      <w:r>
        <w:rPr>
          <w:color w:val="000000"/>
          <w:spacing w:val="0"/>
          <w:w w:val="100"/>
          <w:position w:val="0"/>
        </w:rPr>
        <w:t>、应付账款</w:t>
      </w:r>
    </w:p>
    <w:p>
      <w:pPr>
        <w:pStyle w:val="Style61"/>
        <w:keepNext w:val="0"/>
        <w:keepLines w:val="0"/>
        <w:widowControl w:val="0"/>
        <w:shd w:val="clear" w:color="auto" w:fill="auto"/>
        <w:bidi w:val="0"/>
        <w:spacing w:before="0" w:line="240" w:lineRule="auto"/>
        <w:ind w:left="0" w:right="0" w:firstLine="0"/>
        <w:jc w:val="left"/>
      </w:pPr>
      <w:bookmarkStart w:id="1404" w:name="bookmark1404"/>
      <w:r>
        <w:rPr>
          <w:color w:val="000000"/>
          <w:spacing w:val="0"/>
          <w:w w:val="100"/>
          <w:position w:val="0"/>
        </w:rPr>
        <w:t>（</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67,917,252.77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39,066,956.23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4,077,275.56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8,246,151.58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4,760,644.68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6,379,625.01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23,220,513.32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20,558,156.50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99,975,686.33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74,250,889.32</w:t>
            </w:r>
          </w:p>
        </w:tc>
      </w:tr>
    </w:tbl>
    <w:p>
      <w:pPr>
        <w:widowControl w:val="0"/>
        <w:spacing w:after="359" w:line="1" w:lineRule="exact"/>
      </w:pPr>
    </w:p>
    <w:p>
      <w:pPr>
        <w:pStyle w:val="Style61"/>
        <w:keepNext w:val="0"/>
        <w:keepLines w:val="0"/>
        <w:widowControl w:val="0"/>
        <w:shd w:val="clear" w:color="auto" w:fill="auto"/>
        <w:bidi w:val="0"/>
        <w:spacing w:before="0" w:line="240" w:lineRule="auto"/>
        <w:ind w:left="0" w:right="0" w:firstLine="0"/>
        <w:jc w:val="left"/>
      </w:pPr>
      <w:bookmarkStart w:id="1405" w:name="bookmark1405"/>
      <w:r>
        <w:rPr>
          <w:color w:val="000000"/>
          <w:spacing w:val="0"/>
          <w:w w:val="100"/>
          <w:position w:val="0"/>
        </w:rPr>
        <w:t>（</w:t>
      </w:r>
      <w:bookmarkEnd w:id="140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北京博汇万通企业管理有限公司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5,868,517.21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北京聚丰海悦科技发展有限公司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5,172,736.00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11,041,253.21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1"/>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外币应付账款情况详见附注七</w:t>
      </w:r>
      <w:r>
        <w:rPr>
          <w:rFonts w:ascii="Times New Roman" w:eastAsia="Times New Roman" w:hAnsi="Times New Roman" w:cs="Times New Roman"/>
          <w:b w:val="0"/>
          <w:bCs w:val="0"/>
          <w:color w:val="000000"/>
          <w:spacing w:val="0"/>
          <w:w w:val="100"/>
          <w:position w:val="0"/>
        </w:rPr>
        <w:t>（82）“</w:t>
      </w:r>
      <w:r>
        <w:rPr>
          <w:b w:val="0"/>
          <w:bCs w:val="0"/>
          <w:color w:val="000000"/>
          <w:spacing w:val="0"/>
          <w:w w:val="100"/>
          <w:position w:val="0"/>
        </w:rPr>
        <w:t>外币货币性项目</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之说明。</w:t>
      </w:r>
      <w:r>
        <w:br w:type="page"/>
      </w:r>
    </w:p>
    <w:p>
      <w:pPr>
        <w:pStyle w:val="Style33"/>
        <w:keepNext/>
        <w:keepLines/>
        <w:widowControl w:val="0"/>
        <w:shd w:val="clear" w:color="auto" w:fill="auto"/>
        <w:tabs>
          <w:tab w:pos="483" w:val="left"/>
        </w:tabs>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406"/>
      <w:bookmarkEnd w:id="1407"/>
      <w:bookmarkEnd w:id="1409"/>
    </w:p>
    <w:p>
      <w:pPr>
        <w:pStyle w:val="Style33"/>
        <w:keepNext/>
        <w:keepLines/>
        <w:widowControl w:val="0"/>
        <w:shd w:val="clear" w:color="auto" w:fill="auto"/>
        <w:tabs>
          <w:tab w:pos="483" w:val="left"/>
        </w:tabs>
        <w:bidi w:val="0"/>
        <w:spacing w:before="0" w:after="380" w:line="240" w:lineRule="auto"/>
        <w:ind w:left="0" w:right="0" w:firstLine="0"/>
        <w:jc w:val="both"/>
      </w:pPr>
      <w:bookmarkStart w:id="1406" w:name="bookmark1406"/>
      <w:bookmarkStart w:id="1407" w:name="bookmark1407"/>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406"/>
      <w:bookmarkEnd w:id="1407"/>
      <w:bookmarkEnd w:id="141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295,710,503.74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380,453,884.70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28,078,124.48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32,235,657.95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6,392,137.60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13,699,342.64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12,695,965.24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18,348,457.47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342,876,731.06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444,737,342.76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12"/>
      <w:bookmarkEnd w:id="1413"/>
      <w:bookmarkEnd w:id="1415"/>
    </w:p>
    <w:p>
      <w:pPr>
        <w:pStyle w:val="Style33"/>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12"/>
      <w:bookmarkEnd w:id="1413"/>
      <w:bookmarkEnd w:id="141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927,301,611.50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13,443,600,322.26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13,339,279,481.80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1,031,622,451.96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10,502,857.50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655,026,856.30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638,625,211.50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26,904,502.30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10,813,858.55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10,813,858.55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937,804,469.00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14,109,441,037.11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13,988,718,551.85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1,058,526,954.26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18"/>
      <w:bookmarkEnd w:id="1419"/>
      <w:bookmarkEnd w:id="142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905,910,223.35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12,613,512,961.96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12,509,875,613.44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1,009,547,571.87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99,529,139.18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99,542,109.31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14,435,150.58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399,248,957.45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396,666,894.01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17,017,214.02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14,232,137.08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376,814,754.47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374,513,882.18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16,533,009.37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124,667.64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9,895,259.54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9,544,452.41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475,474.77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78,345.86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12,538,943.44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12,608,559.42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6,943,267.44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319,978,121.03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321,863,722.40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5,057,666.07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2,222,402.41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2,222,402.41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9,108,740.23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9,108,740.23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927,301,611.50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13,443,600,322.26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13,339,279,481.80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1,031,622,451.96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22"/>
      <w:bookmarkEnd w:id="1423"/>
      <w:bookmarkEnd w:id="142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10,092,626.72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632,117,677.36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616,130,179.51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26,080,124.57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410,230.78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22,909,178.94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22,495,031.99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824,377.73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10,502,857.50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655,026,856.30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638,625,211.50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26,904,502.30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4</w:t>
      </w:r>
      <w:bookmarkEnd w:id="142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26"/>
      <w:bookmarkEnd w:id="1427"/>
      <w:bookmarkEnd w:id="142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118,601,034.95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69,031,609.35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13,348,245.13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4,340,344.71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73,002,631.42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54,200,412.45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7,133,493.12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3,822,639.64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3,647,682.32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3,936,680.41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教育费附加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含地方</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5,779,736.10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2,841,621.76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139,534.84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117,678.40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221,652,357.88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138,290,986.72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30"/>
      <w:bookmarkEnd w:id="1431"/>
      <w:bookmarkEnd w:id="143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247,565,767.04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250,706,077.85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247,565,767.04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250,706,077.85</w:t>
            </w:r>
          </w:p>
        </w:tc>
      </w:tr>
    </w:tbl>
    <w:p>
      <w:pPr>
        <w:sectPr>
          <w:footnotePr>
            <w:pos w:val="pageBottom"/>
            <w:numFmt w:val="decimal"/>
            <w:numRestart w:val="continuous"/>
          </w:footnotePr>
          <w:pgSz w:w="11900" w:h="16840"/>
          <w:pgMar w:top="1369" w:right="1016" w:bottom="1417" w:left="1015" w:header="0" w:footer="3" w:gutter="0"/>
          <w:cols w:space="720"/>
          <w:noEndnote/>
          <w:rtlGutter w:val="0"/>
          <w:docGrid w:linePitch="360"/>
        </w:sectPr>
      </w:pPr>
    </w:p>
    <w:p>
      <w:pPr>
        <w:pStyle w:val="Style61"/>
        <w:keepNext w:val="0"/>
        <w:keepLines w:val="0"/>
        <w:widowControl w:val="0"/>
        <w:shd w:val="clear" w:color="auto" w:fill="auto"/>
        <w:tabs>
          <w:tab w:pos="493" w:val="left"/>
        </w:tabs>
        <w:bidi w:val="0"/>
        <w:spacing w:before="100" w:line="240" w:lineRule="auto"/>
        <w:ind w:left="0" w:right="0" w:firstLine="0"/>
        <w:jc w:val="left"/>
      </w:pPr>
      <w:bookmarkStart w:id="1434" w:name="bookmark1434"/>
      <w:r>
        <w:rPr>
          <w:color w:val="000000"/>
          <w:spacing w:val="0"/>
          <w:w w:val="100"/>
          <w:position w:val="0"/>
        </w:rPr>
        <w:t>（</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435" w:name="bookmark1435"/>
      <w:r>
        <w:rPr>
          <w:color w:val="000000"/>
          <w:spacing w:val="0"/>
          <w:w w:val="100"/>
          <w:position w:val="0"/>
        </w:rPr>
        <w:t>（</w:t>
      </w:r>
      <w:bookmarkEnd w:id="1435"/>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436" w:name="bookmark1436"/>
      <w:r>
        <w:rPr>
          <w:color w:val="000000"/>
          <w:spacing w:val="0"/>
          <w:w w:val="100"/>
          <w:position w:val="0"/>
        </w:rPr>
        <w:t>（</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p>
    <w:p>
      <w:pPr>
        <w:pStyle w:val="Style61"/>
        <w:keepNext w:val="0"/>
        <w:keepLines w:val="0"/>
        <w:widowControl w:val="0"/>
        <w:shd w:val="clear" w:color="auto" w:fill="auto"/>
        <w:bidi w:val="0"/>
        <w:spacing w:before="0" w:line="240" w:lineRule="auto"/>
        <w:ind w:left="0" w:right="0" w:firstLine="0"/>
        <w:jc w:val="left"/>
      </w:pPr>
      <w:bookmarkStart w:id="1437" w:name="bookmark1437"/>
      <w:r>
        <w:rPr>
          <w:rFonts w:ascii="Times New Roman" w:eastAsia="Times New Roman" w:hAnsi="Times New Roman" w:cs="Times New Roman"/>
          <w:color w:val="000000"/>
          <w:spacing w:val="0"/>
          <w:w w:val="100"/>
          <w:position w:val="0"/>
        </w:rPr>
        <w:t>1</w:t>
      </w:r>
      <w:bookmarkEnd w:id="1437"/>
      <w:r>
        <w:rPr>
          <w:color w:val="000000"/>
          <w:spacing w:val="0"/>
          <w:w w:val="100"/>
          <w:position w:val="0"/>
        </w:rPr>
        <w:t>）按款项性质列示其他应付款</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3,359,354.99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4,422,924.29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应付差旅、房租等费用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208,901,372.47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189,428,610.36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代扣社保等职工费用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25,777,090.60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28,421,321.43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9,527,948.98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28,433,221.77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247,565,767.04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250,706,077.85</w:t>
            </w:r>
          </w:p>
        </w:tc>
      </w:tr>
    </w:tbl>
    <w:p>
      <w:pPr>
        <w:widowControl w:val="0"/>
        <w:spacing w:after="359" w:line="1" w:lineRule="exact"/>
      </w:pPr>
    </w:p>
    <w:p>
      <w:pPr>
        <w:pStyle w:val="Style61"/>
        <w:keepNext w:val="0"/>
        <w:keepLines w:val="0"/>
        <w:widowControl w:val="0"/>
        <w:shd w:val="clear" w:color="auto" w:fill="auto"/>
        <w:bidi w:val="0"/>
        <w:spacing w:before="0" w:line="240" w:lineRule="auto"/>
        <w:ind w:left="0" w:right="0" w:firstLine="0"/>
        <w:jc w:val="left"/>
      </w:pPr>
      <w:bookmarkStart w:id="1438" w:name="bookmark1438"/>
      <w:r>
        <w:rPr>
          <w:rFonts w:ascii="Times New Roman" w:eastAsia="Times New Roman" w:hAnsi="Times New Roman" w:cs="Times New Roman"/>
          <w:color w:val="000000"/>
          <w:spacing w:val="0"/>
          <w:w w:val="100"/>
          <w:position w:val="0"/>
        </w:rPr>
        <w:t>2</w:t>
      </w:r>
      <w:bookmarkEnd w:id="143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期初数与上年末余额差异详见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本节附注五、重要会计政策及会计估计（</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61"/>
        <w:keepNext w:val="0"/>
        <w:keepLines w:val="0"/>
        <w:widowControl w:val="0"/>
        <w:shd w:val="clear" w:color="auto" w:fill="auto"/>
        <w:tabs>
          <w:tab w:pos="483" w:val="left"/>
        </w:tabs>
        <w:bidi w:val="0"/>
        <w:spacing w:before="0" w:line="240" w:lineRule="auto"/>
        <w:ind w:left="0" w:right="0" w:firstLine="0"/>
        <w:jc w:val="left"/>
      </w:pPr>
      <w:bookmarkStart w:id="1439" w:name="bookmark1439"/>
      <w:r>
        <w:rPr>
          <w:rFonts w:ascii="Times New Roman" w:eastAsia="Times New Roman" w:hAnsi="Times New Roman" w:cs="Times New Roman"/>
          <w:color w:val="000000"/>
          <w:spacing w:val="0"/>
          <w:w w:val="100"/>
          <w:position w:val="0"/>
        </w:rPr>
        <w:t>4</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p>
    <w:p>
      <w:pPr>
        <w:pStyle w:val="Style61"/>
        <w:keepNext w:val="0"/>
        <w:keepLines w:val="0"/>
        <w:widowControl w:val="0"/>
        <w:shd w:val="clear" w:color="auto" w:fill="auto"/>
        <w:tabs>
          <w:tab w:pos="483" w:val="left"/>
        </w:tabs>
        <w:bidi w:val="0"/>
        <w:spacing w:before="0" w:line="240" w:lineRule="auto"/>
        <w:ind w:left="0" w:right="0" w:firstLine="0"/>
        <w:jc w:val="left"/>
      </w:pPr>
      <w:bookmarkStart w:id="1440" w:name="bookmark1440"/>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479,954,208.25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53,363,231.41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479,954,208.25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53,363,231.41</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61"/>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外币长期借款情况详见附注七</w:t>
      </w:r>
      <w:r>
        <w:rPr>
          <w:rFonts w:ascii="Times New Roman" w:eastAsia="Times New Roman" w:hAnsi="Times New Roman" w:cs="Times New Roman"/>
          <w:b w:val="0"/>
          <w:bCs w:val="0"/>
          <w:color w:val="000000"/>
          <w:spacing w:val="0"/>
          <w:w w:val="100"/>
          <w:position w:val="0"/>
        </w:rPr>
        <w:t>（82）“</w:t>
      </w:r>
      <w:r>
        <w:rPr>
          <w:b w:val="0"/>
          <w:bCs w:val="0"/>
          <w:color w:val="000000"/>
          <w:spacing w:val="0"/>
          <w:w w:val="100"/>
          <w:position w:val="0"/>
        </w:rPr>
        <w:t>外币货币性项目</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之说明。</w:t>
      </w:r>
    </w:p>
    <w:p>
      <w:pPr>
        <w:pStyle w:val="Style61"/>
        <w:keepNext w:val="0"/>
        <w:keepLines w:val="0"/>
        <w:widowControl w:val="0"/>
        <w:shd w:val="clear" w:color="auto" w:fill="auto"/>
        <w:bidi w:val="0"/>
        <w:spacing w:before="0" w:line="240" w:lineRule="auto"/>
        <w:ind w:left="0" w:right="0" w:firstLine="0"/>
        <w:jc w:val="left"/>
      </w:pPr>
      <w:bookmarkStart w:id="1441" w:name="bookmark1441"/>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4</w:t>
      </w:r>
      <w:r>
        <w:rPr>
          <w:color w:val="000000"/>
          <w:spacing w:val="0"/>
          <w:w w:val="100"/>
          <w:position w:val="0"/>
        </w:rPr>
        <w:t>、其他流动负债</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182,225,411.04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126,979,127.27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182,225,411.04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126,979,127.27</w:t>
            </w:r>
          </w:p>
        </w:tc>
      </w:tr>
    </w:tbl>
    <w:p>
      <w:pPr>
        <w:pStyle w:val="Style33"/>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42"/>
      <w:bookmarkEnd w:id="1443"/>
      <w:bookmarkEnd w:id="1445"/>
    </w:p>
    <w:p>
      <w:pPr>
        <w:pStyle w:val="Style33"/>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42"/>
      <w:bookmarkEnd w:id="1443"/>
      <w:bookmarkEnd w:id="144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3,323,556.80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185,055,747.20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250,000,000.00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1,028,833.88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3,323,556.80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584,084,581.08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其他说明，包括利率区间:</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48"/>
      <w:bookmarkEnd w:id="1449"/>
      <w:bookmarkEnd w:id="1451"/>
    </w:p>
    <w:p>
      <w:pPr>
        <w:pStyle w:val="Style33"/>
        <w:keepNext/>
        <w:keepLines/>
        <w:widowControl w:val="0"/>
        <w:shd w:val="clear" w:color="auto" w:fill="auto"/>
        <w:tabs>
          <w:tab w:pos="483" w:val="left"/>
        </w:tabs>
        <w:bidi w:val="0"/>
        <w:spacing w:before="0" w:after="380" w:line="240" w:lineRule="auto"/>
        <w:ind w:left="0" w:right="0" w:firstLine="0"/>
        <w:jc w:val="left"/>
      </w:pPr>
      <w:bookmarkStart w:id="1448" w:name="bookmark1448"/>
      <w:bookmarkStart w:id="1449" w:name="bookmark1449"/>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448"/>
      <w:bookmarkEnd w:id="1449"/>
      <w:bookmarkEnd w:id="145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398,717,346.90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190,248,486.80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未确认融资费用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-23,697,339.02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-12,564,324.02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375,020,007.88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177,684,162.78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期初数与上年末余额差异详见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本节附注五、重要会计政策及会计估计（</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4</w:t>
      </w:r>
      <w:bookmarkEnd w:id="1456"/>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454"/>
      <w:bookmarkEnd w:id="1455"/>
      <w:bookmarkEnd w:id="1457"/>
    </w:p>
    <w:p>
      <w:pPr>
        <w:pStyle w:val="Style33"/>
        <w:keepNext/>
        <w:keepLines/>
        <w:widowControl w:val="0"/>
        <w:shd w:val="clear" w:color="auto" w:fill="auto"/>
        <w:tabs>
          <w:tab w:pos="483" w:val="left"/>
        </w:tabs>
        <w:bidi w:val="0"/>
        <w:spacing w:before="0" w:after="380" w:line="240" w:lineRule="auto"/>
        <w:ind w:left="0" w:right="0" w:firstLine="0"/>
        <w:jc w:val="left"/>
      </w:pPr>
      <w:bookmarkStart w:id="1454" w:name="bookmark1454"/>
      <w:bookmarkStart w:id="1455" w:name="bookmark1455"/>
      <w:bookmarkStart w:id="1458" w:name="bookmark1458"/>
      <w:bookmarkStart w:id="1459" w:name="bookmark1459"/>
      <w:r>
        <w:rPr>
          <w:rFonts w:ascii="Times New Roman" w:eastAsia="Times New Roman" w:hAnsi="Times New Roman" w:cs="Times New Roman"/>
          <w:color w:val="000000"/>
          <w:spacing w:val="0"/>
          <w:w w:val="100"/>
          <w:position w:val="0"/>
        </w:rPr>
        <w:t>4</w:t>
      </w:r>
      <w:bookmarkEnd w:id="1458"/>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454"/>
      <w:bookmarkEnd w:id="1455"/>
      <w:bookmarkEnd w:id="1459"/>
    </w:p>
    <w:p>
      <w:pPr>
        <w:pStyle w:val="Style33"/>
        <w:keepNext/>
        <w:keepLines/>
        <w:widowControl w:val="0"/>
        <w:shd w:val="clear" w:color="auto" w:fill="auto"/>
        <w:tabs>
          <w:tab w:pos="483" w:val="left"/>
        </w:tabs>
        <w:bidi w:val="0"/>
        <w:spacing w:before="0" w:after="380" w:line="240" w:lineRule="auto"/>
        <w:ind w:left="0" w:right="0" w:firstLine="0"/>
        <w:jc w:val="left"/>
      </w:pPr>
      <w:bookmarkStart w:id="1454" w:name="bookmark1454"/>
      <w:bookmarkStart w:id="1455" w:name="bookmark1455"/>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454"/>
      <w:bookmarkEnd w:id="1455"/>
      <w:bookmarkEnd w:id="146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62"/>
      <w:bookmarkEnd w:id="1463"/>
      <w:bookmarkEnd w:id="146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81,770,635.19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23,822,900.75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57,947,734.44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81,770,635.19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23,822,900.75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57,947,734.44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77"/>
        <w:gridCol w:w="994"/>
        <w:gridCol w:w="1272"/>
        <w:gridCol w:w="1138"/>
        <w:gridCol w:w="989"/>
        <w:gridCol w:w="509"/>
        <w:gridCol w:w="1248"/>
        <w:gridCol w:w="101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本期新增补</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本期计入其</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他收益金额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工资保障补 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16,655,159.59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16,655,159.59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办公场地装</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修扶持金和</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搬迁费用补</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落户东湖新 技术开发区 产业支持财</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面向汽车制 造行业的协 同制造云服 务平台创新 成果转化落 地项目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1,064,675.18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610,811.86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453,863.32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both"/>
            </w:pPr>
            <w:r>
              <w:rPr>
                <w:color w:val="000000"/>
                <w:spacing w:val="0"/>
                <w:w w:val="100"/>
                <w:position w:val="0"/>
              </w:rPr>
              <w:t>汽车制造业 协同制造云 服务支撑平 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21,991,260.72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5,119,433.27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16,871,827.45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人工智能产 业全球公共 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3,122,470.31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986,096.13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2,136,374.18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城市河流可 视化治理综 合管理系统 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744,392.20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474,925.48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软通动力资</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金管理云平</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台技改项目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192,677.19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181,933.18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10,744.01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p>
      <w:pPr>
        <w:pStyle w:val="Style33"/>
        <w:keepNext/>
        <w:keepLines/>
        <w:widowControl w:val="0"/>
        <w:shd w:val="clear" w:color="auto" w:fill="auto"/>
        <w:tabs>
          <w:tab w:pos="483" w:val="left"/>
        </w:tabs>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466"/>
      <w:bookmarkEnd w:id="1467"/>
      <w:bookmarkEnd w:id="1469"/>
    </w:p>
    <w:p>
      <w:pPr>
        <w:pStyle w:val="Style33"/>
        <w:keepNext/>
        <w:keepLines/>
        <w:widowControl w:val="0"/>
        <w:shd w:val="clear" w:color="auto" w:fill="auto"/>
        <w:tabs>
          <w:tab w:pos="483" w:val="left"/>
        </w:tabs>
        <w:bidi w:val="0"/>
        <w:spacing w:before="0" w:after="380" w:line="240" w:lineRule="auto"/>
        <w:ind w:left="0" w:right="0" w:firstLine="0"/>
        <w:jc w:val="left"/>
      </w:pPr>
      <w:bookmarkStart w:id="1466" w:name="bookmark1466"/>
      <w:bookmarkStart w:id="1467" w:name="bookmark1467"/>
      <w:bookmarkStart w:id="1470" w:name="bookmark1470"/>
      <w:bookmarkStart w:id="1471" w:name="bookmark1471"/>
      <w:r>
        <w:rPr>
          <w:rFonts w:ascii="Times New Roman" w:eastAsia="Times New Roman" w:hAnsi="Times New Roman" w:cs="Times New Roman"/>
          <w:color w:val="000000"/>
          <w:spacing w:val="0"/>
          <w:w w:val="100"/>
          <w:position w:val="0"/>
        </w:rPr>
        <w:t>5</w:t>
      </w:r>
      <w:bookmarkEnd w:id="1470"/>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466"/>
      <w:bookmarkEnd w:id="1467"/>
      <w:bookmarkEnd w:id="147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360,000,000.00</w:t>
            </w:r>
          </w:p>
        </w:tc>
      </w:tr>
    </w:tbl>
    <w:p>
      <w:pPr>
        <w:widowControl w:val="0"/>
        <w:spacing w:after="319" w:line="1" w:lineRule="exact"/>
      </w:pPr>
    </w:p>
    <w:p>
      <w:pPr>
        <w:pStyle w:val="Style33"/>
        <w:keepNext/>
        <w:keepLines/>
        <w:widowControl w:val="0"/>
        <w:shd w:val="clear" w:color="auto" w:fill="auto"/>
        <w:tabs>
          <w:tab w:pos="483" w:val="left"/>
        </w:tabs>
        <w:bidi w:val="0"/>
        <w:spacing w:before="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472"/>
      <w:bookmarkEnd w:id="1473"/>
      <w:bookmarkEnd w:id="1475"/>
    </w:p>
    <w:p>
      <w:pPr>
        <w:pStyle w:val="Style33"/>
        <w:keepNext/>
        <w:keepLines/>
        <w:widowControl w:val="0"/>
        <w:shd w:val="clear" w:color="auto" w:fill="auto"/>
        <w:tabs>
          <w:tab w:pos="483" w:val="left"/>
        </w:tabs>
        <w:bidi w:val="0"/>
        <w:spacing w:before="0" w:after="380" w:line="240" w:lineRule="auto"/>
        <w:ind w:left="0" w:right="0" w:firstLine="0"/>
        <w:jc w:val="left"/>
      </w:pPr>
      <w:bookmarkStart w:id="1472" w:name="bookmark1472"/>
      <w:bookmarkStart w:id="1473" w:name="bookmark1473"/>
      <w:bookmarkStart w:id="1476" w:name="bookmark1476"/>
      <w:bookmarkStart w:id="1477" w:name="bookmark1477"/>
      <w:r>
        <w:rPr>
          <w:rFonts w:ascii="Times New Roman" w:eastAsia="Times New Roman" w:hAnsi="Times New Roman" w:cs="Times New Roman"/>
          <w:color w:val="000000"/>
          <w:spacing w:val="0"/>
          <w:w w:val="100"/>
          <w:position w:val="0"/>
        </w:rPr>
        <w:t>5</w:t>
      </w:r>
      <w:bookmarkEnd w:id="1476"/>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472"/>
      <w:bookmarkEnd w:id="1473"/>
      <w:bookmarkEnd w:id="147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2,317,178,057.28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2,317,127,145.68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327,174,901.26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327,174,901.26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2,644,352,958.54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2,644,302,046.94</w:t>
            </w: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其他说明，包括本期增减变动情况、变动原因说明：</w:t>
      </w:r>
    </w:p>
    <w:p>
      <w:pPr>
        <w:pStyle w:val="Style2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本公司收购少数股权导致资本公积减少</w:t>
      </w:r>
      <w:r>
        <w:rPr>
          <w:rFonts w:ascii="Times New Roman" w:eastAsia="Times New Roman" w:hAnsi="Times New Roman" w:cs="Times New Roman"/>
          <w:color w:val="000000"/>
          <w:spacing w:val="0"/>
          <w:w w:val="100"/>
          <w:position w:val="0"/>
          <w:sz w:val="18"/>
          <w:szCs w:val="18"/>
        </w:rPr>
        <w:t>50,911.6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本节附注九、在其他主体中的权益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、在子公司的所有者权益份 额发生变化且仍控制子公司的交易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5</w:t>
      </w:r>
      <w:bookmarkEnd w:id="1480"/>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478"/>
      <w:bookmarkEnd w:id="1479"/>
      <w:bookmarkEnd w:id="1481"/>
    </w:p>
    <w:p>
      <w:pPr>
        <w:pStyle w:val="Style33"/>
        <w:keepNext/>
        <w:keepLines/>
        <w:widowControl w:val="0"/>
        <w:shd w:val="clear" w:color="auto" w:fill="auto"/>
        <w:tabs>
          <w:tab w:pos="483" w:val="left"/>
        </w:tabs>
        <w:bidi w:val="0"/>
        <w:spacing w:before="0" w:after="380" w:line="240" w:lineRule="auto"/>
        <w:ind w:left="0" w:right="0" w:firstLine="0"/>
        <w:jc w:val="left"/>
      </w:pPr>
      <w:bookmarkStart w:id="1478" w:name="bookmark1478"/>
      <w:bookmarkStart w:id="1479" w:name="bookmark1479"/>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478"/>
      <w:bookmarkEnd w:id="1479"/>
      <w:bookmarkEnd w:id="148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272"/>
        <w:gridCol w:w="1138"/>
        <w:gridCol w:w="850"/>
        <w:gridCol w:w="1133"/>
        <w:gridCol w:w="994"/>
        <w:gridCol w:w="1133"/>
        <w:gridCol w:w="710"/>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计入其他 综合收益 当期转入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减：前期计入 其他综合收 益当期转入 留存收益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一、不能重分类</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进损益的其他</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-7,400,582.83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22,693,719.76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18,443,956.47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637,464.50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3,612,298.79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-3,788,284.04</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其他权</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益工具投资公</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-7,400,582.83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22,693,719.76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18,443,956.47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637,464.50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3,612,298.79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-3,788,284.04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-9,549,346.32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-4,203,742.04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-4,203,742.04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-13,753,088.3</w:t>
            </w:r>
          </w:p>
        </w:tc>
      </w:tr>
    </w:tbl>
    <w:p>
      <w:pPr>
        <w:widowControl w:val="0"/>
        <w:spacing w:line="1" w:lineRule="exact"/>
      </w:pPr>
      <w:r>
        <w:br w:type="page"/>
      </w:r>
    </w:p>
    <w:tbl>
      <w:tblPr>
        <w:tblOverlap w:val="never"/>
        <w:jc w:val="center"/>
        <w:tblLayout w:type="fixed"/>
      </w:tblPr>
      <w:tblGrid>
        <w:gridCol w:w="1286"/>
        <w:gridCol w:w="1272"/>
        <w:gridCol w:w="1138"/>
        <w:gridCol w:w="850"/>
        <w:gridCol w:w="1133"/>
        <w:gridCol w:w="994"/>
        <w:gridCol w:w="1133"/>
        <w:gridCol w:w="710"/>
        <w:gridCol w:w="1070"/>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损益的其他综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外币财</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务报表折算差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-9,549,346.32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-4,203,742.04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-4,203,742.04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-13,753,088.3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 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-16,949,929.15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18,489,977.72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18,443,956.47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637,464.50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-591,443.25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-17,541,372.4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2"/>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其他说明，包括对现金流量套期损益的有效部分转为被套期项目初始确认金额调整: 不适用</w:t>
      </w:r>
    </w:p>
    <w:p>
      <w:pPr>
        <w:pStyle w:val="Style33"/>
        <w:keepNext/>
        <w:keepLines/>
        <w:widowControl w:val="0"/>
        <w:shd w:val="clear" w:color="auto" w:fill="auto"/>
        <w:tabs>
          <w:tab w:pos="483" w:val="left"/>
        </w:tabs>
        <w:bidi w:val="0"/>
        <w:spacing w:before="0" w:after="36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484"/>
      <w:bookmarkEnd w:id="1485"/>
      <w:bookmarkEnd w:id="1487"/>
    </w:p>
    <w:p>
      <w:pPr>
        <w:pStyle w:val="Style33"/>
        <w:keepNext/>
        <w:keepLines/>
        <w:widowControl w:val="0"/>
        <w:shd w:val="clear" w:color="auto" w:fill="auto"/>
        <w:tabs>
          <w:tab w:pos="483" w:val="left"/>
        </w:tabs>
        <w:bidi w:val="0"/>
        <w:spacing w:before="0" w:after="360" w:line="240" w:lineRule="auto"/>
        <w:ind w:left="0" w:right="0" w:firstLine="0"/>
        <w:jc w:val="left"/>
      </w:pPr>
      <w:bookmarkStart w:id="1484" w:name="bookmark1484"/>
      <w:bookmarkStart w:id="1485" w:name="bookmark1485"/>
      <w:bookmarkStart w:id="1488" w:name="bookmark1488"/>
      <w:bookmarkStart w:id="1489" w:name="bookmark1489"/>
      <w:r>
        <w:rPr>
          <w:rFonts w:ascii="Times New Roman" w:eastAsia="Times New Roman" w:hAnsi="Times New Roman" w:cs="Times New Roman"/>
          <w:color w:val="000000"/>
          <w:spacing w:val="0"/>
          <w:w w:val="100"/>
          <w:position w:val="0"/>
        </w:rPr>
        <w:t>5</w:t>
      </w:r>
      <w:bookmarkEnd w:id="1488"/>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484"/>
      <w:bookmarkEnd w:id="1485"/>
      <w:bookmarkEnd w:id="14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23,417,267.39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29,927,705.78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53,344,973.17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23,417,267.39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29,927,705.78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53,344,973.17</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61"/>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以</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日为基准日，母公司按照</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年度净利润的</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计提法定盈余公积。</w:t>
      </w:r>
    </w:p>
    <w:p>
      <w:pPr>
        <w:pStyle w:val="Style33"/>
        <w:keepNext/>
        <w:keepLines/>
        <w:widowControl w:val="0"/>
        <w:shd w:val="clear" w:color="auto" w:fill="auto"/>
        <w:bidi w:val="0"/>
        <w:spacing w:before="0" w:after="36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6</w:t>
      </w:r>
      <w:bookmarkEnd w:id="149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90"/>
      <w:bookmarkEnd w:id="1491"/>
      <w:bookmarkEnd w:id="1493"/>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1,106,921,372.44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-123,128,879.29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-1,918,073.18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1,105,003,299.26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-123,128,879.29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944,779,223.35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1,258,631,372.96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29,927,705.78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23,417,267.39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5,163,853.84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加：其他综合收益结转留存收益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18,443,956.47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2,038,298,773.30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1,106,921,372.44</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2"/>
        <w:keepNext w:val="0"/>
        <w:keepLines w:val="0"/>
        <w:widowControl w:val="0"/>
        <w:shd w:val="clear" w:color="auto" w:fill="auto"/>
        <w:tabs>
          <w:tab w:pos="330" w:val="left"/>
        </w:tabs>
        <w:bidi w:val="0"/>
        <w:spacing w:before="0" w:after="120" w:line="240" w:lineRule="auto"/>
        <w:ind w:left="0" w:right="0" w:firstLine="0"/>
        <w:jc w:val="left"/>
      </w:pPr>
      <w:bookmarkStart w:id="1494" w:name="bookmark1494"/>
      <w:r>
        <w:rPr>
          <w:rFonts w:ascii="Times New Roman" w:eastAsia="Times New Roman" w:hAnsi="Times New Roman" w:cs="Times New Roman"/>
          <w:color w:val="000000"/>
          <w:spacing w:val="0"/>
          <w:w w:val="100"/>
          <w:position w:val="0"/>
          <w:sz w:val="18"/>
          <w:szCs w:val="18"/>
        </w:rPr>
        <w:t>1</w:t>
      </w:r>
      <w:bookmarkEnd w:id="14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495" w:name="bookmark1495"/>
      <w:r>
        <w:rPr>
          <w:rFonts w:ascii="Times New Roman" w:eastAsia="Times New Roman" w:hAnsi="Times New Roman" w:cs="Times New Roman"/>
          <w:color w:val="000000"/>
          <w:spacing w:val="0"/>
          <w:w w:val="100"/>
          <w:position w:val="0"/>
          <w:sz w:val="18"/>
          <w:szCs w:val="18"/>
        </w:rPr>
        <w:t>2</w:t>
      </w:r>
      <w:bookmarkEnd w:id="14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-1,918,073.18</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496" w:name="bookmark1496"/>
      <w:r>
        <w:rPr>
          <w:rFonts w:ascii="Times New Roman" w:eastAsia="Times New Roman" w:hAnsi="Times New Roman" w:cs="Times New Roman"/>
          <w:color w:val="000000"/>
          <w:spacing w:val="0"/>
          <w:w w:val="100"/>
          <w:position w:val="0"/>
          <w:sz w:val="18"/>
          <w:szCs w:val="18"/>
        </w:rPr>
        <w:t>3</w:t>
      </w:r>
      <w:bookmarkEnd w:id="14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497" w:name="bookmark1497"/>
      <w:r>
        <w:rPr>
          <w:rFonts w:ascii="Times New Roman" w:eastAsia="Times New Roman" w:hAnsi="Times New Roman" w:cs="Times New Roman"/>
          <w:color w:val="000000"/>
          <w:spacing w:val="0"/>
          <w:w w:val="100"/>
          <w:position w:val="0"/>
          <w:sz w:val="18"/>
          <w:szCs w:val="18"/>
        </w:rPr>
        <w:t>4</w:t>
      </w:r>
      <w:bookmarkEnd w:id="14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498" w:name="bookmark1498"/>
      <w:r>
        <w:rPr>
          <w:rFonts w:ascii="Times New Roman" w:eastAsia="Times New Roman" w:hAnsi="Times New Roman" w:cs="Times New Roman"/>
          <w:color w:val="000000"/>
          <w:spacing w:val="0"/>
          <w:w w:val="100"/>
          <w:position w:val="0"/>
          <w:sz w:val="18"/>
          <w:szCs w:val="18"/>
        </w:rPr>
        <w:t>5</w:t>
      </w:r>
      <w:bookmarkEnd w:id="14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3"/>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6</w:t>
      </w:r>
      <w:bookmarkEnd w:id="150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99"/>
      <w:bookmarkEnd w:id="1500"/>
      <w:bookmarkEnd w:id="150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16,619,244,611.12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12,521,199,472.34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12,980,526,211.06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9,447,487,681.62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3,964,117.01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1,212,544.23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18,768,257.69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12,766,058.74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16,623,208,728.13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12,522,412,016.57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12,999,294,468.75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9,460,253,740.36</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8,597,169,121.07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5,958,393,493.01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咨询与解决方案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784,162,442.84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数字化运营服务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1,279,519,554.20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3,964,117.01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16,623,208,728.13</w:t>
            </w: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公司主要履约义务通常：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该项履约义务是原预计合同期限不超过一年的合同中的一部分，或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公司有权对该履约义务下 已转让的商品向客户发出账单，且账单金额能够代表公司累计至今已履约部分转移给客户的价值。公司按照合同约定向客户 提供软件技术服务并确认收入。</w:t>
      </w:r>
    </w:p>
    <w:p>
      <w:pPr>
        <w:pStyle w:val="Style33"/>
        <w:keepNext/>
        <w:keepLines/>
        <w:widowControl w:val="0"/>
        <w:shd w:val="clear" w:color="auto" w:fill="auto"/>
        <w:bidi w:val="0"/>
        <w:spacing w:before="0" w:after="380" w:line="240" w:lineRule="auto"/>
        <w:ind w:left="0" w:right="0" w:firstLine="0"/>
        <w:jc w:val="both"/>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6</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03"/>
      <w:bookmarkEnd w:id="1504"/>
      <w:bookmarkEnd w:id="150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51,058,860.18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42,571,710.93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38,701,437.15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30,891,379.51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8,509,705.84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9,085,411.65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274,101.08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276,357.48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12,357,318.21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8,870,419.40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1,900,060.17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2,237,150.28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112,801,482.63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93,932,429.25</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计缴标准详见本节附注六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33"/>
        <w:keepNext/>
        <w:keepLines/>
        <w:widowControl w:val="0"/>
        <w:shd w:val="clear" w:color="auto" w:fill="auto"/>
        <w:bidi w:val="0"/>
        <w:spacing w:before="0" w:after="380" w:line="240" w:lineRule="auto"/>
        <w:ind w:left="0" w:right="0" w:firstLine="0"/>
        <w:jc w:val="both"/>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6</w:t>
      </w:r>
      <w:bookmarkEnd w:id="150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07"/>
      <w:bookmarkEnd w:id="1508"/>
      <w:bookmarkEnd w:id="151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479,065,342.97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277,287,602.56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32,385,234.64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32,494,136.37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17,259,836.02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22,068,025.37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28,259,211.19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21,032,389.35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3,905,182.94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6,497,087.62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6,187,905.94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2,239,731.87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10,438,999.43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11,177,344.25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577,501,713.13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372,796,317.39</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6</w:t>
      </w:r>
      <w:bookmarkEnd w:id="151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11"/>
      <w:bookmarkEnd w:id="1512"/>
      <w:bookmarkEnd w:id="1514"/>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775,007,416.75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603,231,720.19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194,350,561.88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121,893,509.62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183,423,200.66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90,442,426.86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33,391,189.21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68,785,118.66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41,795,044.15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22,369,945.60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26,347,945.35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17,060,215.51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18,814,563.91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11,106,503.08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67,403,676.94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46,144,621.77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招聘培训费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64,279,015.35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27,775,462.53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9,641,635.89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11,955,527.48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1,414,454,250.09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1,020,765,051.30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15"/>
      <w:bookmarkEnd w:id="1516"/>
      <w:bookmarkEnd w:id="151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888,370,797.18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675,482,378.53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40,540,362.95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92,377,492.14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12,732,570.25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28,481,210.68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49,811,303.58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28,009,044.48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7,947,131.85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5,074,519.32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1,644,879.56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5,284,474.07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1,001,047,045.37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834,709,119.22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19"/>
      <w:bookmarkEnd w:id="1520"/>
      <w:bookmarkEnd w:id="152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146,491,452.27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165,114,786.17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21,172,446.83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24,906,362.44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减：财政贴息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2,063,828.00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1,848,110.16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3,609,039.40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2,616,847.82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656,182.87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129,682,463.42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142,409,818.00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6</w:t>
      </w:r>
      <w:bookmarkEnd w:id="152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23"/>
      <w:bookmarkEnd w:id="1524"/>
      <w:bookmarkEnd w:id="1526"/>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78,266,966.10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141,864,911.08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934,350.93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1,197,654.24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代扣代缴个税手续费返还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5,634,399.84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11,755,267.86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71,277,014.26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55,181,794.45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156,112,731.13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209,999,627.63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6</w:t>
      </w:r>
      <w:bookmarkEnd w:id="152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27"/>
      <w:bookmarkEnd w:id="1528"/>
      <w:bookmarkEnd w:id="1530"/>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-872,321.82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处置业务产生的投资收益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6,741,073.18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-107,102.55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5,866,007.22</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61"/>
        <w:keepNext w:val="0"/>
        <w:keepLines w:val="0"/>
        <w:widowControl w:val="0"/>
        <w:shd w:val="clear" w:color="auto" w:fill="auto"/>
        <w:bidi w:val="0"/>
        <w:spacing w:before="0" w:after="380" w:line="240" w:lineRule="auto"/>
        <w:ind w:left="0" w:right="0" w:firstLine="0"/>
        <w:jc w:val="left"/>
      </w:pPr>
      <w:r>
        <w:rPr>
          <w:b w:val="0"/>
          <w:bCs w:val="0"/>
          <w:color w:val="000000"/>
          <w:spacing w:val="0"/>
          <w:w w:val="100"/>
          <w:position w:val="0"/>
        </w:rPr>
        <w:t>本公司不存在投资收益汇回的重大限制。</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6</w:t>
      </w:r>
      <w:bookmarkEnd w:id="1533"/>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531"/>
      <w:bookmarkEnd w:id="1532"/>
      <w:bookmarkEnd w:id="1534"/>
    </w:p>
    <w:p>
      <w:pPr>
        <w:pStyle w:val="Style33"/>
        <w:keepNext/>
        <w:keepLines/>
        <w:widowControl w:val="0"/>
        <w:shd w:val="clear" w:color="auto" w:fill="auto"/>
        <w:tabs>
          <w:tab w:pos="478" w:val="left"/>
        </w:tabs>
        <w:bidi w:val="0"/>
        <w:spacing w:before="0" w:after="380" w:line="240" w:lineRule="auto"/>
        <w:ind w:left="0" w:right="0" w:firstLine="0"/>
        <w:jc w:val="left"/>
      </w:pPr>
      <w:bookmarkStart w:id="1531" w:name="bookmark1531"/>
      <w:bookmarkStart w:id="1532" w:name="bookmark1532"/>
      <w:bookmarkStart w:id="1535" w:name="bookmark1535"/>
      <w:bookmarkStart w:id="1536" w:name="bookmark1536"/>
      <w:r>
        <w:rPr>
          <w:rFonts w:ascii="Times New Roman" w:eastAsia="Times New Roman" w:hAnsi="Times New Roman" w:cs="Times New Roman"/>
          <w:color w:val="000000"/>
          <w:spacing w:val="0"/>
          <w:w w:val="100"/>
          <w:position w:val="0"/>
        </w:rPr>
        <w:t>7</w:t>
      </w:r>
      <w:bookmarkEnd w:id="1535"/>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531"/>
      <w:bookmarkEnd w:id="1532"/>
      <w:bookmarkEnd w:id="1536"/>
    </w:p>
    <w:p>
      <w:pPr>
        <w:pStyle w:val="Style33"/>
        <w:keepNext/>
        <w:keepLines/>
        <w:widowControl w:val="0"/>
        <w:shd w:val="clear" w:color="auto" w:fill="auto"/>
        <w:tabs>
          <w:tab w:pos="478" w:val="left"/>
        </w:tabs>
        <w:bidi w:val="0"/>
        <w:spacing w:before="0" w:after="380" w:line="240" w:lineRule="auto"/>
        <w:ind w:left="0" w:right="0" w:firstLine="0"/>
        <w:jc w:val="left"/>
      </w:pPr>
      <w:bookmarkStart w:id="1531" w:name="bookmark1531"/>
      <w:bookmarkStart w:id="1532" w:name="bookmark1532"/>
      <w:bookmarkStart w:id="1537" w:name="bookmark1537"/>
      <w:bookmarkStart w:id="1538" w:name="bookmark1538"/>
      <w:r>
        <w:rPr>
          <w:rFonts w:ascii="Times New Roman" w:eastAsia="Times New Roman" w:hAnsi="Times New Roman" w:cs="Times New Roman"/>
          <w:color w:val="000000"/>
          <w:spacing w:val="0"/>
          <w:w w:val="100"/>
          <w:position w:val="0"/>
        </w:rPr>
        <w:t>7</w:t>
      </w:r>
      <w:bookmarkEnd w:id="1537"/>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531"/>
      <w:bookmarkEnd w:id="1532"/>
      <w:bookmarkEnd w:id="153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1,795,817.57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59,609,812.00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-234,198.79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-20,034,831.15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77,785,330.81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-18,473,212.37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137,395,142.81</w:t>
            </w:r>
          </w:p>
        </w:tc>
      </w:tr>
    </w:tbl>
    <w:p>
      <w:pPr>
        <w:spacing w:lineRule="exact" w:line="1"/>
        <w:rPr>
          <w:sz w:val="2"/>
          <w:szCs w:val="2"/>
        </w:rPr>
      </w:pPr>
      <w:r>
        <w:br w:type="page"/>
      </w:r>
    </w:p>
    <w:p>
      <w:pPr>
        <w:pStyle w:val="Style33"/>
        <w:keepNext/>
        <w:keepLines/>
        <w:widowControl w:val="0"/>
        <w:shd w:val="clear" w:color="auto" w:fill="auto"/>
        <w:bidi w:val="0"/>
        <w:spacing w:before="0" w:after="40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7</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39"/>
      <w:bookmarkEnd w:id="1540"/>
      <w:bookmarkEnd w:id="154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9,417,298.30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-299,125.85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-62,627,833.13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9,417,298.30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-62,926,958.98</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7</w:t>
      </w:r>
      <w:bookmarkEnd w:id="1545"/>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43"/>
      <w:bookmarkEnd w:id="1544"/>
      <w:bookmarkEnd w:id="1546"/>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处置未划分为持有待售的非流动资产时 确认的收益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364,207.44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-52,504.00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处置未划分为持有待售的非流动资产时 确认的收益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387,409.28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751,616.72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-52,504.00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7</w:t>
      </w:r>
      <w:bookmarkEnd w:id="1549"/>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47"/>
      <w:bookmarkEnd w:id="1548"/>
      <w:bookmarkEnd w:id="155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5,679,600.00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6,478,026.83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5,679,600.00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188,186.83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1,800,701.12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188,186.83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人员转签费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5,716,613.45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16,275,986.59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5,716,613.45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2,192,292.48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1,217,182.93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2,192,292.48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13,776,692.76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25,771,897.47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13,776,692.76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补贴是否影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9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区党委区 管委会区 政府关于打 造数字经济 和新制造业 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杭州市滨江</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区财政局财</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政零余额户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因研究开发、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技术更新及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改造等获得</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0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加快建设</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世界一流高</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科技园区给</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予租房补贴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区党委区 管委会区 政府关于打 造数字经济 和新制造业 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双引 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加快建设 世界一流高 科技园区给 予研发资助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杭州市滨江</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区财政局财</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政零余额户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总部经济发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展房租补贴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深圳市发展</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和改革委员</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年度南 京市文化发 展（产业类） 专项资金补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南京市江宁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复工复产防 疫补贴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杭州市职业 能力建设指 导服务中心 促进就业专 项资金专户</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（技能提升 行动资金）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30,179.97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复工复产防 疫补贴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无锡市滨湖</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区商务局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复工复产防 疫补贴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武汉东湖新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技术开发区</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建设管理和</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交通局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复工复产防</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西安高新技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130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疫补贴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术产业开发 区人才服务 中心就业再 就业支出户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复工复产防 疫补贴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西安高新技 术产业开发 区信用服务 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18,080.00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复工复产防 疫补贴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西安市人力 资源和社会 保障局（资金 性质：职业技 能提示行动 资金支出专 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151,320.00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复工复产防 疫补贴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重庆市永川 区财政国库 支付中心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高新技术企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业认定奖励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广州市南沙</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高新技术企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业认定奖励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陕西省科学 技术厅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高新技术企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业认定奖励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武汉东湖新 技术开发区 管理委员会 财政局财政</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零余额账户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高新技术企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业认定奖励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武汉市科学 技术局（武汉 市知识产权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高新技术企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业认定奖励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西安市科学 技术局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公司落地补</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阶段性发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 区国库支付 中心（财政零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因符合地方</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政府招商引</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资等地方性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67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展扶持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余额账户）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扶持政策而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公司落地补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用房补贴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 区国库支付 中心（财政零 余额账户）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杭州市滨江 区企业复工 复产房租补 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杭州市滨江</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区财政局财</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政零余额户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205,900.00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其他补助项 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北京市商务</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局等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西安市西咸 新区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突出贡 献企业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 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优秀创业者</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（团队广'奖 励资金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陕西省西咸</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新区沛东新</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城管理委员</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西安市西咸</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新区沛东新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城应对疫情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稳定经济增</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陕西省西咸</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新区沛东新</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城管理委员</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1,497,312.00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西安市应对</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新冠肺炎疫</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情加强企业</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用工保障补</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陕西省西咸</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新区沛东新</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城管理委员</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家赁支援幻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付金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日本房租支</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援给付金事</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务局中小企</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153,684.86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疫情期间中</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小企业补贴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pPr>
            <w:r>
              <w:rPr>
                <w:color w:val="000000"/>
                <w:spacing w:val="0"/>
                <w:w w:val="100"/>
                <w:position w:val="0"/>
              </w:rPr>
              <w:t>日本经济产 业省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129,600.00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7</w:t>
      </w:r>
      <w:bookmarkEnd w:id="1553"/>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51"/>
      <w:bookmarkEnd w:id="1552"/>
      <w:bookmarkEnd w:id="1554"/>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4,021,000.00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10,339,420.18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4,021,000.00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1,461,917.17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2,194,370.91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1,461,917.17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3,010,057.23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2,661,426.19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3,010,057.23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8,492,974.40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15,195,217.28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8,492,974.40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7</w:t>
      </w:r>
      <w:bookmarkEnd w:id="1557"/>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55"/>
      <w:bookmarkEnd w:id="1556"/>
      <w:bookmarkEnd w:id="1558"/>
    </w:p>
    <w:p>
      <w:pPr>
        <w:pStyle w:val="Style33"/>
        <w:keepNext/>
        <w:keepLines/>
        <w:widowControl w:val="0"/>
        <w:shd w:val="clear" w:color="auto" w:fill="auto"/>
        <w:bidi w:val="0"/>
        <w:spacing w:before="0" w:after="380" w:line="240" w:lineRule="auto"/>
        <w:ind w:left="0" w:right="0" w:firstLine="0"/>
        <w:jc w:val="both"/>
      </w:pPr>
      <w:bookmarkStart w:id="1555" w:name="bookmark1555"/>
      <w:bookmarkStart w:id="1556" w:name="bookmark1556"/>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5"/>
      <w:bookmarkEnd w:id="1556"/>
      <w:bookmarkEnd w:id="1560"/>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85,861,884.10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88,027,859.87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-5,198,415.67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32,289,135.56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80,663,468.43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120,316,995.43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61"/>
      <w:bookmarkEnd w:id="1562"/>
      <w:bookmarkEnd w:id="1564"/>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1,018,294,806.51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152,744,220.97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-11,101,803.03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2,766,573.08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-2,469,367.13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31,367,291.34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-91,453,169.98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2,426,439.77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-3,616,716.59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80,663,468.43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7</w:t>
      </w:r>
      <w:bookmarkEnd w:id="156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65"/>
      <w:bookmarkEnd w:id="1566"/>
      <w:bookmarkEnd w:id="1568"/>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w:t>
      </w:r>
      <w:r>
        <w:br w:type="page"/>
      </w:r>
    </w:p>
    <w:p>
      <w:pPr>
        <w:pStyle w:val="Style33"/>
        <w:keepNext/>
        <w:keepLines/>
        <w:widowControl w:val="0"/>
        <w:shd w:val="clear" w:color="auto" w:fill="auto"/>
        <w:bidi w:val="0"/>
        <w:spacing w:before="0" w:after="40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7</w:t>
      </w:r>
      <w:bookmarkEnd w:id="1571"/>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569"/>
      <w:bookmarkEnd w:id="1570"/>
      <w:bookmarkEnd w:id="1572"/>
    </w:p>
    <w:p>
      <w:pPr>
        <w:pStyle w:val="Style33"/>
        <w:keepNext/>
        <w:keepLines/>
        <w:widowControl w:val="0"/>
        <w:shd w:val="clear" w:color="auto" w:fill="auto"/>
        <w:bidi w:val="0"/>
        <w:spacing w:before="0" w:after="400" w:line="240" w:lineRule="auto"/>
        <w:ind w:left="0" w:right="0" w:firstLine="0"/>
        <w:jc w:val="left"/>
      </w:pPr>
      <w:bookmarkStart w:id="1569" w:name="bookmark1569"/>
      <w:bookmarkStart w:id="1570" w:name="bookmark1570"/>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69"/>
      <w:bookmarkEnd w:id="1570"/>
      <w:bookmarkEnd w:id="157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109,205,293.52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93,440,027.78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23,090,392.05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17,567,790.74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60,422,988.32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157,277,286.65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19,576,662.23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11,374,019.29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212,295,336.12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279,659,124.46</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74"/>
      <w:bookmarkEnd w:id="1575"/>
      <w:bookmarkEnd w:id="1577"/>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161,712,461.31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141,866,722.88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日常经营费用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841,027,370.73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799,245,831.14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19,957,968.33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32,167,775.68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1,022,697,800.37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973,280,329.70</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78"/>
      <w:bookmarkEnd w:id="1579"/>
      <w:bookmarkEnd w:id="1581"/>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收回业务出售款等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34,693,090.45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34,693,090.45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82"/>
      <w:bookmarkEnd w:id="1583"/>
      <w:bookmarkEnd w:id="1585"/>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退回处置子公司股权款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44,691,214.04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支付联营公司注销清算款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44,691,214.04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86"/>
      <w:bookmarkEnd w:id="1587"/>
      <w:bookmarkEnd w:id="1589"/>
    </w:p>
    <w:p>
      <w:pPr>
        <w:pStyle w:val="Style22"/>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269,735,391.23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269,735,391.23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90"/>
      <w:bookmarkEnd w:id="1591"/>
      <w:bookmarkEnd w:id="159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支付租赁费用、房租押金及其他款项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154,520,869.52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12,537,480.90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449,136,127.33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154,520,869.52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461,673,608.23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7</w:t>
      </w:r>
      <w:bookmarkEnd w:id="159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94"/>
      <w:bookmarkEnd w:id="1595"/>
      <w:bookmarkEnd w:id="1597"/>
    </w:p>
    <w:p>
      <w:pPr>
        <w:pStyle w:val="Style33"/>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4"/>
      <w:bookmarkEnd w:id="1595"/>
      <w:bookmarkEnd w:id="159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937,631,338.08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1,254,968,992.67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-9,417,298.30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62,926,958.98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18,473,212.37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-137,395,142.81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103,129,789.13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75,826,172.36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117,102,548.13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43,362,311.57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31,259,658.36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97,551,877.10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80,095,084.35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-751,616.72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52,504.00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146,491,452.27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165,114,786.17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107,102.55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-5,866,007.22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-357,039.78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18,636,875.06</w:t>
            </w:r>
          </w:p>
        </w:tc>
      </w:tr>
    </w:tbl>
    <w:p>
      <w:pPr>
        <w:widowControl w:val="0"/>
        <w:spacing w:line="1" w:lineRule="exact"/>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-4,841,375.88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13,652,260.51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-49,333,435.28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-13,693,702.95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经营性应收项目的减少（增加以</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-900,933,288.64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-327,425,334.03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188,162,142.15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230,326,061.72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-39,170,877.00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-25,729,784.55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647,206,841.75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1,422,749,382.62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2,973,831,523.50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2,845,003,755.12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2,845,003,755.12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2,095,823,706.55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128,827,768.38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749,180,048.57</w:t>
            </w:r>
          </w:p>
        </w:tc>
      </w:tr>
    </w:tbl>
    <w:p>
      <w:pPr>
        <w:widowControl w:val="0"/>
        <w:spacing w:after="339" w:line="1" w:lineRule="exact"/>
      </w:pPr>
    </w:p>
    <w:p>
      <w:pPr>
        <w:pStyle w:val="Style33"/>
        <w:keepNext/>
        <w:keepLines/>
        <w:widowControl w:val="0"/>
        <w:shd w:val="clear" w:color="auto" w:fill="auto"/>
        <w:tabs>
          <w:tab w:pos="493" w:val="left"/>
        </w:tabs>
        <w:bidi w:val="0"/>
        <w:spacing w:before="0" w:after="34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599"/>
      <w:bookmarkEnd w:id="1600"/>
      <w:bookmarkEnd w:id="1602"/>
    </w:p>
    <w:p>
      <w:pPr>
        <w:pStyle w:val="Style33"/>
        <w:keepNext/>
        <w:keepLines/>
        <w:widowControl w:val="0"/>
        <w:shd w:val="clear" w:color="auto" w:fill="auto"/>
        <w:tabs>
          <w:tab w:pos="493" w:val="left"/>
        </w:tabs>
        <w:bidi w:val="0"/>
        <w:spacing w:before="0" w:after="340" w:line="240" w:lineRule="auto"/>
        <w:ind w:left="0" w:right="0" w:firstLine="0"/>
        <w:jc w:val="left"/>
      </w:pPr>
      <w:bookmarkStart w:id="1599" w:name="bookmark1599"/>
      <w:bookmarkStart w:id="1600" w:name="bookmark1600"/>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599"/>
      <w:bookmarkEnd w:id="1600"/>
      <w:bookmarkEnd w:id="1604"/>
    </w:p>
    <w:p>
      <w:pPr>
        <w:pStyle w:val="Style33"/>
        <w:keepNext/>
        <w:keepLines/>
        <w:widowControl w:val="0"/>
        <w:shd w:val="clear" w:color="auto" w:fill="auto"/>
        <w:tabs>
          <w:tab w:pos="493" w:val="left"/>
        </w:tabs>
        <w:bidi w:val="0"/>
        <w:spacing w:before="0" w:after="400" w:line="240" w:lineRule="auto"/>
        <w:ind w:left="0" w:right="0" w:firstLine="0"/>
        <w:jc w:val="left"/>
      </w:pPr>
      <w:bookmarkStart w:id="1599" w:name="bookmark1599"/>
      <w:bookmarkStart w:id="1600" w:name="bookmark1600"/>
      <w:bookmarkStart w:id="1605" w:name="bookmark1605"/>
      <w:bookmarkStart w:id="1606" w:name="bookmark1606"/>
      <w:r>
        <w:rPr>
          <w:color w:val="000000"/>
          <w:spacing w:val="0"/>
          <w:w w:val="100"/>
          <w:position w:val="0"/>
        </w:rPr>
        <w:t>（</w:t>
      </w:r>
      <w:bookmarkEnd w:id="1605"/>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599"/>
      <w:bookmarkEnd w:id="1600"/>
      <w:bookmarkEnd w:id="160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2,973,831,523.50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2,845,003,755.12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2,973,830,331.97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2,844,975,992.51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26,402.96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2,973,831,523.50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2,845,003,755.12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4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sz w:val="18"/>
          <w:szCs w:val="18"/>
        </w:rPr>
        <w:t>2,973,831,523.50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日资产负债表中货币资金期末数为 </w:t>
      </w:r>
      <w:r>
        <w:rPr>
          <w:rFonts w:ascii="Times New Roman" w:eastAsia="Times New Roman" w:hAnsi="Times New Roman" w:cs="Times New Roman"/>
          <w:color w:val="000000"/>
          <w:spacing w:val="0"/>
          <w:w w:val="100"/>
          <w:position w:val="0"/>
          <w:sz w:val="18"/>
          <w:szCs w:val="18"/>
        </w:rPr>
        <w:t>2,994,819,890.68</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20,988,367.18</w:t>
      </w:r>
      <w:r>
        <w:rPr>
          <w:color w:val="000000"/>
          <w:spacing w:val="0"/>
          <w:w w:val="100"/>
          <w:position w:val="0"/>
        </w:rPr>
        <w:t>元，系现金流量表现金期末数扣除了不符合现金及现金等价物标准的保函保证金</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19,175,971.69</w:t>
      </w:r>
      <w:r>
        <w:rPr>
          <w:color w:val="000000"/>
          <w:spacing w:val="0"/>
          <w:w w:val="100"/>
          <w:position w:val="0"/>
        </w:rPr>
        <w:t>元；履约保证金</w:t>
      </w:r>
      <w:r>
        <w:rPr>
          <w:rFonts w:ascii="Times New Roman" w:eastAsia="Times New Roman" w:hAnsi="Times New Roman" w:cs="Times New Roman"/>
          <w:color w:val="000000"/>
          <w:spacing w:val="0"/>
          <w:w w:val="100"/>
          <w:position w:val="0"/>
          <w:sz w:val="18"/>
          <w:szCs w:val="18"/>
        </w:rPr>
        <w:t>801,006.97</w:t>
      </w:r>
      <w:r>
        <w:rPr>
          <w:color w:val="000000"/>
          <w:spacing w:val="0"/>
          <w:w w:val="100"/>
          <w:position w:val="0"/>
        </w:rPr>
        <w:t>元，信用证保证金</w:t>
      </w:r>
      <w:r>
        <w:rPr>
          <w:rFonts w:ascii="Times New Roman" w:eastAsia="Times New Roman" w:hAnsi="Times New Roman" w:cs="Times New Roman"/>
          <w:color w:val="000000"/>
          <w:spacing w:val="0"/>
          <w:w w:val="100"/>
          <w:position w:val="0"/>
          <w:sz w:val="18"/>
          <w:szCs w:val="18"/>
        </w:rPr>
        <w:t>1,011,388.52</w:t>
      </w:r>
      <w:r>
        <w:rPr>
          <w:color w:val="000000"/>
          <w:spacing w:val="0"/>
          <w:w w:val="100"/>
          <w:position w:val="0"/>
        </w:rPr>
        <w:t>元。</w:t>
      </w:r>
    </w:p>
    <w:p>
      <w:pPr>
        <w:pStyle w:val="Style22"/>
        <w:keepNext w:val="0"/>
        <w:keepLines w:val="0"/>
        <w:widowControl w:val="0"/>
        <w:shd w:val="clear" w:color="auto" w:fill="auto"/>
        <w:bidi w:val="0"/>
        <w:spacing w:before="0" w:after="380" w:line="312" w:lineRule="exact"/>
        <w:ind w:left="0" w:right="0" w:firstLine="4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年度现金流量表中现金期末数为</w:t>
      </w:r>
      <w:r>
        <w:rPr>
          <w:rFonts w:ascii="Times New Roman" w:eastAsia="Times New Roman" w:hAnsi="Times New Roman" w:cs="Times New Roman"/>
          <w:color w:val="000000"/>
          <w:spacing w:val="0"/>
          <w:w w:val="100"/>
          <w:position w:val="0"/>
          <w:sz w:val="18"/>
          <w:szCs w:val="18"/>
        </w:rPr>
        <w:t>2,845,003,755.12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日资产负债表中货币资金期末数为 </w:t>
      </w:r>
      <w:r>
        <w:rPr>
          <w:rFonts w:ascii="Times New Roman" w:eastAsia="Times New Roman" w:hAnsi="Times New Roman" w:cs="Times New Roman"/>
          <w:color w:val="000000"/>
          <w:spacing w:val="0"/>
          <w:w w:val="100"/>
          <w:position w:val="0"/>
          <w:sz w:val="18"/>
          <w:szCs w:val="18"/>
        </w:rPr>
        <w:t>2,867,029,711.23</w:t>
      </w:r>
      <w:r>
        <w:rPr>
          <w:color w:val="000000"/>
          <w:spacing w:val="0"/>
          <w:w w:val="100"/>
          <w:position w:val="0"/>
        </w:rPr>
        <w:t>元，差额</w:t>
      </w:r>
      <w:r>
        <w:rPr>
          <w:rFonts w:ascii="Times New Roman" w:eastAsia="Times New Roman" w:hAnsi="Times New Roman" w:cs="Times New Roman"/>
          <w:color w:val="000000"/>
          <w:spacing w:val="0"/>
          <w:w w:val="100"/>
          <w:position w:val="0"/>
          <w:sz w:val="18"/>
          <w:szCs w:val="18"/>
        </w:rPr>
        <w:t>22</w:t>
      </w:r>
      <w:r>
        <w:rPr>
          <w:rFonts w:ascii="Times New Roman" w:eastAsia="Times New Roman" w:hAnsi="Times New Roman" w:cs="Times New Roman"/>
          <w:color w:val="000000"/>
          <w:spacing w:val="0"/>
          <w:w w:val="100"/>
          <w:position w:val="0"/>
          <w:sz w:val="18"/>
          <w:szCs w:val="18"/>
        </w:rPr>
        <w:t>,025,956.11</w:t>
      </w:r>
      <w:r>
        <w:rPr>
          <w:color w:val="000000"/>
          <w:spacing w:val="0"/>
          <w:w w:val="100"/>
          <w:position w:val="0"/>
        </w:rPr>
        <w:t xml:space="preserve">元，系现金流量表现金期末数扣除了不符合现金及现金等价物标准的信用证保证金 </w:t>
      </w:r>
      <w:r>
        <w:rPr>
          <w:rFonts w:ascii="Times New Roman" w:eastAsia="Times New Roman" w:hAnsi="Times New Roman" w:cs="Times New Roman"/>
          <w:color w:val="000000"/>
          <w:spacing w:val="0"/>
          <w:w w:val="100"/>
          <w:position w:val="0"/>
          <w:sz w:val="18"/>
          <w:szCs w:val="18"/>
        </w:rPr>
        <w:t>1,034,849.4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元；保函保证金</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0,991,106.71 </w:t>
      </w:r>
      <w:r>
        <w:rPr>
          <w:color w:val="000000"/>
          <w:spacing w:val="0"/>
          <w:w w:val="100"/>
          <w:position w:val="0"/>
        </w:rPr>
        <w:t>元。</w:t>
      </w:r>
    </w:p>
    <w:p>
      <w:pPr>
        <w:pStyle w:val="Style33"/>
        <w:keepNext/>
        <w:keepLines/>
        <w:widowControl w:val="0"/>
        <w:shd w:val="clear" w:color="auto" w:fill="auto"/>
        <w:tabs>
          <w:tab w:pos="483" w:val="left"/>
        </w:tabs>
        <w:bidi w:val="0"/>
        <w:spacing w:before="0" w:after="24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8</w:t>
      </w:r>
      <w:bookmarkEnd w:id="160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07"/>
      <w:bookmarkEnd w:id="1608"/>
      <w:bookmarkEnd w:id="1610"/>
    </w:p>
    <w:p>
      <w:pPr>
        <w:pStyle w:val="Style22"/>
        <w:keepNext w:val="0"/>
        <w:keepLines w:val="0"/>
        <w:widowControl w:val="0"/>
        <w:shd w:val="clear" w:color="auto" w:fill="auto"/>
        <w:bidi w:val="0"/>
        <w:spacing w:before="0" w:line="312"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2"/>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8</w:t>
      </w:r>
      <w:bookmarkEnd w:id="161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11"/>
      <w:bookmarkEnd w:id="1612"/>
      <w:bookmarkEnd w:id="161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20,988,367.18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411,015,658.02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195,539,753.56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11,379,553.23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324,986,588.71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963,909,920.70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61"/>
        <w:keepNext w:val="0"/>
        <w:keepLines w:val="0"/>
        <w:widowControl w:val="0"/>
        <w:numPr>
          <w:ilvl w:val="0"/>
          <w:numId w:val="101"/>
        </w:numPr>
        <w:shd w:val="clear" w:color="auto" w:fill="auto"/>
        <w:bidi w:val="0"/>
        <w:spacing w:before="0" w:after="40" w:line="240" w:lineRule="auto"/>
        <w:ind w:left="0" w:right="0" w:firstLine="520"/>
        <w:jc w:val="left"/>
      </w:pPr>
      <w:bookmarkStart w:id="1615" w:name="bookmark1615"/>
      <w:bookmarkEnd w:id="1615"/>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日，公司固定资产、土地使用权用于借款抵押情况</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单位：万元</w:t>
      </w:r>
      <w:r>
        <w:rPr>
          <w:rFonts w:ascii="Times New Roman" w:eastAsia="Times New Roman" w:hAnsi="Times New Roman" w:cs="Times New Roman"/>
          <w:b w:val="0"/>
          <w:bCs w:val="0"/>
          <w:color w:val="000000"/>
          <w:spacing w:val="0"/>
          <w:w w:val="100"/>
          <w:position w:val="0"/>
        </w:rPr>
        <w:t>）</w:t>
      </w:r>
    </w:p>
    <w:tbl>
      <w:tblPr>
        <w:tblOverlap w:val="never"/>
        <w:jc w:val="center"/>
        <w:tblLayout w:type="fixed"/>
      </w:tblPr>
      <w:tblGrid>
        <w:gridCol w:w="730"/>
        <w:gridCol w:w="1363"/>
        <w:gridCol w:w="1363"/>
        <w:gridCol w:w="1819"/>
        <w:gridCol w:w="1219"/>
        <w:gridCol w:w="946"/>
        <w:gridCol w:w="1056"/>
        <w:gridCol w:w="1373"/>
      </w:tblGrid>
      <w:tr>
        <w:trPr>
          <w:trHeight w:val="63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抵押权人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抵押借款金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借款到期 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抵押担保人</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软通动力信息 技术（集团） 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江苏银行股份</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有限公司北京 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无锡市不动 产权第</w:t>
            </w:r>
            <w:r>
              <w:rPr>
                <w:rFonts w:ascii="Times New Roman" w:eastAsia="Times New Roman" w:hAnsi="Times New Roman" w:cs="Times New Roman"/>
                <w:color w:val="000000"/>
                <w:spacing w:val="0"/>
                <w:w w:val="100"/>
                <w:position w:val="0"/>
                <w:sz w:val="18"/>
                <w:szCs w:val="18"/>
              </w:rPr>
              <w:t>0068958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2022/8/23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软通动力信息</w:t>
            </w:r>
          </w:p>
          <w:p>
            <w:pPr>
              <w:pStyle w:val="Style2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系统服务有限</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w:t>
            </w:r>
          </w:p>
        </w:tc>
      </w:tr>
      <w:tr>
        <w:trPr>
          <w:trHeight w:val="9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软通动力信息 技术（集团） 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西藏信托有限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 xml:space="preserve">京房权证海字第 </w:t>
            </w:r>
            <w:r>
              <w:rPr>
                <w:rFonts w:ascii="Times New Roman" w:eastAsia="Times New Roman" w:hAnsi="Times New Roman" w:cs="Times New Roman"/>
                <w:color w:val="000000"/>
                <w:spacing w:val="0"/>
                <w:w w:val="100"/>
                <w:position w:val="0"/>
                <w:sz w:val="18"/>
                <w:szCs w:val="18"/>
              </w:rPr>
              <w:t>344046</w:t>
            </w:r>
            <w:r>
              <w:rPr>
                <w:color w:val="000000"/>
                <w:spacing w:val="0"/>
                <w:w w:val="100"/>
                <w:position w:val="0"/>
              </w:rPr>
              <w:t xml:space="preserve">号；京海国用 </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00108 </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2022/4/26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北京软通旭天</w:t>
            </w:r>
          </w:p>
          <w:p>
            <w:pPr>
              <w:pStyle w:val="Style2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科技发展有限</w:t>
            </w:r>
          </w:p>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w:t>
            </w:r>
          </w:p>
        </w:tc>
      </w:tr>
    </w:tbl>
    <w:p>
      <w:pPr>
        <w:pStyle w:val="Style29"/>
        <w:keepNext w:val="0"/>
        <w:keepLines w:val="0"/>
        <w:widowControl w:val="0"/>
        <w:shd w:val="clear" w:color="auto" w:fill="auto"/>
        <w:bidi w:val="0"/>
        <w:spacing w:before="0" w:after="0" w:line="312" w:lineRule="exact"/>
        <w:ind w:left="96"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上述抵押物中用于抵押的资产账面价值为</w:t>
      </w:r>
      <w:r>
        <w:rPr>
          <w:rFonts w:ascii="Times New Roman" w:eastAsia="Times New Roman" w:hAnsi="Times New Roman" w:cs="Times New Roman"/>
          <w:color w:val="000000"/>
          <w:spacing w:val="0"/>
          <w:w w:val="100"/>
          <w:position w:val="0"/>
          <w:sz w:val="18"/>
          <w:szCs w:val="18"/>
        </w:rPr>
        <w:t>61,793.5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万元，其中投资性房地产</w:t>
      </w:r>
      <w:r>
        <w:rPr>
          <w:rFonts w:ascii="Times New Roman" w:eastAsia="Times New Roman" w:hAnsi="Times New Roman" w:cs="Times New Roman"/>
          <w:color w:val="000000"/>
          <w:spacing w:val="0"/>
          <w:w w:val="100"/>
          <w:position w:val="0"/>
          <w:sz w:val="18"/>
          <w:szCs w:val="18"/>
        </w:rPr>
        <w:t>1,137.96</w:t>
      </w:r>
      <w:r>
        <w:rPr>
          <w:color w:val="000000"/>
          <w:spacing w:val="0"/>
          <w:w w:val="100"/>
          <w:position w:val="0"/>
        </w:rPr>
        <w:t>万元、固定资产</w:t>
      </w:r>
      <w:r>
        <w:rPr>
          <w:rFonts w:ascii="Times New Roman" w:eastAsia="Times New Roman" w:hAnsi="Times New Roman" w:cs="Times New Roman"/>
          <w:color w:val="000000"/>
          <w:spacing w:val="0"/>
          <w:w w:val="100"/>
          <w:position w:val="0"/>
          <w:sz w:val="18"/>
          <w:szCs w:val="18"/>
        </w:rPr>
        <w:t>41,101.57</w:t>
      </w:r>
      <w:r>
        <w:rPr>
          <w:color w:val="000000"/>
          <w:spacing w:val="0"/>
          <w:w w:val="100"/>
          <w:position w:val="0"/>
        </w:rPr>
        <w:t>万元、 无形资产</w:t>
      </w:r>
      <w:r>
        <w:rPr>
          <w:rFonts w:ascii="Times New Roman" w:eastAsia="Times New Roman" w:hAnsi="Times New Roman" w:cs="Times New Roman"/>
          <w:color w:val="000000"/>
          <w:spacing w:val="0"/>
          <w:w w:val="100"/>
          <w:position w:val="0"/>
          <w:sz w:val="18"/>
          <w:szCs w:val="18"/>
        </w:rPr>
        <w:t>19,553.98</w:t>
      </w:r>
      <w:r>
        <w:rPr>
          <w:color w:val="000000"/>
          <w:spacing w:val="0"/>
          <w:w w:val="100"/>
          <w:position w:val="0"/>
        </w:rPr>
        <w:t>万元。</w:t>
      </w:r>
    </w:p>
    <w:p>
      <w:pPr>
        <w:widowControl w:val="0"/>
        <w:spacing w:after="299" w:line="1" w:lineRule="exact"/>
      </w:pPr>
    </w:p>
    <w:p>
      <w:pPr>
        <w:pStyle w:val="Style61"/>
        <w:keepNext w:val="0"/>
        <w:keepLines w:val="0"/>
        <w:widowControl w:val="0"/>
        <w:numPr>
          <w:ilvl w:val="0"/>
          <w:numId w:val="101"/>
        </w:numPr>
        <w:shd w:val="clear" w:color="auto" w:fill="auto"/>
        <w:bidi w:val="0"/>
        <w:spacing w:before="0" w:after="40" w:line="240" w:lineRule="auto"/>
        <w:ind w:left="0" w:right="0" w:firstLine="520"/>
        <w:jc w:val="left"/>
      </w:pPr>
      <w:bookmarkStart w:id="1616" w:name="bookmark1616"/>
      <w:bookmarkEnd w:id="1616"/>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日，子公司股权投资用于借款质押情况</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单位：万元</w:t>
      </w:r>
      <w:r>
        <w:rPr>
          <w:rFonts w:ascii="Times New Roman" w:eastAsia="Times New Roman" w:hAnsi="Times New Roman" w:cs="Times New Roman"/>
          <w:b w:val="0"/>
          <w:bCs w:val="0"/>
          <w:color w:val="000000"/>
          <w:spacing w:val="0"/>
          <w:w w:val="100"/>
          <w:position w:val="0"/>
        </w:rPr>
        <w:t>）</w:t>
      </w:r>
    </w:p>
    <w:tbl>
      <w:tblPr>
        <w:tblOverlap w:val="never"/>
        <w:jc w:val="center"/>
        <w:tblLayout w:type="fixed"/>
      </w:tblPr>
      <w:tblGrid>
        <w:gridCol w:w="2016"/>
        <w:gridCol w:w="960"/>
        <w:gridCol w:w="1608"/>
        <w:gridCol w:w="1358"/>
        <w:gridCol w:w="1094"/>
        <w:gridCol w:w="1258"/>
        <w:gridCol w:w="1574"/>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质押权人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质押担保人</w:t>
            </w:r>
          </w:p>
        </w:tc>
      </w:tr>
      <w:tr>
        <w:trPr>
          <w:trHeight w:val="9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软通动力信息技术（集 团）股份有限公司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西藏信托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北京软通旭天科 技发展有限公司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2019/4/30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2022/4/26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北京软通旭天科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技发展有限公司</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8</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17"/>
      <w:bookmarkEnd w:id="1618"/>
      <w:bookmarkEnd w:id="1620"/>
    </w:p>
    <w:p>
      <w:pPr>
        <w:pStyle w:val="Style33"/>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21" w:name="bookmark16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17"/>
      <w:bookmarkEnd w:id="1618"/>
      <w:bookmarkEnd w:id="162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145,569,943.00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20,159,814.42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128,532,928.80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167,781.30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137,177.99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澳元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96,448.52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445,785.06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275,063,713.00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15,238,529.70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加元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242,880.84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1,215,521.45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40,126,275.63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5,553,779.40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35,409,231.32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38,737.92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31,672.12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63,790,842.00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3,534,012.65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澳元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1,451,537.50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1,151,359.54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4,659,094.25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326,523.20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2,081,813.97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293,496.10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2,118,953.79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4,179,990.00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231,571.45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加元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24,295.20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121,587.76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马来西亚林吉特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49,349.20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75,336.49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36,485.80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29,830.79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1,268,832.49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52,513.26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334,808.79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14,771,417.00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818,336.50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8,157.72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马来西亚林吉特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2,701.97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澳元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31,429.60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加元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14,370.00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71,916.10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新西兰元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7,454,725.48</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810,012.05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5,164,393.83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421,189.00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23,333.87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48,472.92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39,631.46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加元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24,295.20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121,587.76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289,417.73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2,089,509.19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马来西亚林吉特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10,657.26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16,269.37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3,323,556.80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59,992,000.00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3,323,556.80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1,108,221.60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20,004,000.00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1,108,221.60</w:t>
            </w:r>
          </w:p>
        </w:tc>
      </w:tr>
    </w:tbl>
    <w:p>
      <w:pPr>
        <w:widowControl w:val="0"/>
        <w:spacing w:after="259" w:line="1" w:lineRule="exact"/>
      </w:pPr>
    </w:p>
    <w:p>
      <w:pPr>
        <w:pStyle w:val="Style33"/>
        <w:keepNext/>
        <w:keepLines/>
        <w:widowControl w:val="0"/>
        <w:shd w:val="clear" w:color="auto" w:fill="auto"/>
        <w:bidi w:val="0"/>
        <w:spacing w:before="0" w:after="260" w:line="331" w:lineRule="exact"/>
        <w:ind w:left="0" w:right="0" w:firstLine="0"/>
        <w:jc w:val="left"/>
      </w:pPr>
      <w:bookmarkStart w:id="1622" w:name="bookmark1622"/>
      <w:bookmarkStart w:id="1623" w:name="bookmark1623"/>
      <w:bookmarkStart w:id="1624" w:name="bookmark16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2"/>
      <w:bookmarkEnd w:id="1623"/>
      <w:bookmarkEnd w:id="1624"/>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260" w:line="322" w:lineRule="exact"/>
        <w:ind w:left="0" w:right="0" w:firstLine="0"/>
        <w:jc w:val="left"/>
      </w:pPr>
      <w:r>
        <w:rPr>
          <w:color w:val="000000"/>
          <w:spacing w:val="0"/>
          <w:w w:val="100"/>
          <w:position w:val="0"/>
        </w:rPr>
        <w:t>本公司重要境外经营实体为</w:t>
      </w:r>
      <w:r>
        <w:rPr>
          <w:rFonts w:ascii="Times New Roman" w:eastAsia="Times New Roman" w:hAnsi="Times New Roman" w:cs="Times New Roman"/>
          <w:color w:val="000000"/>
          <w:spacing w:val="0"/>
          <w:w w:val="100"/>
          <w:position w:val="0"/>
          <w:sz w:val="18"/>
          <w:szCs w:val="18"/>
        </w:rPr>
        <w:t>iSoftStone Inc.</w:t>
      </w:r>
      <w:r>
        <w:rPr>
          <w:color w:val="000000"/>
          <w:spacing w:val="0"/>
          <w:w w:val="100"/>
          <w:position w:val="0"/>
        </w:rPr>
        <w:t>，</w:t>
      </w:r>
      <w:r>
        <w:rPr>
          <w:color w:val="000000"/>
          <w:spacing w:val="0"/>
          <w:w w:val="100"/>
          <w:position w:val="0"/>
        </w:rPr>
        <w:t>主要经营地在美国，根据其所处的主要经济环境确定美元为其记账本位币，本报 告期记账本位币未发生变化。</w:t>
      </w:r>
    </w:p>
    <w:p>
      <w:pPr>
        <w:pStyle w:val="Style33"/>
        <w:keepNext/>
        <w:keepLines/>
        <w:widowControl w:val="0"/>
        <w:shd w:val="clear" w:color="auto" w:fill="auto"/>
        <w:tabs>
          <w:tab w:pos="483" w:val="left"/>
        </w:tabs>
        <w:bidi w:val="0"/>
        <w:spacing w:before="0" w:after="260" w:line="331" w:lineRule="exact"/>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8</w:t>
      </w:r>
      <w:bookmarkEnd w:id="162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25"/>
      <w:bookmarkEnd w:id="1626"/>
      <w:bookmarkEnd w:id="1628"/>
    </w:p>
    <w:p>
      <w:pPr>
        <w:pStyle w:val="Style33"/>
        <w:keepNext/>
        <w:keepLines/>
        <w:widowControl w:val="0"/>
        <w:shd w:val="clear" w:color="auto" w:fill="auto"/>
        <w:tabs>
          <w:tab w:pos="483" w:val="left"/>
        </w:tabs>
        <w:bidi w:val="0"/>
        <w:spacing w:before="0" w:after="260" w:line="331" w:lineRule="exact"/>
        <w:ind w:left="0" w:right="0" w:firstLine="0"/>
        <w:jc w:val="left"/>
      </w:pPr>
      <w:bookmarkStart w:id="1625" w:name="bookmark1625"/>
      <w:bookmarkStart w:id="1626" w:name="bookmark1626"/>
      <w:bookmarkStart w:id="1629" w:name="bookmark1629"/>
      <w:bookmarkStart w:id="1630" w:name="bookmark1630"/>
      <w:r>
        <w:rPr>
          <w:rFonts w:ascii="Times New Roman" w:eastAsia="Times New Roman" w:hAnsi="Times New Roman" w:cs="Times New Roman"/>
          <w:color w:val="000000"/>
          <w:spacing w:val="0"/>
          <w:w w:val="100"/>
          <w:position w:val="0"/>
        </w:rPr>
        <w:t>8</w:t>
      </w:r>
      <w:bookmarkEnd w:id="1629"/>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25"/>
      <w:bookmarkEnd w:id="1626"/>
      <w:bookmarkEnd w:id="1630"/>
    </w:p>
    <w:p>
      <w:pPr>
        <w:pStyle w:val="Style33"/>
        <w:keepNext/>
        <w:keepLines/>
        <w:widowControl w:val="0"/>
        <w:shd w:val="clear" w:color="auto" w:fill="auto"/>
        <w:bidi w:val="0"/>
        <w:spacing w:before="0" w:after="380" w:line="331" w:lineRule="exact"/>
        <w:ind w:left="0" w:right="0" w:firstLine="0"/>
        <w:jc w:val="left"/>
      </w:pPr>
      <w:bookmarkStart w:id="1625" w:name="bookmark1625"/>
      <w:bookmarkStart w:id="1626" w:name="bookmark1626"/>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25"/>
      <w:bookmarkEnd w:id="1626"/>
      <w:bookmarkEnd w:id="163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54,641,888.32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54,641,888.32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97,257,336.63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23,625,077.78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5,679,600.00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计入财务费用的政府补助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157,680,324.95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84,048,066.10</w:t>
            </w:r>
          </w:p>
        </w:tc>
      </w:tr>
    </w:tbl>
    <w:p>
      <w:pPr>
        <w:pStyle w:val="Style6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p>
    <w:p>
      <w:pPr>
        <w:pStyle w:val="Style6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85</w:t>
      </w:r>
      <w:r>
        <w:rPr>
          <w:color w:val="000000"/>
          <w:spacing w:val="0"/>
          <w:w w:val="100"/>
          <w:position w:val="0"/>
        </w:rPr>
        <w:t>、其他</w:t>
      </w:r>
    </w:p>
    <w:p>
      <w:pPr>
        <w:pStyle w:val="Style27"/>
        <w:keepNext/>
        <w:keepLines/>
        <w:widowControl w:val="0"/>
        <w:shd w:val="clear" w:color="auto" w:fill="auto"/>
        <w:bidi w:val="0"/>
        <w:spacing w:before="0" w:after="36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sz w:val="24"/>
          <w:szCs w:val="24"/>
        </w:rPr>
        <w:t>八</w:t>
      </w:r>
      <w:bookmarkEnd w:id="1634"/>
      <w:r>
        <w:rPr>
          <w:color w:val="000000"/>
          <w:spacing w:val="0"/>
          <w:w w:val="100"/>
          <w:position w:val="0"/>
          <w:sz w:val="24"/>
          <w:szCs w:val="24"/>
        </w:rPr>
        <w:t>、合并范围的变更</w:t>
      </w:r>
      <w:bookmarkEnd w:id="1632"/>
      <w:bookmarkEnd w:id="1633"/>
      <w:bookmarkEnd w:id="1635"/>
    </w:p>
    <w:p>
      <w:pPr>
        <w:pStyle w:val="Style61"/>
        <w:keepNext w:val="0"/>
        <w:keepLines w:val="0"/>
        <w:widowControl w:val="0"/>
        <w:shd w:val="clear" w:color="auto" w:fill="auto"/>
        <w:tabs>
          <w:tab w:pos="368" w:val="left"/>
        </w:tabs>
        <w:bidi w:val="0"/>
        <w:spacing w:before="0" w:line="240" w:lineRule="auto"/>
        <w:ind w:left="0" w:right="0" w:firstLine="0"/>
        <w:jc w:val="left"/>
      </w:pPr>
      <w:bookmarkStart w:id="1636" w:name="bookmark1636"/>
      <w:r>
        <w:rPr>
          <w:rFonts w:ascii="Times New Roman" w:eastAsia="Times New Roman" w:hAnsi="Times New Roman" w:cs="Times New Roman"/>
          <w:color w:val="000000"/>
          <w:spacing w:val="0"/>
          <w:w w:val="100"/>
          <w:position w:val="0"/>
        </w:rPr>
        <w:t>1</w:t>
      </w:r>
      <w:bookmarkEnd w:id="1636"/>
      <w:r>
        <w:rPr>
          <w:color w:val="000000"/>
          <w:spacing w:val="0"/>
          <w:w w:val="100"/>
          <w:position w:val="0"/>
        </w:rPr>
        <w:t>、</w:t>
        <w:tab/>
        <w:t>非同一控制下企业合并</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637" w:name="bookmark1637"/>
      <w:r>
        <w:rPr>
          <w:rFonts w:ascii="Times New Roman" w:eastAsia="Times New Roman" w:hAnsi="Times New Roman" w:cs="Times New Roman"/>
          <w:color w:val="000000"/>
          <w:spacing w:val="0"/>
          <w:w w:val="100"/>
          <w:position w:val="0"/>
        </w:rPr>
        <w:t>2</w:t>
      </w:r>
      <w:bookmarkEnd w:id="1637"/>
      <w:r>
        <w:rPr>
          <w:color w:val="000000"/>
          <w:spacing w:val="0"/>
          <w:w w:val="100"/>
          <w:position w:val="0"/>
        </w:rPr>
        <w:t>、</w:t>
        <w:tab/>
        <w:t>同一控制下企业合并</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638" w:name="bookmark1638"/>
      <w:r>
        <w:rPr>
          <w:rFonts w:ascii="Times New Roman" w:eastAsia="Times New Roman" w:hAnsi="Times New Roman" w:cs="Times New Roman"/>
          <w:color w:val="000000"/>
          <w:spacing w:val="0"/>
          <w:w w:val="100"/>
          <w:position w:val="0"/>
        </w:rPr>
        <w:t>3</w:t>
      </w:r>
      <w:bookmarkEnd w:id="1638"/>
      <w:r>
        <w:rPr>
          <w:color w:val="000000"/>
          <w:spacing w:val="0"/>
          <w:w w:val="100"/>
          <w:position w:val="0"/>
        </w:rPr>
        <w:t>、</w:t>
        <w:tab/>
        <w:t>反向购买</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639" w:name="bookmark1639"/>
      <w:r>
        <w:rPr>
          <w:rFonts w:ascii="Times New Roman" w:eastAsia="Times New Roman" w:hAnsi="Times New Roman" w:cs="Times New Roman"/>
          <w:color w:val="000000"/>
          <w:spacing w:val="0"/>
          <w:w w:val="100"/>
          <w:position w:val="0"/>
        </w:rPr>
        <w:t>4</w:t>
      </w:r>
      <w:bookmarkEnd w:id="1639"/>
      <w:r>
        <w:rPr>
          <w:color w:val="000000"/>
          <w:spacing w:val="0"/>
          <w:w w:val="100"/>
          <w:position w:val="0"/>
        </w:rPr>
        <w:t>、</w:t>
        <w:tab/>
        <w:t>处置子公司</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640" w:name="bookmark1640"/>
      <w:r>
        <w:rPr>
          <w:rFonts w:ascii="Times New Roman" w:eastAsia="Times New Roman" w:hAnsi="Times New Roman" w:cs="Times New Roman"/>
          <w:color w:val="000000"/>
          <w:spacing w:val="0"/>
          <w:w w:val="100"/>
          <w:position w:val="0"/>
        </w:rPr>
        <w:t>5</w:t>
      </w:r>
      <w:bookmarkEnd w:id="1640"/>
      <w:r>
        <w:rPr>
          <w:color w:val="000000"/>
          <w:spacing w:val="0"/>
          <w:w w:val="100"/>
          <w:position w:val="0"/>
        </w:rPr>
        <w:t>、</w:t>
        <w:tab/>
        <w:t>其他原因的合并范围变动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9"/>
        <w:keepNext w:val="0"/>
        <w:keepLines w:val="0"/>
        <w:widowControl w:val="0"/>
        <w:shd w:val="clear" w:color="auto" w:fill="auto"/>
        <w:bidi w:val="0"/>
        <w:spacing w:before="0" w:after="0" w:line="240" w:lineRule="auto"/>
        <w:ind w:left="514"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以直接设立或投资等方式增加的子公司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指通过新设、派生分立等非合并收购方式增加的子公司</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806"/>
        <w:gridCol w:w="3605"/>
        <w:gridCol w:w="1411"/>
        <w:gridCol w:w="1858"/>
        <w:gridCol w:w="1301"/>
        <w:gridCol w:w="888"/>
      </w:tblGrid>
      <w:tr>
        <w:trPr>
          <w:trHeight w:val="63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转让日 期</w:t>
            </w: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杭州旭天云科技有限公司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r>
              <w:rPr>
                <w:color w:val="000000"/>
                <w:spacing w:val="0"/>
                <w:w w:val="100"/>
                <w:position w:val="0"/>
                <w:sz w:val="18"/>
                <w:szCs w:val="18"/>
              </w:rPr>
              <w:t xml:space="preserve">5,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德清软通信息技术服务有限公司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ISOFTSTONE TECHNOLOGY POLAND LLC SP</w:t>
            </w:r>
            <w:r>
              <w:rPr>
                <w:rFonts w:ascii="Times New Roman" w:eastAsia="Times New Roman" w:hAnsi="Times New Roman" w:cs="Times New Roman"/>
                <w:color w:val="000000"/>
                <w:spacing w:val="0"/>
                <w:w w:val="100"/>
                <w:position w:val="0"/>
                <w:sz w:val="18"/>
                <w:szCs w:val="18"/>
              </w:rPr>
              <w:t>O</w:t>
            </w:r>
            <w:r>
              <w:rPr>
                <w:rFonts w:ascii="Courier New" w:eastAsia="Courier New" w:hAnsi="Courier New" w:cs="Courier New"/>
                <w:color w:val="000000"/>
                <w:spacing w:val="0"/>
                <w:w w:val="100"/>
                <w:position w:val="0"/>
                <w:sz w:val="14"/>
                <w:szCs w:val="14"/>
              </w:rPr>
              <w:t>L</w:t>
            </w:r>
            <w:r>
              <w:rPr>
                <w:color w:val="000000"/>
                <w:spacing w:val="0"/>
                <w:w w:val="100"/>
                <w:position w:val="0"/>
                <w:sz w:val="18"/>
                <w:szCs w:val="18"/>
              </w:rPr>
              <w:t>KA</w:t>
            </w:r>
          </w:p>
          <w:p>
            <w:pPr>
              <w:pStyle w:val="Style2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8"/>
                <w:szCs w:val="18"/>
              </w:rPr>
              <w:t>Z OGRANICZON</w:t>
            </w:r>
            <w:r>
              <w:rPr>
                <w:rFonts w:ascii="Courier New" w:eastAsia="Courier New" w:hAnsi="Courier New" w:cs="Courier New"/>
                <w:color w:val="000000"/>
                <w:spacing w:val="0"/>
                <w:w w:val="100"/>
                <w:position w:val="0"/>
                <w:sz w:val="14"/>
                <w:szCs w:val="14"/>
              </w:rPr>
              <w:t xml:space="preserve">A </w:t>
            </w:r>
            <w:r>
              <w:rPr>
                <w:color w:val="000000"/>
                <w:spacing w:val="0"/>
                <w:w w:val="100"/>
                <w:position w:val="0"/>
                <w:sz w:val="18"/>
                <w:szCs w:val="18"/>
              </w:rPr>
              <w:t>ODPOWIEDZIALNO</w:t>
            </w:r>
            <w:r>
              <w:rPr>
                <w:rFonts w:ascii="Courier New" w:eastAsia="Courier New" w:hAnsi="Courier New" w:cs="Courier New"/>
                <w:color w:val="000000"/>
                <w:spacing w:val="0"/>
                <w:w w:val="100"/>
                <w:position w:val="0"/>
                <w:sz w:val="14"/>
                <w:szCs w:val="14"/>
              </w:rPr>
              <w:t>S</w:t>
            </w:r>
            <w:r>
              <w:rPr>
                <w:color w:val="000000"/>
                <w:spacing w:val="0"/>
                <w:w w:val="100"/>
                <w:position w:val="0"/>
                <w:sz w:val="18"/>
                <w:szCs w:val="18"/>
              </w:rPr>
              <w:t>CI</w:t>
            </w:r>
            <w:r>
              <w:rPr>
                <w:rFonts w:ascii="Courier New" w:eastAsia="Courier New" w:hAnsi="Courier New" w:cs="Courier New"/>
                <w:color w:val="000000"/>
                <w:spacing w:val="0"/>
                <w:w w:val="100"/>
                <w:position w:val="0"/>
                <w:sz w:val="14"/>
                <w:szCs w:val="14"/>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兹罗提</w:t>
            </w: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西藏软通动力科技有限公司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万元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西藏软通动力信息技术服务有限公司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万元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10 </w:t>
            </w:r>
            <w:r>
              <w:rPr>
                <w:color w:val="000000"/>
                <w:spacing w:val="0"/>
                <w:w w:val="100"/>
                <w:position w:val="0"/>
              </w:rPr>
              <w:t xml:space="preserve">月 </w:t>
            </w:r>
            <w:r>
              <w:rPr>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w:t>
            </w:r>
            <w:r>
              <w:rPr>
                <w:color w:val="000000"/>
                <w:spacing w:val="0"/>
                <w:w w:val="100"/>
                <w:position w:val="0"/>
                <w:sz w:val="18"/>
                <w:szCs w:val="18"/>
              </w:rPr>
              <w:t xml:space="preserve">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ISOFTSTONE TECHNOLOGY INDIA PRIVATE</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 </w:t>
            </w:r>
            <w:r>
              <w:rPr>
                <w:color w:val="000000"/>
                <w:spacing w:val="0"/>
                <w:w w:val="100"/>
                <w:position w:val="0"/>
              </w:rPr>
              <w:t xml:space="preserve">月 </w:t>
            </w:r>
            <w:r>
              <w:rPr>
                <w:color w:val="000000"/>
                <w:spacing w:val="0"/>
                <w:w w:val="100"/>
                <w:position w:val="0"/>
                <w:sz w:val="18"/>
                <w:szCs w:val="18"/>
              </w:rPr>
              <w:t xml:space="preserve">17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卢比</w:t>
            </w: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17"/>
          <w:szCs w:val="17"/>
        </w:rPr>
        <w:t>上述公司，自成立起公司对其拥有实质控制权，故自上述公司成立之日起，将其纳入合并财务报表范围</w:t>
      </w:r>
      <w:r>
        <w:rPr>
          <w:color w:val="000000"/>
          <w:spacing w:val="0"/>
          <w:w w:val="100"/>
          <w:position w:val="0"/>
          <w:sz w:val="20"/>
          <w:szCs w:val="20"/>
        </w:rPr>
        <w:t>。</w:t>
      </w:r>
      <w:r>
        <w:br w:type="page"/>
      </w:r>
    </w:p>
    <w:p>
      <w:pPr>
        <w:pStyle w:val="Style33"/>
        <w:keepNext/>
        <w:keepLines/>
        <w:widowControl w:val="0"/>
        <w:shd w:val="clear" w:color="auto" w:fill="auto"/>
        <w:bidi w:val="0"/>
        <w:spacing w:before="0" w:after="34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color w:val="000000"/>
          <w:spacing w:val="0"/>
          <w:w w:val="100"/>
          <w:position w:val="0"/>
        </w:rPr>
        <w:t>、其他</w:t>
      </w:r>
      <w:bookmarkEnd w:id="1641"/>
      <w:bookmarkEnd w:id="1642"/>
      <w:bookmarkEnd w:id="1644"/>
    </w:p>
    <w:p>
      <w:pPr>
        <w:pStyle w:val="Style27"/>
        <w:keepNext/>
        <w:keepLines/>
        <w:widowControl w:val="0"/>
        <w:shd w:val="clear" w:color="auto" w:fill="auto"/>
        <w:bidi w:val="0"/>
        <w:spacing w:before="0" w:after="34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sz w:val="24"/>
          <w:szCs w:val="24"/>
        </w:rPr>
        <w:t>九</w:t>
      </w:r>
      <w:bookmarkEnd w:id="1647"/>
      <w:r>
        <w:rPr>
          <w:color w:val="000000"/>
          <w:spacing w:val="0"/>
          <w:w w:val="100"/>
          <w:position w:val="0"/>
          <w:sz w:val="24"/>
          <w:szCs w:val="24"/>
        </w:rPr>
        <w:t>、在其他主体中的权益</w:t>
      </w:r>
      <w:bookmarkEnd w:id="1645"/>
      <w:bookmarkEnd w:id="1646"/>
      <w:bookmarkEnd w:id="1648"/>
    </w:p>
    <w:p>
      <w:pPr>
        <w:pStyle w:val="Style33"/>
        <w:keepNext/>
        <w:keepLines/>
        <w:widowControl w:val="0"/>
        <w:shd w:val="clear" w:color="auto" w:fill="auto"/>
        <w:bidi w:val="0"/>
        <w:spacing w:before="0" w:after="340" w:line="240" w:lineRule="auto"/>
        <w:ind w:left="0" w:right="0" w:firstLine="0"/>
        <w:jc w:val="left"/>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49"/>
      <w:bookmarkEnd w:id="1650"/>
      <w:bookmarkEnd w:id="1651"/>
    </w:p>
    <w:p>
      <w:pPr>
        <w:pStyle w:val="Style33"/>
        <w:keepNext/>
        <w:keepLines/>
        <w:widowControl w:val="0"/>
        <w:shd w:val="clear" w:color="auto" w:fill="auto"/>
        <w:bidi w:val="0"/>
        <w:spacing w:before="0" w:after="340" w:line="240" w:lineRule="auto"/>
        <w:ind w:left="0" w:right="0" w:firstLine="0"/>
        <w:jc w:val="left"/>
      </w:pPr>
      <w:bookmarkStart w:id="1649" w:name="bookmark1649"/>
      <w:bookmarkStart w:id="1650" w:name="bookmark1650"/>
      <w:bookmarkStart w:id="1652" w:name="bookmark16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49"/>
      <w:bookmarkEnd w:id="1650"/>
      <w:bookmarkEnd w:id="1652"/>
    </w:p>
    <w:tbl>
      <w:tblPr>
        <w:tblOverlap w:val="never"/>
        <w:jc w:val="center"/>
        <w:tblLayout w:type="fixed"/>
      </w:tblPr>
      <w:tblGrid>
        <w:gridCol w:w="2702"/>
        <w:gridCol w:w="1277"/>
        <w:gridCol w:w="994"/>
        <w:gridCol w:w="1555"/>
        <w:gridCol w:w="994"/>
        <w:gridCol w:w="994"/>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软通动力信息系统服务有限公司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Hong Kong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同一控制下 企业合并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软通动力信息技术集团（大连）有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上海康时信息系统有限公司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软通动力信息技术集团成都科技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深圳软通动力科技有限公司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软通信息技术（大连）有限公司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天津赢时驰美信息技术有限公司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软通动力信息技术集团（武汉）有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软通动力信息系统服务盐城有限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盐城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盐城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上海软通动力实业有限公司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佛山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佛山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iSoftStone,Inc.</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同一控制下 企业合并</w:t>
            </w:r>
          </w:p>
        </w:tc>
      </w:tr>
    </w:tbl>
    <w:p>
      <w:pPr>
        <w:widowControl w:val="0"/>
        <w:spacing w:line="1" w:lineRule="exact"/>
      </w:pPr>
      <w:r>
        <w:br w:type="page"/>
      </w:r>
    </w:p>
    <w:tbl>
      <w:tblPr>
        <w:tblOverlap w:val="never"/>
        <w:jc w:val="center"/>
        <w:tblLayout w:type="fixed"/>
      </w:tblPr>
      <w:tblGrid>
        <w:gridCol w:w="2702"/>
        <w:gridCol w:w="1277"/>
        <w:gridCol w:w="994"/>
        <w:gridCol w:w="1555"/>
        <w:gridCol w:w="994"/>
        <w:gridCol w:w="994"/>
        <w:gridCol w:w="107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Technology Corporation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加拿大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加拿大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同一控制下 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SDN.BHD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马来西亚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马来西亚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软通动力技术服务无锡有限公司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软通动力科技发展（盐城）有限公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盐城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盐城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同一控制下 企业合并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北京软通旭天科技发展有限公司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灵动信息技术有限公司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襄阳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襄阳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四川灵动信息技术有限公司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眉山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眉山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山东灵动信息技术有限公司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昆山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昆山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软通动力技术服务上海有限公司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南京软通动力信息系统服务有限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江苏灵科信息技术有限公司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南京软通动力信息技术服务有限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株式会社 </w:t>
            </w:r>
            <w:r>
              <w:rPr>
                <w:rFonts w:ascii="Times New Roman" w:eastAsia="Times New Roman" w:hAnsi="Times New Roman" w:cs="Times New Roman"/>
                <w:color w:val="000000"/>
                <w:spacing w:val="0"/>
                <w:w w:val="100"/>
                <w:position w:val="0"/>
                <w:sz w:val="18"/>
                <w:szCs w:val="18"/>
              </w:rPr>
              <w:t>iSoftStone Japan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同一控制下 企业合并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安顺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北京软通动力投资控股有限公司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同一控制下 企业合并</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北京软通云建技术服务有限公司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同一控制下 企业合并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Information Technology</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Software Hong Kong</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Network Technology</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 Kong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西安软通动力网络技术有限公司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北京软通动力教育科技有限公司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西安软通动力大数据科技有限公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西安软通动力云计算科技服务有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2702"/>
        <w:gridCol w:w="1277"/>
        <w:gridCol w:w="994"/>
        <w:gridCol w:w="1555"/>
        <w:gridCol w:w="994"/>
        <w:gridCol w:w="994"/>
        <w:gridCol w:w="1075"/>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杭州软通信息技术服务有限公司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怀来软通动力信息技术有限公司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张家口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张家口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软通动力信息技术（天津）有限公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北京软通动力云计算科技服务有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软通动力（上海）信息科技有限公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成都软通动力科创科技有限公司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重庆两江新区软通动力科技有限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怀来软通动力通讯工程有限公司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张家口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张家口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怀来百通智驾科技有限公司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张家口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张家口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东莞软通动力计算机技术有限公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软通智服（武汉）科技有限公司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武汉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徐州软通网络科技有限公司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徐州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徐州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北京国电软通科技有限公司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北京国电软通江苏科技有限公司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宁波软通动力数据服务有限公司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宁波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宁波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软通动力（广州）科技有限公司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佛山市软通动力科技有限公司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佛山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佛山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贵安新区软通动力技术服务有限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贵安新区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贵安新区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秦皇岛软动信息技术服务有限公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秦皇岛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秦皇岛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上饶市软通数字科技有限公司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京山软通动力技术服务有限公司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荆门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荆门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郑州软通动力互联网服务有限公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郑州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郑州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石家庄软数信息技术有限公司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石家庄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石家庄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镇江软通数字科技有限公司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镇江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镇江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成都软通动力信息技术服务有限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西安软通动力数字运营科技有限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line="1" w:lineRule="exact"/>
      </w:pPr>
    </w:p>
    <w:tbl>
      <w:tblPr>
        <w:tblOverlap w:val="never"/>
        <w:jc w:val="center"/>
        <w:tblLayout w:type="fixed"/>
      </w:tblPr>
      <w:tblGrid>
        <w:gridCol w:w="2702"/>
        <w:gridCol w:w="1277"/>
        <w:gridCol w:w="994"/>
        <w:gridCol w:w="1555"/>
        <w:gridCol w:w="994"/>
        <w:gridCol w:w="994"/>
        <w:gridCol w:w="107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徐州丰县软通数字科技有限公司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万年县软通数字科技有限公司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盐城射阳软通数字科技有限公司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盐城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盐城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杭州旭天云科技有限公司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德清软通信息技术服务有限公司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TECHNOLOGY</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POLAND LLC SPOLKA Z</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OGRANICZONA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ODPOWIEDZIALNOSCIA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波兰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波兰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西藏软通动力科技有限公司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西藏软通动力信息技术服务有限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盐城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盐城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TECHNOLOGY</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INDIA PRIVATE 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印度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信息技术服务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在子公司的持股比例不同于表决权比例的说明：</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对于纳入合并范围的重要的结构化主体，控制的依据：</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61"/>
        <w:keepNext w:val="0"/>
        <w:keepLines w:val="0"/>
        <w:widowControl w:val="0"/>
        <w:shd w:val="clear" w:color="auto" w:fill="auto"/>
        <w:tabs>
          <w:tab w:pos="493" w:val="left"/>
        </w:tabs>
        <w:bidi w:val="0"/>
        <w:spacing w:before="0" w:after="300" w:line="312" w:lineRule="exact"/>
        <w:ind w:left="0" w:right="0" w:firstLine="0"/>
        <w:jc w:val="both"/>
      </w:pPr>
      <w:bookmarkStart w:id="1653" w:name="bookmark1653"/>
      <w:r>
        <w:rPr>
          <w:color w:val="000000"/>
          <w:spacing w:val="0"/>
          <w:w w:val="100"/>
          <w:position w:val="0"/>
        </w:rPr>
        <w:t>（</w:t>
      </w:r>
      <w:bookmarkEnd w:id="1653"/>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p>
    <w:p>
      <w:pPr>
        <w:pStyle w:val="Style61"/>
        <w:keepNext w:val="0"/>
        <w:keepLines w:val="0"/>
        <w:widowControl w:val="0"/>
        <w:shd w:val="clear" w:color="auto" w:fill="auto"/>
        <w:tabs>
          <w:tab w:pos="493" w:val="left"/>
        </w:tabs>
        <w:bidi w:val="0"/>
        <w:spacing w:before="0" w:after="300" w:line="312" w:lineRule="exact"/>
        <w:ind w:left="0" w:right="0" w:firstLine="0"/>
        <w:jc w:val="both"/>
      </w:pPr>
      <w:bookmarkStart w:id="1654" w:name="bookmark1654"/>
      <w:r>
        <w:rPr>
          <w:color w:val="000000"/>
          <w:spacing w:val="0"/>
          <w:w w:val="100"/>
          <w:position w:val="0"/>
        </w:rPr>
        <w:t>（</w:t>
      </w:r>
      <w:bookmarkEnd w:id="1654"/>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p>
    <w:p>
      <w:pPr>
        <w:pStyle w:val="Style61"/>
        <w:keepNext w:val="0"/>
        <w:keepLines w:val="0"/>
        <w:widowControl w:val="0"/>
        <w:shd w:val="clear" w:color="auto" w:fill="auto"/>
        <w:tabs>
          <w:tab w:pos="493" w:val="left"/>
        </w:tabs>
        <w:bidi w:val="0"/>
        <w:spacing w:before="0" w:after="300" w:line="312" w:lineRule="exact"/>
        <w:ind w:left="0" w:right="0" w:firstLine="0"/>
        <w:jc w:val="both"/>
      </w:pPr>
      <w:bookmarkStart w:id="1655" w:name="bookmark1655"/>
      <w:r>
        <w:rPr>
          <w:color w:val="000000"/>
          <w:spacing w:val="0"/>
          <w:w w:val="100"/>
          <w:position w:val="0"/>
        </w:rPr>
        <w:t>（</w:t>
      </w:r>
      <w:bookmarkEnd w:id="165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p>
    <w:p>
      <w:pPr>
        <w:pStyle w:val="Style61"/>
        <w:keepNext w:val="0"/>
        <w:keepLines w:val="0"/>
        <w:widowControl w:val="0"/>
        <w:shd w:val="clear" w:color="auto" w:fill="auto"/>
        <w:tabs>
          <w:tab w:pos="493" w:val="left"/>
        </w:tabs>
        <w:bidi w:val="0"/>
        <w:spacing w:before="0" w:after="380" w:line="312" w:lineRule="exact"/>
        <w:ind w:left="0" w:right="0" w:firstLine="0"/>
        <w:jc w:val="both"/>
      </w:pPr>
      <w:bookmarkStart w:id="1656" w:name="bookmark1656"/>
      <w:r>
        <w:rPr>
          <w:color w:val="000000"/>
          <w:spacing w:val="0"/>
          <w:w w:val="100"/>
          <w:position w:val="0"/>
        </w:rPr>
        <w:t>（</w:t>
      </w:r>
      <w:bookmarkEnd w:id="165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p>
    <w:p>
      <w:pPr>
        <w:pStyle w:val="Style61"/>
        <w:keepNext w:val="0"/>
        <w:keepLines w:val="0"/>
        <w:widowControl w:val="0"/>
        <w:shd w:val="clear" w:color="auto" w:fill="auto"/>
        <w:bidi w:val="0"/>
        <w:spacing w:before="0" w:after="220" w:line="326"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p>
    <w:p>
      <w:pPr>
        <w:pStyle w:val="Style6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p>
    <w:p>
      <w:pPr>
        <w:pStyle w:val="Style61"/>
        <w:keepNext w:val="0"/>
        <w:keepLines w:val="0"/>
        <w:widowControl w:val="0"/>
        <w:shd w:val="clear" w:color="auto" w:fill="auto"/>
        <w:bidi w:val="0"/>
        <w:spacing w:before="0" w:after="300" w:line="326" w:lineRule="auto"/>
        <w:ind w:left="0" w:right="0" w:firstLine="440"/>
        <w:jc w:val="both"/>
      </w:pP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 xml:space="preserve">年，本公司与广东南方报业传媒集团新媒体有限公司签订《股权转让协议》，本公司以人民币 </w:t>
      </w:r>
      <w:r>
        <w:rPr>
          <w:rFonts w:ascii="Times New Roman" w:eastAsia="Times New Roman" w:hAnsi="Times New Roman" w:cs="Times New Roman"/>
          <w:b w:val="0"/>
          <w:bCs w:val="0"/>
          <w:color w:val="000000"/>
          <w:spacing w:val="0"/>
          <w:w w:val="100"/>
          <w:position w:val="0"/>
        </w:rPr>
        <w:t>2,791,375.94</w:t>
      </w:r>
      <w:r>
        <w:rPr>
          <w:b w:val="0"/>
          <w:bCs w:val="0"/>
          <w:color w:val="000000"/>
          <w:spacing w:val="0"/>
          <w:w w:val="100"/>
          <w:position w:val="0"/>
        </w:rPr>
        <w:t>元受让广东南方报业传媒集团新媒体有限公司持有的昆山软通动力技术服务有限公司</w:t>
      </w:r>
      <w:r>
        <w:rPr>
          <w:rFonts w:ascii="Times New Roman" w:eastAsia="Times New Roman" w:hAnsi="Times New Roman" w:cs="Times New Roman"/>
          <w:b w:val="0"/>
          <w:bCs w:val="0"/>
          <w:color w:val="000000"/>
          <w:spacing w:val="0"/>
          <w:w w:val="100"/>
          <w:position w:val="0"/>
        </w:rPr>
        <w:t>10%</w:t>
      </w:r>
      <w:r>
        <w:rPr>
          <w:b w:val="0"/>
          <w:bCs w:val="0"/>
          <w:color w:val="000000"/>
          <w:spacing w:val="0"/>
          <w:w w:val="100"/>
          <w:position w:val="0"/>
        </w:rPr>
        <w:t xml:space="preserve">股 </w:t>
      </w:r>
      <w:r>
        <w:rPr>
          <w:b w:val="0"/>
          <w:bCs w:val="0"/>
          <w:color w:val="000000"/>
          <w:spacing w:val="0"/>
          <w:w w:val="100"/>
          <w:position w:val="0"/>
        </w:rPr>
        <w:t>权，持股比例由</w:t>
      </w:r>
      <w:r>
        <w:rPr>
          <w:rFonts w:ascii="Times New Roman" w:eastAsia="Times New Roman" w:hAnsi="Times New Roman" w:cs="Times New Roman"/>
          <w:b w:val="0"/>
          <w:bCs w:val="0"/>
          <w:color w:val="000000"/>
          <w:spacing w:val="0"/>
          <w:w w:val="100"/>
          <w:position w:val="0"/>
        </w:rPr>
        <w:t>90%</w:t>
      </w:r>
      <w:r>
        <w:rPr>
          <w:b w:val="0"/>
          <w:bCs w:val="0"/>
          <w:color w:val="000000"/>
          <w:spacing w:val="0"/>
          <w:w w:val="100"/>
          <w:position w:val="0"/>
        </w:rPr>
        <w:t>变更为</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，发生购买少数股东权益的权益性交易，扣除少数股东股权影响，相应减 少本期资本溢价</w:t>
      </w:r>
      <w:r>
        <w:rPr>
          <w:rFonts w:ascii="Times New Roman" w:eastAsia="Times New Roman" w:hAnsi="Times New Roman" w:cs="Times New Roman"/>
          <w:b w:val="0"/>
          <w:bCs w:val="0"/>
          <w:color w:val="000000"/>
          <w:spacing w:val="0"/>
          <w:w w:val="100"/>
          <w:position w:val="0"/>
        </w:rPr>
        <w:t>50,911.6</w:t>
      </w:r>
      <w:r>
        <w:rPr>
          <w:rFonts w:ascii="Times New Roman" w:eastAsia="Times New Roman" w:hAnsi="Times New Roman" w:cs="Times New Roman"/>
          <w:b w:val="0"/>
          <w:bCs w:val="0"/>
          <w:color w:val="000000"/>
          <w:spacing w:val="0"/>
          <w:w w:val="100"/>
          <w:position w:val="0"/>
        </w:rPr>
        <w:t>0</w:t>
      </w:r>
      <w:r>
        <w:rPr>
          <w:b w:val="0"/>
          <w:bCs w:val="0"/>
          <w:color w:val="000000"/>
          <w:spacing w:val="0"/>
          <w:w w:val="100"/>
          <w:position w:val="0"/>
        </w:rPr>
        <w:t>元。</w:t>
      </w:r>
    </w:p>
    <w:p>
      <w:pPr>
        <w:pStyle w:val="Style33"/>
        <w:keepNext/>
        <w:keepLines/>
        <w:widowControl w:val="0"/>
        <w:shd w:val="clear" w:color="auto" w:fill="auto"/>
        <w:bidi w:val="0"/>
        <w:spacing w:before="0" w:after="380" w:line="302" w:lineRule="exact"/>
        <w:ind w:left="0" w:right="0" w:firstLine="0"/>
        <w:jc w:val="both"/>
      </w:pPr>
      <w:bookmarkStart w:id="1657" w:name="bookmark1657"/>
      <w:bookmarkStart w:id="1658" w:name="bookmark1658"/>
      <w:bookmarkStart w:id="1659" w:name="bookmark16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657"/>
      <w:bookmarkEnd w:id="1658"/>
      <w:bookmarkEnd w:id="165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昆山软通动力技术服务有限公司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2,791,375.94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2,791,375.94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2,740,464.34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50,911.60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both"/>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3</w:t>
      </w:r>
      <w:bookmarkEnd w:id="1662"/>
      <w:r>
        <w:rPr>
          <w:color w:val="000000"/>
          <w:spacing w:val="0"/>
          <w:w w:val="100"/>
          <w:position w:val="0"/>
        </w:rPr>
        <w:t>、在合营安排或联营企业中的权益</w:t>
      </w:r>
      <w:bookmarkEnd w:id="1660"/>
      <w:bookmarkEnd w:id="1661"/>
      <w:bookmarkEnd w:id="1663"/>
    </w:p>
    <w:p>
      <w:pPr>
        <w:pStyle w:val="Style33"/>
        <w:keepNext/>
        <w:keepLines/>
        <w:widowControl w:val="0"/>
        <w:shd w:val="clear" w:color="auto" w:fill="auto"/>
        <w:bidi w:val="0"/>
        <w:spacing w:before="0" w:after="300" w:line="240" w:lineRule="auto"/>
        <w:ind w:left="0" w:right="0" w:firstLine="0"/>
        <w:jc w:val="both"/>
      </w:pPr>
      <w:bookmarkStart w:id="1660" w:name="bookmark1660"/>
      <w:bookmarkStart w:id="1661" w:name="bookmark1661"/>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60"/>
      <w:bookmarkEnd w:id="1661"/>
      <w:bookmarkEnd w:id="1664"/>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上饶市数通教育 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2"/>
        <w:keepNext w:val="0"/>
        <w:keepLines w:val="0"/>
        <w:widowControl w:val="0"/>
        <w:shd w:val="clear" w:color="auto" w:fill="auto"/>
        <w:bidi w:val="0"/>
        <w:spacing w:before="0" w:line="30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、上述参股公司的总资产、净资产和净利润指标均未超过发行人对应指标的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，考虑净资产规模等主要指标不属于 发行人重要的参股公司；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、上述参股公司控股或者参股企业亦为发行人参股公司。</w:t>
      </w:r>
    </w:p>
    <w:p>
      <w:pPr>
        <w:pStyle w:val="Style22"/>
        <w:keepNext w:val="0"/>
        <w:keepLines w:val="0"/>
        <w:widowControl w:val="0"/>
        <w:shd w:val="clear" w:color="auto" w:fill="auto"/>
        <w:bidi w:val="0"/>
        <w:spacing w:before="0" w:line="307" w:lineRule="exact"/>
        <w:ind w:left="0" w:right="0" w:firstLine="0"/>
        <w:jc w:val="both"/>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line="307" w:lineRule="exact"/>
        <w:ind w:left="0" w:right="0" w:firstLine="0"/>
        <w:jc w:val="both"/>
      </w:pPr>
      <w:r>
        <w:rPr>
          <w:color w:val="000000"/>
          <w:spacing w:val="0"/>
          <w:w w:val="100"/>
          <w:position w:val="0"/>
        </w:rPr>
        <w:t>不适用</w:t>
      </w:r>
    </w:p>
    <w:p>
      <w:pPr>
        <w:pStyle w:val="Style22"/>
        <w:keepNext w:val="0"/>
        <w:keepLines w:val="0"/>
        <w:widowControl w:val="0"/>
        <w:shd w:val="clear" w:color="auto" w:fill="auto"/>
        <w:bidi w:val="0"/>
        <w:spacing w:before="0" w:line="307" w:lineRule="exact"/>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2"/>
        <w:keepNext w:val="0"/>
        <w:keepLines w:val="0"/>
        <w:widowControl w:val="0"/>
        <w:shd w:val="clear" w:color="auto" w:fill="auto"/>
        <w:bidi w:val="0"/>
        <w:spacing w:before="0" w:after="380" w:line="307" w:lineRule="exact"/>
        <w:ind w:left="0" w:right="0" w:firstLine="0"/>
        <w:jc w:val="both"/>
      </w:pP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both"/>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665"/>
      <w:bookmarkEnd w:id="1666"/>
      <w:bookmarkEnd w:id="1668"/>
    </w:p>
    <w:p>
      <w:pPr>
        <w:pStyle w:val="Style33"/>
        <w:keepNext/>
        <w:keepLines/>
        <w:widowControl w:val="0"/>
        <w:shd w:val="clear" w:color="auto" w:fill="auto"/>
        <w:tabs>
          <w:tab w:pos="493" w:val="left"/>
        </w:tabs>
        <w:bidi w:val="0"/>
        <w:spacing w:before="0" w:after="300" w:line="240" w:lineRule="auto"/>
        <w:ind w:left="0" w:right="0" w:firstLine="0"/>
        <w:jc w:val="both"/>
      </w:pPr>
      <w:bookmarkStart w:id="1665" w:name="bookmark1665"/>
      <w:bookmarkStart w:id="1666" w:name="bookmark1666"/>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665"/>
      <w:bookmarkEnd w:id="1666"/>
      <w:bookmarkEnd w:id="1670"/>
    </w:p>
    <w:p>
      <w:pPr>
        <w:pStyle w:val="Style22"/>
        <w:keepNext w:val="0"/>
        <w:keepLines w:val="0"/>
        <w:widowControl w:val="0"/>
        <w:shd w:val="clear" w:color="auto" w:fill="auto"/>
        <w:bidi w:val="0"/>
        <w:spacing w:before="0" w:after="300" w:line="307" w:lineRule="exact"/>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上饶市数通教育科技有限公司</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上饶市数通教育科技有限公司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200,652,057.55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200,557,788.41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81,526.00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200,662,617.55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200,639,314.41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169,914.55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476,965.85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169,914.55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476,965.85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200,492,703.00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200,162,348.56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200,492,703.00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200,162,348.56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200,492,703.00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200,162,348.56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3,218,367.84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3,967,924.42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316,724.26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162,348.56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316,724.26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162,348.56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326" w:lineRule="exact"/>
        <w:ind w:left="0" w:right="0" w:firstLine="0"/>
        <w:jc w:val="left"/>
      </w:pPr>
      <w:r>
        <w:rPr>
          <w:color w:val="000000"/>
          <w:spacing w:val="0"/>
          <w:w w:val="100"/>
          <w:position w:val="0"/>
        </w:rPr>
        <w:t>以上财务数据未经审计；截止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日，除本公司出资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亿元外，其他股东未实际出资，本公司按实际出资享受权益 及损益。</w:t>
      </w:r>
    </w:p>
    <w:p>
      <w:pPr>
        <w:pStyle w:val="Style33"/>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671"/>
      <w:bookmarkEnd w:id="1672"/>
      <w:bookmarkEnd w:id="167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527,873.10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965,330.03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-436,778.29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-1,034,669.97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-436,778.29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-1,034,669.97</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以上财务数据未经审计。</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675" w:name="bookmark1675"/>
      <w:r>
        <w:rPr>
          <w:color w:val="000000"/>
          <w:spacing w:val="0"/>
          <w:w w:val="100"/>
          <w:position w:val="0"/>
        </w:rPr>
        <w:t>（</w:t>
      </w:r>
      <w:bookmarkEnd w:id="167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676" w:name="bookmark1676"/>
      <w:r>
        <w:rPr>
          <w:color w:val="000000"/>
          <w:spacing w:val="0"/>
          <w:w w:val="100"/>
          <w:position w:val="0"/>
        </w:rPr>
        <w:t>（</w:t>
      </w:r>
      <w:bookmarkEnd w:id="1676"/>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677" w:name="bookmark1677"/>
      <w:r>
        <w:rPr>
          <w:color w:val="000000"/>
          <w:spacing w:val="0"/>
          <w:w w:val="100"/>
          <w:position w:val="0"/>
        </w:rPr>
        <w:t>（</w:t>
      </w:r>
      <w:bookmarkEnd w:id="167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678" w:name="bookmark1678"/>
      <w:r>
        <w:rPr>
          <w:color w:val="000000"/>
          <w:spacing w:val="0"/>
          <w:w w:val="100"/>
          <w:position w:val="0"/>
        </w:rPr>
        <w:t>（</w:t>
      </w:r>
      <w:bookmarkEnd w:id="167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679" w:name="bookmark1679"/>
      <w:r>
        <w:rPr>
          <w:rFonts w:ascii="Times New Roman" w:eastAsia="Times New Roman" w:hAnsi="Times New Roman" w:cs="Times New Roman"/>
          <w:color w:val="000000"/>
          <w:spacing w:val="0"/>
          <w:w w:val="100"/>
          <w:position w:val="0"/>
        </w:rPr>
        <w:t>4</w:t>
      </w:r>
      <w:bookmarkEnd w:id="1679"/>
      <w:r>
        <w:rPr>
          <w:color w:val="000000"/>
          <w:spacing w:val="0"/>
          <w:w w:val="100"/>
          <w:position w:val="0"/>
        </w:rPr>
        <w:t>、</w:t>
        <w:tab/>
        <w:t>重要的共同经营</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680" w:name="bookmark1680"/>
      <w:r>
        <w:rPr>
          <w:rFonts w:ascii="Times New Roman" w:eastAsia="Times New Roman" w:hAnsi="Times New Roman" w:cs="Times New Roman"/>
          <w:color w:val="000000"/>
          <w:spacing w:val="0"/>
          <w:w w:val="100"/>
          <w:position w:val="0"/>
        </w:rPr>
        <w:t>5</w:t>
      </w:r>
      <w:bookmarkEnd w:id="1680"/>
      <w:r>
        <w:rPr>
          <w:color w:val="000000"/>
          <w:spacing w:val="0"/>
          <w:w w:val="100"/>
          <w:position w:val="0"/>
        </w:rPr>
        <w:t>、</w:t>
        <w:tab/>
        <w:t>在未纳入合并财务报表范围的结构化主体中的权益</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681" w:name="bookmark1681"/>
      <w:r>
        <w:rPr>
          <w:rFonts w:ascii="Times New Roman" w:eastAsia="Times New Roman" w:hAnsi="Times New Roman" w:cs="Times New Roman"/>
          <w:color w:val="000000"/>
          <w:spacing w:val="0"/>
          <w:w w:val="100"/>
          <w:position w:val="0"/>
        </w:rPr>
        <w:t>6</w:t>
      </w:r>
      <w:bookmarkEnd w:id="1681"/>
      <w:r>
        <w:rPr>
          <w:color w:val="000000"/>
          <w:spacing w:val="0"/>
          <w:w w:val="100"/>
          <w:position w:val="0"/>
        </w:rPr>
        <w:t>、</w:t>
        <w:tab/>
        <w:t>其他</w:t>
      </w:r>
    </w:p>
    <w:p>
      <w:pPr>
        <w:pStyle w:val="Style27"/>
        <w:keepNext/>
        <w:keepLines/>
        <w:widowControl w:val="0"/>
        <w:shd w:val="clear" w:color="auto" w:fill="auto"/>
        <w:bidi w:val="0"/>
        <w:spacing w:before="0" w:after="240" w:line="240" w:lineRule="auto"/>
        <w:ind w:left="0" w:right="0" w:firstLine="0"/>
        <w:jc w:val="left"/>
      </w:pPr>
      <w:bookmarkStart w:id="1682" w:name="bookmark1682"/>
      <w:bookmarkStart w:id="1683" w:name="bookmark1683"/>
      <w:bookmarkStart w:id="1684" w:name="bookmark1684"/>
      <w:r>
        <w:rPr>
          <w:color w:val="000000"/>
          <w:spacing w:val="0"/>
          <w:w w:val="100"/>
          <w:position w:val="0"/>
          <w:sz w:val="24"/>
          <w:szCs w:val="24"/>
        </w:rPr>
        <w:t>十、与金融工具相关的风险</w:t>
      </w:r>
      <w:bookmarkEnd w:id="1682"/>
      <w:bookmarkEnd w:id="1683"/>
      <w:bookmarkEnd w:id="1684"/>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本公司在日常活动中面临各种金融工具的风险，主要包括信用风险、市场风险和流动性风险。本公司的主要金融工具 包括货币资金、股权投资、债权投资、借款、应收账款、应付账款等，各项金融工具的详细情况说明见本节附注五相关项目。 与这些金融工具有关的风险，以及本公司为降低这些风险所采取的风险管理政策如下所述：</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22"/>
        <w:keepNext w:val="0"/>
        <w:keepLines w:val="0"/>
        <w:widowControl w:val="0"/>
        <w:shd w:val="clear" w:color="auto" w:fill="auto"/>
        <w:bidi w:val="0"/>
        <w:spacing w:before="0" w:after="0" w:line="312" w:lineRule="exact"/>
        <w:ind w:left="0" w:right="0" w:firstLine="440"/>
        <w:jc w:val="both"/>
      </w:pPr>
      <w:bookmarkStart w:id="1685" w:name="bookmark1685"/>
      <w:r>
        <w:rPr>
          <w:b/>
          <w:bCs/>
          <w:color w:val="000000"/>
          <w:spacing w:val="0"/>
          <w:w w:val="100"/>
          <w:position w:val="0"/>
        </w:rPr>
        <w:t>（</w:t>
      </w:r>
      <w:bookmarkEnd w:id="1685"/>
      <w:r>
        <w:rPr>
          <w:b/>
          <w:bCs/>
          <w:color w:val="000000"/>
          <w:spacing w:val="0"/>
          <w:w w:val="100"/>
          <w:position w:val="0"/>
        </w:rPr>
        <w:t>一）市场风险</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金融工具的市场风险，是指金融工具的公允价值或未来现金流量因市场价格变动而发生波动的风险，包括外汇风险、 利率风险和其他价格风险。</w:t>
      </w:r>
    </w:p>
    <w:p>
      <w:pPr>
        <w:pStyle w:val="Style22"/>
        <w:keepNext w:val="0"/>
        <w:keepLines w:val="0"/>
        <w:widowControl w:val="0"/>
        <w:numPr>
          <w:ilvl w:val="0"/>
          <w:numId w:val="103"/>
        </w:numPr>
        <w:shd w:val="clear" w:color="auto" w:fill="auto"/>
        <w:bidi w:val="0"/>
        <w:spacing w:before="0" w:after="0" w:line="312" w:lineRule="exact"/>
        <w:ind w:left="0" w:right="0" w:firstLine="440"/>
        <w:jc w:val="both"/>
      </w:pPr>
      <w:bookmarkStart w:id="1686" w:name="bookmark1686"/>
      <w:bookmarkEnd w:id="1686"/>
      <w:r>
        <w:rPr>
          <w:color w:val="000000"/>
          <w:spacing w:val="0"/>
          <w:w w:val="100"/>
          <w:position w:val="0"/>
        </w:rPr>
        <w:t>汇率风险</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汇率风险是指金融工具的公允价值或未来现金流量因外汇汇率变动而发生波动的风险。本公司的主要经营位于中国境 内、香港，国内业务以人民币结算、香港业务以港币结算，境外经营公司以美元、日元结算。故本公司已确认的外币资产和 负债及未来的外币交易（外币资产和负债及外币交易的计价货币主要为美元、日元、港币）存在外汇风险。相关外币资产及外 币负债包括：以外币计价的货币资金、应收账款、其他应收款、长期应收款、应付账款、其他应付款、短期借款、一年内到 期的非流动负债等。</w:t>
      </w:r>
    </w:p>
    <w:p>
      <w:pPr>
        <w:pStyle w:val="Style2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本公司密切关注汇率变动对本公司汇率风险的影响。本公司尽可能将外币收入与外币支出相匹配以降低外汇风险。本 </w:t>
      </w:r>
      <w:r>
        <w:rPr>
          <w:color w:val="000000"/>
          <w:spacing w:val="0"/>
          <w:w w:val="100"/>
          <w:position w:val="0"/>
        </w:rPr>
        <w:t>期末，本公司面临的外汇风险主要来源于以美元、日元、港币计价的金融资产和金融负债。</w:t>
      </w:r>
    </w:p>
    <w:p>
      <w:pPr>
        <w:pStyle w:val="Style22"/>
        <w:keepNext w:val="0"/>
        <w:keepLines w:val="0"/>
        <w:widowControl w:val="0"/>
        <w:numPr>
          <w:ilvl w:val="0"/>
          <w:numId w:val="103"/>
        </w:numPr>
        <w:shd w:val="clear" w:color="auto" w:fill="auto"/>
        <w:tabs>
          <w:tab w:pos="770" w:val="left"/>
        </w:tabs>
        <w:bidi w:val="0"/>
        <w:spacing w:before="0" w:after="0" w:line="313" w:lineRule="exact"/>
        <w:ind w:left="0" w:right="0" w:firstLine="440"/>
        <w:jc w:val="both"/>
      </w:pPr>
      <w:bookmarkStart w:id="1687" w:name="bookmark1687"/>
      <w:bookmarkEnd w:id="1687"/>
      <w:r>
        <w:rPr>
          <w:color w:val="000000"/>
          <w:spacing w:val="0"/>
          <w:w w:val="100"/>
          <w:position w:val="0"/>
        </w:rPr>
        <w:t>利率风险</w:t>
      </w:r>
    </w:p>
    <w:p>
      <w:pPr>
        <w:pStyle w:val="Style2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利率风险，是指金融工具的公允价值或未来现金流量因市场利率变动而发生波动的风险。本公司面临的市场利率变动 的风险主要与本公司以浮动利率计息的借款有关。本公司的利率风险主要产生于长期银行借款等长期带息债务。浮动利率的 金融负债使本公司面临现金流量利率风险，固定利率的金融负债使本公司面临公允价值利率风险。本公司根据当时的市场环 境来决定固定利率及浮动利率合同的相对比例，并通过定期审阅与监察维持适当的固定和浮动利率工具组合。</w:t>
      </w:r>
    </w:p>
    <w:p>
      <w:pPr>
        <w:pStyle w:val="Style22"/>
        <w:keepNext w:val="0"/>
        <w:keepLines w:val="0"/>
        <w:widowControl w:val="0"/>
        <w:numPr>
          <w:ilvl w:val="0"/>
          <w:numId w:val="103"/>
        </w:numPr>
        <w:shd w:val="clear" w:color="auto" w:fill="auto"/>
        <w:tabs>
          <w:tab w:pos="770" w:val="left"/>
        </w:tabs>
        <w:bidi w:val="0"/>
        <w:spacing w:before="0" w:after="0" w:line="313" w:lineRule="exact"/>
        <w:ind w:left="0" w:right="0" w:firstLine="440"/>
        <w:jc w:val="both"/>
      </w:pPr>
      <w:bookmarkStart w:id="1688" w:name="bookmark1688"/>
      <w:bookmarkEnd w:id="1688"/>
      <w:r>
        <w:rPr>
          <w:color w:val="000000"/>
          <w:spacing w:val="0"/>
          <w:w w:val="100"/>
          <w:position w:val="0"/>
        </w:rPr>
        <w:t>其他价格风险</w:t>
      </w:r>
    </w:p>
    <w:p>
      <w:pPr>
        <w:pStyle w:val="Style22"/>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本公司管理层认为与金融资产、金融负债相关的价格风险对本公司无重大影响。</w:t>
      </w:r>
    </w:p>
    <w:p>
      <w:pPr>
        <w:pStyle w:val="Style22"/>
        <w:keepNext w:val="0"/>
        <w:keepLines w:val="0"/>
        <w:widowControl w:val="0"/>
        <w:numPr>
          <w:ilvl w:val="0"/>
          <w:numId w:val="105"/>
        </w:numPr>
        <w:shd w:val="clear" w:color="auto" w:fill="auto"/>
        <w:bidi w:val="0"/>
        <w:spacing w:before="0" w:after="0" w:line="313" w:lineRule="exact"/>
        <w:ind w:left="0" w:right="0" w:firstLine="440"/>
        <w:jc w:val="left"/>
      </w:pPr>
      <w:bookmarkStart w:id="1689" w:name="bookmark1689"/>
      <w:bookmarkEnd w:id="1689"/>
      <w:r>
        <w:rPr>
          <w:b/>
          <w:bCs/>
          <w:color w:val="000000"/>
          <w:spacing w:val="0"/>
          <w:w w:val="100"/>
          <w:position w:val="0"/>
        </w:rPr>
        <w:t>信用风险</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信用风险，是指交易对手方未能履行合同义务而导致本公司产生财务损失的风险。本公司信用风险主要产生于银行存 款和应收款项等。</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本公司银行存款主要存放于国有银行和其它大中型上市银行，本公司预期银行存款不存在重大的信用风险。</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对于应收款项，本公司按照客户管理信用风险集中度，设定相关政策以控制信用风险敞口。本公司基于对债务人的财 务状况、外部评级、从第三方获取担保的可能性、信用记录及其它因素诸如目前市场状况等评估债务人的信用资质并设置相 应欠款额度与信用期限。本公司会定期对债务人信用记录进行监控，对于信用记录不良的债务人，本公司会采用书面催款、 缩短信用期或取消信用期等方式，以确保本公司的整体信用风险在可控的范围内。</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本公司没有提供任何其他可能令本公司承受信用风险的担保。本公司所承担的最大信用风险敞口为资产负债表中各项 金融资产的账面价值。</w:t>
      </w:r>
    </w:p>
    <w:p>
      <w:pPr>
        <w:pStyle w:val="Style22"/>
        <w:keepNext w:val="0"/>
        <w:keepLines w:val="0"/>
        <w:widowControl w:val="0"/>
        <w:numPr>
          <w:ilvl w:val="0"/>
          <w:numId w:val="107"/>
        </w:numPr>
        <w:shd w:val="clear" w:color="auto" w:fill="auto"/>
        <w:tabs>
          <w:tab w:pos="760" w:val="left"/>
        </w:tabs>
        <w:bidi w:val="0"/>
        <w:spacing w:before="0" w:after="0" w:line="313" w:lineRule="exact"/>
        <w:ind w:left="0" w:right="0" w:firstLine="440"/>
        <w:jc w:val="left"/>
      </w:pPr>
      <w:bookmarkStart w:id="1690" w:name="bookmark1690"/>
      <w:bookmarkEnd w:id="1690"/>
      <w:r>
        <w:rPr>
          <w:color w:val="000000"/>
          <w:spacing w:val="0"/>
          <w:w w:val="100"/>
          <w:position w:val="0"/>
        </w:rPr>
        <w:t>信用风险显著增加的判断依据</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本公司在每个资产负债表日评估相关金融工具的信用风险自初始确认后是否已显著增加。在确定信用风险自初始确认 后是否显著增加时，本公司考虑在无须付出不必要的额外成本或努力即可获得合理且有依据的信息，包括基于本公司历史数 据的定性和定量分析、外部信用风险评级以及前瞻性信息。当满足以下一个或多个定量、定性标准时，本公司认为信用风险 已显著增加：</w:t>
      </w:r>
    </w:p>
    <w:p>
      <w:pPr>
        <w:pStyle w:val="Style22"/>
        <w:keepNext w:val="0"/>
        <w:keepLines w:val="0"/>
        <w:widowControl w:val="0"/>
        <w:numPr>
          <w:ilvl w:val="0"/>
          <w:numId w:val="109"/>
        </w:numPr>
        <w:shd w:val="clear" w:color="auto" w:fill="auto"/>
        <w:tabs>
          <w:tab w:pos="837" w:val="left"/>
        </w:tabs>
        <w:bidi w:val="0"/>
        <w:spacing w:before="0" w:after="0" w:line="313" w:lineRule="exact"/>
        <w:ind w:left="0" w:right="0" w:firstLine="440"/>
        <w:jc w:val="left"/>
      </w:pPr>
      <w:bookmarkStart w:id="1691" w:name="bookmark1691"/>
      <w:bookmarkEnd w:id="1691"/>
      <w:r>
        <w:rPr>
          <w:color w:val="000000"/>
          <w:spacing w:val="0"/>
          <w:w w:val="100"/>
          <w:position w:val="0"/>
        </w:rPr>
        <w:t>合同付款已逾期超过</w:t>
      </w:r>
      <w:r>
        <w:rPr>
          <w:color w:val="000000"/>
          <w:spacing w:val="0"/>
          <w:w w:val="100"/>
          <w:position w:val="0"/>
          <w:sz w:val="18"/>
          <w:szCs w:val="18"/>
        </w:rPr>
        <w:t>30</w:t>
      </w:r>
      <w:r>
        <w:rPr>
          <w:color w:val="000000"/>
          <w:spacing w:val="0"/>
          <w:w w:val="100"/>
          <w:position w:val="0"/>
        </w:rPr>
        <w:t>天。</w:t>
      </w:r>
    </w:p>
    <w:p>
      <w:pPr>
        <w:pStyle w:val="Style22"/>
        <w:keepNext w:val="0"/>
        <w:keepLines w:val="0"/>
        <w:widowControl w:val="0"/>
        <w:numPr>
          <w:ilvl w:val="0"/>
          <w:numId w:val="109"/>
        </w:numPr>
        <w:shd w:val="clear" w:color="auto" w:fill="auto"/>
        <w:tabs>
          <w:tab w:pos="837" w:val="left"/>
        </w:tabs>
        <w:bidi w:val="0"/>
        <w:spacing w:before="0" w:after="0" w:line="313" w:lineRule="exact"/>
        <w:ind w:left="0" w:right="0" w:firstLine="440"/>
        <w:jc w:val="left"/>
      </w:pPr>
      <w:bookmarkStart w:id="1692" w:name="bookmark1692"/>
      <w:bookmarkEnd w:id="1692"/>
      <w:r>
        <w:rPr>
          <w:color w:val="000000"/>
          <w:spacing w:val="0"/>
          <w:w w:val="100"/>
          <w:position w:val="0"/>
        </w:rPr>
        <w:t>根据外部公开信用评级结果，债务人信用评级等级大幅下降。</w:t>
      </w:r>
    </w:p>
    <w:p>
      <w:pPr>
        <w:pStyle w:val="Style22"/>
        <w:keepNext w:val="0"/>
        <w:keepLines w:val="0"/>
        <w:widowControl w:val="0"/>
        <w:numPr>
          <w:ilvl w:val="0"/>
          <w:numId w:val="109"/>
        </w:numPr>
        <w:shd w:val="clear" w:color="auto" w:fill="auto"/>
        <w:tabs>
          <w:tab w:pos="837" w:val="left"/>
        </w:tabs>
        <w:bidi w:val="0"/>
        <w:spacing w:before="0" w:after="0" w:line="313" w:lineRule="exact"/>
        <w:ind w:left="0" w:right="0" w:firstLine="440"/>
        <w:jc w:val="left"/>
      </w:pPr>
      <w:bookmarkStart w:id="1693" w:name="bookmark1693"/>
      <w:bookmarkEnd w:id="1693"/>
      <w:r>
        <w:rPr>
          <w:color w:val="000000"/>
          <w:spacing w:val="0"/>
          <w:w w:val="100"/>
          <w:position w:val="0"/>
        </w:rPr>
        <w:t>债务人生产或经营环节出现严重问题，经营成果实际或预期发生显著下降。</w:t>
      </w:r>
    </w:p>
    <w:p>
      <w:pPr>
        <w:pStyle w:val="Style22"/>
        <w:keepNext w:val="0"/>
        <w:keepLines w:val="0"/>
        <w:widowControl w:val="0"/>
        <w:numPr>
          <w:ilvl w:val="0"/>
          <w:numId w:val="109"/>
        </w:numPr>
        <w:shd w:val="clear" w:color="auto" w:fill="auto"/>
        <w:tabs>
          <w:tab w:pos="837" w:val="left"/>
        </w:tabs>
        <w:bidi w:val="0"/>
        <w:spacing w:before="0" w:after="0" w:line="313" w:lineRule="exact"/>
        <w:ind w:left="0" w:right="0" w:firstLine="440"/>
        <w:jc w:val="left"/>
      </w:pPr>
      <w:bookmarkStart w:id="1694" w:name="bookmark1694"/>
      <w:bookmarkEnd w:id="1694"/>
      <w:r>
        <w:rPr>
          <w:color w:val="000000"/>
          <w:spacing w:val="0"/>
          <w:w w:val="100"/>
          <w:position w:val="0"/>
        </w:rPr>
        <w:t>债务人所处的监管、经济或技术环境发生显著不利变化。</w:t>
      </w:r>
    </w:p>
    <w:p>
      <w:pPr>
        <w:pStyle w:val="Style22"/>
        <w:keepNext w:val="0"/>
        <w:keepLines w:val="0"/>
        <w:widowControl w:val="0"/>
        <w:numPr>
          <w:ilvl w:val="0"/>
          <w:numId w:val="109"/>
        </w:numPr>
        <w:shd w:val="clear" w:color="auto" w:fill="auto"/>
        <w:tabs>
          <w:tab w:pos="837" w:val="left"/>
        </w:tabs>
        <w:bidi w:val="0"/>
        <w:spacing w:before="0" w:after="0" w:line="313" w:lineRule="exact"/>
        <w:ind w:left="0" w:right="0" w:firstLine="440"/>
        <w:jc w:val="left"/>
      </w:pPr>
      <w:bookmarkStart w:id="1695" w:name="bookmark1695"/>
      <w:bookmarkEnd w:id="1695"/>
      <w:r>
        <w:rPr>
          <w:color w:val="000000"/>
          <w:spacing w:val="0"/>
          <w:w w:val="100"/>
          <w:position w:val="0"/>
        </w:rPr>
        <w:t>预期将导致债务人履行其偿债义务能力的业务、财务或经济状况发生显著不利变化。</w:t>
      </w:r>
    </w:p>
    <w:p>
      <w:pPr>
        <w:pStyle w:val="Style22"/>
        <w:keepNext w:val="0"/>
        <w:keepLines w:val="0"/>
        <w:widowControl w:val="0"/>
        <w:numPr>
          <w:ilvl w:val="0"/>
          <w:numId w:val="109"/>
        </w:numPr>
        <w:shd w:val="clear" w:color="auto" w:fill="auto"/>
        <w:tabs>
          <w:tab w:pos="837" w:val="left"/>
        </w:tabs>
        <w:bidi w:val="0"/>
        <w:spacing w:before="0" w:after="0" w:line="313" w:lineRule="exact"/>
        <w:ind w:left="0" w:right="0" w:firstLine="440"/>
        <w:jc w:val="left"/>
      </w:pPr>
      <w:bookmarkStart w:id="1696" w:name="bookmark1696"/>
      <w:bookmarkEnd w:id="1696"/>
      <w:r>
        <w:rPr>
          <w:color w:val="000000"/>
          <w:spacing w:val="0"/>
          <w:w w:val="100"/>
          <w:position w:val="0"/>
        </w:rPr>
        <w:t>其他表明金融资产发生信用风险显著增加的客观证据。</w:t>
      </w:r>
    </w:p>
    <w:p>
      <w:pPr>
        <w:pStyle w:val="Style22"/>
        <w:keepNext w:val="0"/>
        <w:keepLines w:val="0"/>
        <w:widowControl w:val="0"/>
        <w:numPr>
          <w:ilvl w:val="0"/>
          <w:numId w:val="107"/>
        </w:numPr>
        <w:shd w:val="clear" w:color="auto" w:fill="auto"/>
        <w:tabs>
          <w:tab w:pos="770" w:val="left"/>
        </w:tabs>
        <w:bidi w:val="0"/>
        <w:spacing w:before="0" w:after="0" w:line="313" w:lineRule="exact"/>
        <w:ind w:left="0" w:right="0" w:firstLine="440"/>
        <w:jc w:val="left"/>
      </w:pPr>
      <w:bookmarkStart w:id="1697" w:name="bookmark1697"/>
      <w:bookmarkEnd w:id="1697"/>
      <w:r>
        <w:rPr>
          <w:color w:val="000000"/>
          <w:spacing w:val="0"/>
          <w:w w:val="100"/>
          <w:position w:val="0"/>
        </w:rPr>
        <w:t>已发生信用减值的依据</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本公司评估债务人是否发生信用减值时，主要考虑以下因素：</w:t>
      </w:r>
    </w:p>
    <w:p>
      <w:pPr>
        <w:pStyle w:val="Style22"/>
        <w:keepNext w:val="0"/>
        <w:keepLines w:val="0"/>
        <w:widowControl w:val="0"/>
        <w:numPr>
          <w:ilvl w:val="0"/>
          <w:numId w:val="111"/>
        </w:numPr>
        <w:shd w:val="clear" w:color="auto" w:fill="auto"/>
        <w:tabs>
          <w:tab w:pos="837" w:val="left"/>
        </w:tabs>
        <w:bidi w:val="0"/>
        <w:spacing w:before="0" w:after="0" w:line="313" w:lineRule="exact"/>
        <w:ind w:left="0" w:right="0" w:firstLine="440"/>
        <w:jc w:val="left"/>
      </w:pPr>
      <w:bookmarkStart w:id="1698" w:name="bookmark1698"/>
      <w:bookmarkEnd w:id="1698"/>
      <w:r>
        <w:rPr>
          <w:color w:val="000000"/>
          <w:spacing w:val="0"/>
          <w:w w:val="100"/>
          <w:position w:val="0"/>
        </w:rPr>
        <w:t>发行方或债务人发生重大财务困难。</w:t>
      </w:r>
    </w:p>
    <w:p>
      <w:pPr>
        <w:pStyle w:val="Style22"/>
        <w:keepNext w:val="0"/>
        <w:keepLines w:val="0"/>
        <w:widowControl w:val="0"/>
        <w:numPr>
          <w:ilvl w:val="0"/>
          <w:numId w:val="111"/>
        </w:numPr>
        <w:shd w:val="clear" w:color="auto" w:fill="auto"/>
        <w:tabs>
          <w:tab w:pos="837" w:val="left"/>
        </w:tabs>
        <w:bidi w:val="0"/>
        <w:spacing w:before="0" w:after="0" w:line="313" w:lineRule="exact"/>
        <w:ind w:left="0" w:right="0" w:firstLine="440"/>
        <w:jc w:val="left"/>
      </w:pPr>
      <w:bookmarkStart w:id="1699" w:name="bookmark1699"/>
      <w:bookmarkEnd w:id="1699"/>
      <w:r>
        <w:rPr>
          <w:color w:val="000000"/>
          <w:spacing w:val="0"/>
          <w:w w:val="100"/>
          <w:position w:val="0"/>
        </w:rPr>
        <w:t>债务人违反合同，如偿付利息或本金违约或逾期等。</w:t>
      </w:r>
    </w:p>
    <w:p>
      <w:pPr>
        <w:pStyle w:val="Style22"/>
        <w:keepNext w:val="0"/>
        <w:keepLines w:val="0"/>
        <w:widowControl w:val="0"/>
        <w:numPr>
          <w:ilvl w:val="0"/>
          <w:numId w:val="111"/>
        </w:numPr>
        <w:shd w:val="clear" w:color="auto" w:fill="auto"/>
        <w:tabs>
          <w:tab w:pos="837" w:val="left"/>
        </w:tabs>
        <w:bidi w:val="0"/>
        <w:spacing w:before="0" w:after="0" w:line="313" w:lineRule="exact"/>
        <w:ind w:left="0" w:right="0" w:firstLine="440"/>
        <w:jc w:val="left"/>
      </w:pPr>
      <w:bookmarkStart w:id="1700" w:name="bookmark1700"/>
      <w:bookmarkEnd w:id="1700"/>
      <w:r>
        <w:rPr>
          <w:color w:val="000000"/>
          <w:spacing w:val="0"/>
          <w:w w:val="100"/>
          <w:position w:val="0"/>
        </w:rPr>
        <w:t>债权人出于与债务人财务困难有关的经济或合同考虑，给予债务人在任何其他情况下都不会做出的让步。</w:t>
      </w:r>
    </w:p>
    <w:p>
      <w:pPr>
        <w:pStyle w:val="Style22"/>
        <w:keepNext w:val="0"/>
        <w:keepLines w:val="0"/>
        <w:widowControl w:val="0"/>
        <w:numPr>
          <w:ilvl w:val="0"/>
          <w:numId w:val="111"/>
        </w:numPr>
        <w:shd w:val="clear" w:color="auto" w:fill="auto"/>
        <w:tabs>
          <w:tab w:pos="837" w:val="left"/>
        </w:tabs>
        <w:bidi w:val="0"/>
        <w:spacing w:before="0" w:after="0" w:line="313" w:lineRule="exact"/>
        <w:ind w:left="0" w:right="0" w:firstLine="440"/>
        <w:jc w:val="left"/>
      </w:pPr>
      <w:bookmarkStart w:id="1701" w:name="bookmark1701"/>
      <w:bookmarkEnd w:id="1701"/>
      <w:r>
        <w:rPr>
          <w:color w:val="000000"/>
          <w:spacing w:val="0"/>
          <w:w w:val="100"/>
          <w:position w:val="0"/>
        </w:rPr>
        <w:t>债务人很可能破产或进行其他财务重组。</w:t>
      </w:r>
    </w:p>
    <w:p>
      <w:pPr>
        <w:pStyle w:val="Style22"/>
        <w:keepNext w:val="0"/>
        <w:keepLines w:val="0"/>
        <w:widowControl w:val="0"/>
        <w:numPr>
          <w:ilvl w:val="0"/>
          <w:numId w:val="111"/>
        </w:numPr>
        <w:shd w:val="clear" w:color="auto" w:fill="auto"/>
        <w:tabs>
          <w:tab w:pos="837" w:val="left"/>
        </w:tabs>
        <w:bidi w:val="0"/>
        <w:spacing w:before="0" w:after="0" w:line="313" w:lineRule="exact"/>
        <w:ind w:left="0" w:right="0" w:firstLine="440"/>
        <w:jc w:val="left"/>
      </w:pPr>
      <w:bookmarkStart w:id="1702" w:name="bookmark1702"/>
      <w:bookmarkEnd w:id="1702"/>
      <w:r>
        <w:rPr>
          <w:color w:val="000000"/>
          <w:spacing w:val="0"/>
          <w:w w:val="100"/>
          <w:position w:val="0"/>
        </w:rPr>
        <w:t>发行方或债务人财务困难导致该金融资产的活跃市场消失。</w:t>
      </w:r>
    </w:p>
    <w:p>
      <w:pPr>
        <w:pStyle w:val="Style22"/>
        <w:keepNext w:val="0"/>
        <w:keepLines w:val="0"/>
        <w:widowControl w:val="0"/>
        <w:numPr>
          <w:ilvl w:val="0"/>
          <w:numId w:val="111"/>
        </w:numPr>
        <w:shd w:val="clear" w:color="auto" w:fill="auto"/>
        <w:tabs>
          <w:tab w:pos="837" w:val="left"/>
        </w:tabs>
        <w:bidi w:val="0"/>
        <w:spacing w:before="0" w:after="0" w:line="313" w:lineRule="exact"/>
        <w:ind w:left="0" w:right="0" w:firstLine="440"/>
        <w:jc w:val="left"/>
      </w:pPr>
      <w:bookmarkStart w:id="1703" w:name="bookmark1703"/>
      <w:bookmarkEnd w:id="1703"/>
      <w:r>
        <w:rPr>
          <w:color w:val="000000"/>
          <w:spacing w:val="0"/>
          <w:w w:val="100"/>
          <w:position w:val="0"/>
        </w:rPr>
        <w:t>以大幅折扣购买或源生一项金融资产，该折扣反映了发生信用损失的事实。</w:t>
      </w:r>
    </w:p>
    <w:p>
      <w:pPr>
        <w:pStyle w:val="Style22"/>
        <w:keepNext w:val="0"/>
        <w:keepLines w:val="0"/>
        <w:widowControl w:val="0"/>
        <w:numPr>
          <w:ilvl w:val="0"/>
          <w:numId w:val="107"/>
        </w:numPr>
        <w:shd w:val="clear" w:color="auto" w:fill="auto"/>
        <w:tabs>
          <w:tab w:pos="770" w:val="left"/>
        </w:tabs>
        <w:bidi w:val="0"/>
        <w:spacing w:before="0" w:after="0" w:line="313" w:lineRule="exact"/>
        <w:ind w:left="0" w:right="0" w:firstLine="440"/>
        <w:jc w:val="left"/>
      </w:pPr>
      <w:bookmarkStart w:id="1704" w:name="bookmark1704"/>
      <w:bookmarkEnd w:id="1704"/>
      <w:r>
        <w:rPr>
          <w:color w:val="000000"/>
          <w:spacing w:val="0"/>
          <w:w w:val="100"/>
          <w:position w:val="0"/>
        </w:rPr>
        <w:t>预期信用损失计量的参数</w:t>
      </w:r>
    </w:p>
    <w:p>
      <w:pPr>
        <w:pStyle w:val="Style2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根据信用风险是否发生显著增加以及是否已发生信用减值，本公司对不同的资产分别以</w:t>
      </w:r>
      <w:r>
        <w:rPr>
          <w:color w:val="000000"/>
          <w:spacing w:val="0"/>
          <w:w w:val="100"/>
          <w:position w:val="0"/>
          <w:sz w:val="18"/>
          <w:szCs w:val="18"/>
        </w:rPr>
        <w:t>12</w:t>
      </w:r>
      <w:r>
        <w:rPr>
          <w:color w:val="000000"/>
          <w:spacing w:val="0"/>
          <w:w w:val="100"/>
          <w:position w:val="0"/>
        </w:rPr>
        <w:t>个月或整个存续期的预期 信用损失计量损失准备。预期信用损失计量的关键参数包括违约概率、违约损失率和违约风险敞口。本公司考虑历史统计数 据的定量分析及前瞻性信息，建立违约概率、违约损失率及违约风险敞口模型。相关定义如下：</w:t>
      </w:r>
    </w:p>
    <w:p>
      <w:pPr>
        <w:pStyle w:val="Style22"/>
        <w:keepNext w:val="0"/>
        <w:keepLines w:val="0"/>
        <w:widowControl w:val="0"/>
        <w:numPr>
          <w:ilvl w:val="0"/>
          <w:numId w:val="113"/>
        </w:numPr>
        <w:shd w:val="clear" w:color="auto" w:fill="auto"/>
        <w:tabs>
          <w:tab w:pos="837" w:val="left"/>
        </w:tabs>
        <w:bidi w:val="0"/>
        <w:spacing w:before="0" w:after="0" w:line="313" w:lineRule="exact"/>
        <w:ind w:left="0" w:right="0" w:firstLine="440"/>
        <w:jc w:val="left"/>
      </w:pPr>
      <w:bookmarkStart w:id="1705" w:name="bookmark1705"/>
      <w:bookmarkEnd w:id="1705"/>
      <w:r>
        <w:rPr>
          <w:color w:val="000000"/>
          <w:spacing w:val="0"/>
          <w:w w:val="100"/>
          <w:position w:val="0"/>
        </w:rPr>
        <w:t>违约概率是指债务人在未来</w:t>
      </w:r>
      <w:r>
        <w:rPr>
          <w:color w:val="000000"/>
          <w:spacing w:val="0"/>
          <w:w w:val="100"/>
          <w:position w:val="0"/>
          <w:sz w:val="18"/>
          <w:szCs w:val="18"/>
        </w:rPr>
        <w:t>12</w:t>
      </w:r>
      <w:r>
        <w:rPr>
          <w:color w:val="000000"/>
          <w:spacing w:val="0"/>
          <w:w w:val="100"/>
          <w:position w:val="0"/>
        </w:rPr>
        <w:t>个月或在整个剩余存续期，无法履行其偿付义务的可能性。</w:t>
      </w:r>
    </w:p>
    <w:p>
      <w:pPr>
        <w:pStyle w:val="Style22"/>
        <w:keepNext w:val="0"/>
        <w:keepLines w:val="0"/>
        <w:widowControl w:val="0"/>
        <w:numPr>
          <w:ilvl w:val="0"/>
          <w:numId w:val="113"/>
        </w:numPr>
        <w:shd w:val="clear" w:color="auto" w:fill="auto"/>
        <w:tabs>
          <w:tab w:pos="837" w:val="left"/>
        </w:tabs>
        <w:bidi w:val="0"/>
        <w:spacing w:before="0" w:after="0" w:line="313" w:lineRule="exact"/>
        <w:ind w:left="0" w:right="0" w:firstLine="440"/>
        <w:jc w:val="left"/>
      </w:pPr>
      <w:bookmarkStart w:id="1706" w:name="bookmark1706"/>
      <w:bookmarkEnd w:id="1706"/>
      <w:r>
        <w:rPr>
          <w:color w:val="000000"/>
          <w:spacing w:val="0"/>
          <w:w w:val="100"/>
          <w:position w:val="0"/>
        </w:rPr>
        <w:t>违约风险敞口是指，在未来</w:t>
      </w:r>
      <w:r>
        <w:rPr>
          <w:color w:val="000000"/>
          <w:spacing w:val="0"/>
          <w:w w:val="100"/>
          <w:position w:val="0"/>
          <w:sz w:val="18"/>
          <w:szCs w:val="18"/>
        </w:rPr>
        <w:t>12</w:t>
      </w:r>
      <w:r>
        <w:rPr>
          <w:color w:val="000000"/>
          <w:spacing w:val="0"/>
          <w:w w:val="100"/>
          <w:position w:val="0"/>
        </w:rPr>
        <w:t>个月或在整个剩余存续期中，在违约发生时，本公司应被偿付的金额。</w:t>
      </w:r>
    </w:p>
    <w:p>
      <w:pPr>
        <w:pStyle w:val="Style22"/>
        <w:keepNext w:val="0"/>
        <w:keepLines w:val="0"/>
        <w:widowControl w:val="0"/>
        <w:numPr>
          <w:ilvl w:val="0"/>
          <w:numId w:val="113"/>
        </w:numPr>
        <w:shd w:val="clear" w:color="auto" w:fill="auto"/>
        <w:tabs>
          <w:tab w:pos="397" w:val="left"/>
        </w:tabs>
        <w:bidi w:val="0"/>
        <w:spacing w:before="0" w:after="0" w:line="313" w:lineRule="exact"/>
        <w:ind w:left="0" w:right="0" w:firstLine="440"/>
        <w:jc w:val="left"/>
      </w:pPr>
      <w:bookmarkStart w:id="1707" w:name="bookmark1707"/>
      <w:bookmarkEnd w:id="1707"/>
      <w:r>
        <w:rPr>
          <w:color w:val="000000"/>
          <w:spacing w:val="0"/>
          <w:w w:val="100"/>
          <w:position w:val="0"/>
        </w:rPr>
        <w:t xml:space="preserve">违约损失率是指本公司对违约敞口发生损失程度作出的预期。根据交易对手的类型、追索的方式和优先级，以及担 </w:t>
      </w:r>
      <w:r>
        <w:rPr>
          <w:color w:val="000000"/>
          <w:spacing w:val="0"/>
          <w:w w:val="100"/>
          <w:position w:val="0"/>
        </w:rPr>
        <w:t>保物或其他信用支持的可获得性不同，违约损失率也有所不同。</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本公司通过预计未来各月份中单个敞口或资产组合的违约概率、违约损失率和违约风险敞口，来确定预期信用损失。 本报告期内，预期信用损失估计技术或关键假设未发生重大变化。</w:t>
      </w:r>
    </w:p>
    <w:p>
      <w:pPr>
        <w:pStyle w:val="Style22"/>
        <w:keepNext w:val="0"/>
        <w:keepLines w:val="0"/>
        <w:widowControl w:val="0"/>
        <w:numPr>
          <w:ilvl w:val="0"/>
          <w:numId w:val="107"/>
        </w:numPr>
        <w:shd w:val="clear" w:color="auto" w:fill="auto"/>
        <w:bidi w:val="0"/>
        <w:spacing w:before="0" w:after="0" w:line="311" w:lineRule="exact"/>
        <w:ind w:left="0" w:right="0" w:firstLine="440"/>
        <w:jc w:val="both"/>
      </w:pPr>
      <w:bookmarkStart w:id="1708" w:name="bookmark1708"/>
      <w:bookmarkEnd w:id="1708"/>
      <w:r>
        <w:rPr>
          <w:color w:val="000000"/>
          <w:spacing w:val="0"/>
          <w:w w:val="100"/>
          <w:position w:val="0"/>
        </w:rPr>
        <w:t>预期信用损失模型中包括的前瞻性信息</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信用风险显著增加的评估及预期信用损失的计算均涉及前瞻性信息。本公司通过历史数据分析，识别出影响各资产组 合的信用风险及预期信用损失的相关信息，如</w:t>
      </w:r>
      <w:r>
        <w:rPr>
          <w:color w:val="000000"/>
          <w:spacing w:val="0"/>
          <w:w w:val="100"/>
          <w:position w:val="0"/>
          <w:sz w:val="18"/>
          <w:szCs w:val="18"/>
        </w:rPr>
        <w:t>GDP</w:t>
      </w:r>
      <w:r>
        <w:rPr>
          <w:color w:val="000000"/>
          <w:spacing w:val="0"/>
          <w:w w:val="100"/>
          <w:position w:val="0"/>
        </w:rPr>
        <w:t>增速等宏观经济状况，所处行业周期阶段等行业发展状况等。本公司在考 虑公司未来销售策略或信用政策的变化的基础上来预测这些信息对违约概率和违约损失率的影响。</w:t>
      </w:r>
    </w:p>
    <w:p>
      <w:pPr>
        <w:pStyle w:val="Style22"/>
        <w:keepNext w:val="0"/>
        <w:keepLines w:val="0"/>
        <w:widowControl w:val="0"/>
        <w:shd w:val="clear" w:color="auto" w:fill="auto"/>
        <w:tabs>
          <w:tab w:pos="928" w:val="left"/>
        </w:tabs>
        <w:bidi w:val="0"/>
        <w:spacing w:before="0" w:after="0" w:line="311" w:lineRule="exact"/>
        <w:ind w:left="0" w:right="0" w:firstLine="440"/>
        <w:jc w:val="both"/>
      </w:pPr>
      <w:bookmarkStart w:id="1709" w:name="bookmark1709"/>
      <w:r>
        <w:rPr>
          <w:b/>
          <w:bCs/>
          <w:color w:val="000000"/>
          <w:spacing w:val="0"/>
          <w:w w:val="100"/>
          <w:position w:val="0"/>
        </w:rPr>
        <w:t>（</w:t>
      </w:r>
      <w:bookmarkEnd w:id="1709"/>
      <w:r>
        <w:rPr>
          <w:b/>
          <w:bCs/>
          <w:color w:val="000000"/>
          <w:spacing w:val="0"/>
          <w:w w:val="100"/>
          <w:position w:val="0"/>
        </w:rPr>
        <w:t>三）</w:t>
        <w:tab/>
        <w:t>流动风险</w:t>
      </w:r>
    </w:p>
    <w:p>
      <w:pPr>
        <w:pStyle w:val="Style2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流动风险，是指企业在履行以交付现金或其他金融资产的方式结算的义务时发生资金短缺的风险。流动性风险由本公 司的财务部门集中控制。财务部门通过监控现金余额、可随时变现的有价证券以及对未来</w:t>
      </w:r>
      <w:r>
        <w:rPr>
          <w:color w:val="000000"/>
          <w:spacing w:val="0"/>
          <w:w w:val="100"/>
          <w:position w:val="0"/>
          <w:sz w:val="18"/>
          <w:szCs w:val="18"/>
        </w:rPr>
        <w:t>12</w:t>
      </w:r>
      <w:r>
        <w:rPr>
          <w:color w:val="000000"/>
          <w:spacing w:val="0"/>
          <w:w w:val="100"/>
          <w:position w:val="0"/>
        </w:rPr>
        <w:t>个月现金流量的滚动预测，确保 公司在所有合理预测的情况下拥有充足的资金偿还债务，满足本公司经营需要，并降低现金流量波动的影响。</w:t>
      </w:r>
    </w:p>
    <w:p>
      <w:pPr>
        <w:pStyle w:val="Style22"/>
        <w:keepNext w:val="0"/>
        <w:keepLines w:val="0"/>
        <w:widowControl w:val="0"/>
        <w:shd w:val="clear" w:color="auto" w:fill="auto"/>
        <w:tabs>
          <w:tab w:pos="928" w:val="left"/>
        </w:tabs>
        <w:bidi w:val="0"/>
        <w:spacing w:before="0" w:after="0" w:line="311" w:lineRule="exact"/>
        <w:ind w:left="0" w:right="0" w:firstLine="440"/>
        <w:jc w:val="both"/>
      </w:pPr>
      <w:bookmarkStart w:id="1710" w:name="bookmark1710"/>
      <w:r>
        <w:rPr>
          <w:b/>
          <w:bCs/>
          <w:color w:val="000000"/>
          <w:spacing w:val="0"/>
          <w:w w:val="100"/>
          <w:position w:val="0"/>
        </w:rPr>
        <w:t>（</w:t>
      </w:r>
      <w:bookmarkEnd w:id="1710"/>
      <w:r>
        <w:rPr>
          <w:b/>
          <w:bCs/>
          <w:color w:val="000000"/>
          <w:spacing w:val="0"/>
          <w:w w:val="100"/>
          <w:position w:val="0"/>
        </w:rPr>
        <w:t>四）</w:t>
        <w:tab/>
        <w:t>资本管理</w:t>
      </w:r>
    </w:p>
    <w:p>
      <w:pPr>
        <w:pStyle w:val="Style22"/>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本公司资本管理政策的目标是为了保障本公司能够持续经营，从而为股东提供回报，并使其他利益相关者获益，同时 维持最佳的资本结构以降低资本成本。为了维持或调整资本结构，本公司可能会调整支付给股东的股利金额、向股东返还资 本、发行新股或出售资产以减低债务。本公司以资产负债率（即总负债除以总资产）为基础对资本结构进行监控。于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日，本公司的资产负债率为</w:t>
      </w:r>
      <w:r>
        <w:rPr>
          <w:color w:val="000000"/>
          <w:spacing w:val="0"/>
          <w:w w:val="100"/>
          <w:position w:val="0"/>
          <w:sz w:val="18"/>
          <w:szCs w:val="18"/>
        </w:rPr>
        <w:t>52.24%</w:t>
      </w:r>
      <w:r>
        <w:rPr>
          <w:color w:val="000000"/>
          <w:spacing w:val="0"/>
          <w:w w:val="100"/>
          <w:position w:val="0"/>
        </w:rPr>
        <w:t>。</w:t>
      </w:r>
    </w:p>
    <w:p>
      <w:pPr>
        <w:pStyle w:val="Style27"/>
        <w:keepNext/>
        <w:keepLines/>
        <w:widowControl w:val="0"/>
        <w:shd w:val="clear" w:color="auto" w:fill="auto"/>
        <w:bidi w:val="0"/>
        <w:spacing w:before="0" w:after="360" w:line="240" w:lineRule="auto"/>
        <w:ind w:left="0" w:right="0" w:firstLine="0"/>
        <w:jc w:val="left"/>
      </w:pPr>
      <w:bookmarkStart w:id="1711" w:name="bookmark1711"/>
      <w:bookmarkStart w:id="1712" w:name="bookmark1712"/>
      <w:bookmarkStart w:id="1713" w:name="bookmark1713"/>
      <w:r>
        <w:rPr>
          <w:color w:val="000000"/>
          <w:spacing w:val="0"/>
          <w:w w:val="100"/>
          <w:position w:val="0"/>
          <w:sz w:val="24"/>
          <w:szCs w:val="24"/>
        </w:rPr>
        <w:t>十^一、公允价值的披露</w:t>
      </w:r>
      <w:bookmarkEnd w:id="1711"/>
      <w:bookmarkEnd w:id="1712"/>
      <w:bookmarkEnd w:id="1713"/>
    </w:p>
    <w:p>
      <w:pPr>
        <w:pStyle w:val="Style33"/>
        <w:keepNext/>
        <w:keepLines/>
        <w:widowControl w:val="0"/>
        <w:shd w:val="clear" w:color="auto" w:fill="auto"/>
        <w:bidi w:val="0"/>
        <w:spacing w:before="0" w:after="360" w:line="240" w:lineRule="auto"/>
        <w:ind w:left="0" w:right="0" w:firstLine="0"/>
        <w:jc w:val="left"/>
      </w:pPr>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14"/>
      <w:bookmarkEnd w:id="1715"/>
      <w:bookmarkEnd w:id="17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2,548,195.25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2,548,195.25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169,362,821.25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169,362,821.25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171,911,016.50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171,911,016.50</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3"/>
        <w:keepNext/>
        <w:keepLines/>
        <w:widowControl w:val="0"/>
        <w:shd w:val="clear" w:color="auto" w:fill="auto"/>
        <w:tabs>
          <w:tab w:pos="378" w:val="left"/>
        </w:tabs>
        <w:bidi w:val="0"/>
        <w:spacing w:before="0" w:after="30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2</w:t>
      </w:r>
      <w:bookmarkEnd w:id="1719"/>
      <w:r>
        <w:rPr>
          <w:color w:val="000000"/>
          <w:spacing w:val="0"/>
          <w:w w:val="100"/>
          <w:position w:val="0"/>
        </w:rPr>
        <w:t>、</w:t>
        <w:tab/>
        <w:t>持续和非持续第一层次公允价值计量项目市价的确定依据</w:t>
      </w:r>
      <w:bookmarkEnd w:id="1717"/>
      <w:bookmarkEnd w:id="1718"/>
      <w:bookmarkEnd w:id="1720"/>
    </w:p>
    <w:p>
      <w:pPr>
        <w:pStyle w:val="Style2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对于存在活跃市场价格的交易性金融资产，其公允价值按资产负债表日收盘价格确定。</w:t>
      </w:r>
    </w:p>
    <w:p>
      <w:pPr>
        <w:pStyle w:val="Style33"/>
        <w:keepNext/>
        <w:keepLines/>
        <w:widowControl w:val="0"/>
        <w:shd w:val="clear" w:color="auto" w:fill="auto"/>
        <w:tabs>
          <w:tab w:pos="378" w:val="left"/>
        </w:tabs>
        <w:bidi w:val="0"/>
        <w:spacing w:before="0" w:after="30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3</w:t>
      </w:r>
      <w:bookmarkEnd w:id="1723"/>
      <w:r>
        <w:rPr>
          <w:color w:val="000000"/>
          <w:spacing w:val="0"/>
          <w:w w:val="100"/>
          <w:position w:val="0"/>
        </w:rPr>
        <w:t>、</w:t>
        <w:tab/>
        <w:t>持续和非持续第二层次公允价值计量项目，采用的估值技术和重要参数的定性及定量信息</w:t>
      </w:r>
      <w:bookmarkEnd w:id="1721"/>
      <w:bookmarkEnd w:id="1722"/>
      <w:bookmarkEnd w:id="1724"/>
    </w:p>
    <w:p>
      <w:pPr>
        <w:pStyle w:val="Style22"/>
        <w:keepNext w:val="0"/>
        <w:keepLines w:val="0"/>
        <w:widowControl w:val="0"/>
        <w:shd w:val="clear" w:color="auto" w:fill="auto"/>
        <w:bidi w:val="0"/>
        <w:spacing w:before="0" w:after="320" w:line="310" w:lineRule="exact"/>
        <w:ind w:left="0" w:right="0" w:firstLine="0"/>
        <w:jc w:val="left"/>
      </w:pPr>
      <w:r>
        <w:rPr>
          <w:color w:val="000000"/>
          <w:spacing w:val="0"/>
          <w:w w:val="100"/>
          <w:position w:val="0"/>
        </w:rPr>
        <w:t>对于公司持有的银行理财产品、外汇远期合约、其他权益工具等，采用估值技术确定其公允价值。所使用的估值模型为现金 流量折现模型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同类型工具的市场报价或交易商报价。估值技术的输入值主要包括合同挂钩标的观察值、合同约定的预期收 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可比同类产品预期回报率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到期合约相应的所报远期汇率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年末交易对方提供的权益通知书中记录的权益价值等。</w:t>
      </w:r>
    </w:p>
    <w:p>
      <w:pPr>
        <w:pStyle w:val="Style61"/>
        <w:keepNext w:val="0"/>
        <w:keepLines w:val="0"/>
        <w:widowControl w:val="0"/>
        <w:shd w:val="clear" w:color="auto" w:fill="auto"/>
        <w:tabs>
          <w:tab w:pos="378" w:val="left"/>
        </w:tabs>
        <w:bidi w:val="0"/>
        <w:spacing w:before="0" w:after="260" w:line="240" w:lineRule="auto"/>
        <w:ind w:left="0" w:right="0" w:firstLine="0"/>
        <w:jc w:val="left"/>
      </w:pPr>
      <w:bookmarkStart w:id="1725" w:name="bookmark1725"/>
      <w:r>
        <w:rPr>
          <w:rFonts w:ascii="Times New Roman" w:eastAsia="Times New Roman" w:hAnsi="Times New Roman" w:cs="Times New Roman"/>
          <w:color w:val="000000"/>
          <w:spacing w:val="0"/>
          <w:w w:val="100"/>
          <w:position w:val="0"/>
        </w:rPr>
        <w:t>4</w:t>
      </w:r>
      <w:bookmarkEnd w:id="1725"/>
      <w:r>
        <w:rPr>
          <w:color w:val="000000"/>
          <w:spacing w:val="0"/>
          <w:w w:val="100"/>
          <w:position w:val="0"/>
        </w:rPr>
        <w:t>、</w:t>
        <w:tab/>
        <w:t>持续和非持续第三层次公允价值计量项目，采用的估值技术和重要参数的定性及定量信息</w:t>
      </w:r>
    </w:p>
    <w:p>
      <w:pPr>
        <w:pStyle w:val="Style2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对于不在活跃市场上交易的其他权益工具投资某些项目</w:t>
      </w:r>
      <w:r>
        <w:rPr>
          <w:color w:val="000000"/>
          <w:spacing w:val="0"/>
          <w:w w:val="100"/>
          <w:position w:val="0"/>
          <w:sz w:val="18"/>
          <w:szCs w:val="18"/>
        </w:rPr>
        <w:t>，</w:t>
      </w:r>
      <w:r>
        <w:rPr>
          <w:color w:val="000000"/>
          <w:spacing w:val="0"/>
          <w:w w:val="100"/>
          <w:position w:val="0"/>
        </w:rPr>
        <w:t>由于公司持有被投资单位股权较低，无重大影响，对被投资公司股 权采用收益法或者市场法进行估值不切实可行，且近期内被投资单位并无引入外部投资者、股东之间转让股权等可作为确定 公允价值的参考依据，此外，公司从可获取的相关信息分析，未发现被投资单位内外部环境自年初以来已发生重大变化，因 此属于可用账面成本作为公允价值最佳估计的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，因此年末以成本作为公允价值。</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726" w:name="bookmark1726"/>
      <w:r>
        <w:rPr>
          <w:rFonts w:ascii="Times New Roman" w:eastAsia="Times New Roman" w:hAnsi="Times New Roman" w:cs="Times New Roman"/>
          <w:color w:val="000000"/>
          <w:spacing w:val="0"/>
          <w:w w:val="100"/>
          <w:position w:val="0"/>
        </w:rPr>
        <w:t>5</w:t>
      </w:r>
      <w:bookmarkEnd w:id="1726"/>
      <w:r>
        <w:rPr>
          <w:color w:val="000000"/>
          <w:spacing w:val="0"/>
          <w:w w:val="100"/>
          <w:position w:val="0"/>
        </w:rPr>
        <w:t>、</w:t>
        <w:tab/>
        <w:t>持续的第三层次公允价值计量项目，期初与期末账面价值间的调节信息及不可观察参数敏感性分析</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727" w:name="bookmark1727"/>
      <w:r>
        <w:rPr>
          <w:rFonts w:ascii="Times New Roman" w:eastAsia="Times New Roman" w:hAnsi="Times New Roman" w:cs="Times New Roman"/>
          <w:color w:val="000000"/>
          <w:spacing w:val="0"/>
          <w:w w:val="100"/>
          <w:position w:val="0"/>
        </w:rPr>
        <w:t>6</w:t>
      </w:r>
      <w:bookmarkEnd w:id="1727"/>
      <w:r>
        <w:rPr>
          <w:color w:val="000000"/>
          <w:spacing w:val="0"/>
          <w:w w:val="100"/>
          <w:position w:val="0"/>
        </w:rPr>
        <w:t>、</w:t>
        <w:tab/>
        <w:t>持续的公允价值计量项目，本期内发生各层级之间转换的，转换的原因及确定转换时点的政策</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728" w:name="bookmark1728"/>
      <w:r>
        <w:rPr>
          <w:rFonts w:ascii="Times New Roman" w:eastAsia="Times New Roman" w:hAnsi="Times New Roman" w:cs="Times New Roman"/>
          <w:color w:val="000000"/>
          <w:spacing w:val="0"/>
          <w:w w:val="100"/>
          <w:position w:val="0"/>
        </w:rPr>
        <w:t>7</w:t>
      </w:r>
      <w:bookmarkEnd w:id="1728"/>
      <w:r>
        <w:rPr>
          <w:color w:val="000000"/>
          <w:spacing w:val="0"/>
          <w:w w:val="100"/>
          <w:position w:val="0"/>
        </w:rPr>
        <w:t>、</w:t>
        <w:tab/>
        <w:t>本期内发生的估值技术变更及变更原因</w:t>
      </w:r>
    </w:p>
    <w:p>
      <w:pPr>
        <w:pStyle w:val="Style61"/>
        <w:keepNext w:val="0"/>
        <w:keepLines w:val="0"/>
        <w:widowControl w:val="0"/>
        <w:shd w:val="clear" w:color="auto" w:fill="auto"/>
        <w:tabs>
          <w:tab w:pos="378" w:val="left"/>
        </w:tabs>
        <w:bidi w:val="0"/>
        <w:spacing w:before="0" w:after="260" w:line="240" w:lineRule="auto"/>
        <w:ind w:left="0" w:right="0" w:firstLine="0"/>
        <w:jc w:val="left"/>
      </w:pPr>
      <w:bookmarkStart w:id="1729" w:name="bookmark1729"/>
      <w:r>
        <w:rPr>
          <w:rFonts w:ascii="Times New Roman" w:eastAsia="Times New Roman" w:hAnsi="Times New Roman" w:cs="Times New Roman"/>
          <w:color w:val="000000"/>
          <w:spacing w:val="0"/>
          <w:w w:val="100"/>
          <w:position w:val="0"/>
        </w:rPr>
        <w:t>8</w:t>
      </w:r>
      <w:bookmarkEnd w:id="1729"/>
      <w:r>
        <w:rPr>
          <w:color w:val="000000"/>
          <w:spacing w:val="0"/>
          <w:w w:val="100"/>
          <w:position w:val="0"/>
        </w:rPr>
        <w:t>、</w:t>
        <w:tab/>
        <w:t>不以公允价值计量的金融资产和金融负债的公允价值情况</w:t>
      </w:r>
    </w:p>
    <w:p>
      <w:pPr>
        <w:pStyle w:val="Style2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本公司以摊余成本计量的金融资产和金融负债主要包括：货币资金、应收票据、应收账款、其他应收款、短期借款、应付票 据、应付账款、其他应付款、长期借款、长期应付款等。本公司不以公允价值计量的金融资产和金融负债的账面价值与公允 价值相差很小。</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730" w:name="bookmark1730"/>
      <w:r>
        <w:rPr>
          <w:rFonts w:ascii="Times New Roman" w:eastAsia="Times New Roman" w:hAnsi="Times New Roman" w:cs="Times New Roman"/>
          <w:color w:val="000000"/>
          <w:spacing w:val="0"/>
          <w:w w:val="100"/>
          <w:position w:val="0"/>
        </w:rPr>
        <w:t>9</w:t>
      </w:r>
      <w:bookmarkEnd w:id="1730"/>
      <w:r>
        <w:rPr>
          <w:color w:val="000000"/>
          <w:spacing w:val="0"/>
          <w:w w:val="100"/>
          <w:position w:val="0"/>
        </w:rPr>
        <w:t>、</w:t>
        <w:tab/>
        <w:t>其他</w:t>
      </w:r>
    </w:p>
    <w:p>
      <w:pPr>
        <w:pStyle w:val="Style27"/>
        <w:keepNext/>
        <w:keepLines/>
        <w:widowControl w:val="0"/>
        <w:shd w:val="clear" w:color="auto" w:fill="auto"/>
        <w:bidi w:val="0"/>
        <w:spacing w:before="0" w:after="360" w:line="240" w:lineRule="auto"/>
        <w:ind w:left="0" w:right="0" w:firstLine="0"/>
        <w:jc w:val="left"/>
      </w:pPr>
      <w:bookmarkStart w:id="1731" w:name="bookmark1731"/>
      <w:bookmarkStart w:id="1732" w:name="bookmark1732"/>
      <w:bookmarkStart w:id="1733" w:name="bookmark1733"/>
      <w:r>
        <w:rPr>
          <w:color w:val="000000"/>
          <w:spacing w:val="0"/>
          <w:w w:val="100"/>
          <w:position w:val="0"/>
          <w:sz w:val="24"/>
          <w:szCs w:val="24"/>
        </w:rPr>
        <w:t>十二、关联方及关联交易</w:t>
      </w:r>
      <w:bookmarkEnd w:id="1731"/>
      <w:bookmarkEnd w:id="1732"/>
      <w:bookmarkEnd w:id="1733"/>
    </w:p>
    <w:p>
      <w:pPr>
        <w:pStyle w:val="Style61"/>
        <w:keepNext w:val="0"/>
        <w:keepLines w:val="0"/>
        <w:widowControl w:val="0"/>
        <w:shd w:val="clear" w:color="auto" w:fill="auto"/>
        <w:tabs>
          <w:tab w:pos="368" w:val="left"/>
        </w:tabs>
        <w:bidi w:val="0"/>
        <w:spacing w:before="0" w:after="260" w:line="240" w:lineRule="auto"/>
        <w:ind w:left="0" w:right="0" w:firstLine="0"/>
        <w:jc w:val="left"/>
      </w:pPr>
      <w:bookmarkStart w:id="1734" w:name="bookmark1734"/>
      <w:r>
        <w:rPr>
          <w:rFonts w:ascii="Times New Roman" w:eastAsia="Times New Roman" w:hAnsi="Times New Roman" w:cs="Times New Roman"/>
          <w:color w:val="000000"/>
          <w:spacing w:val="0"/>
          <w:w w:val="100"/>
          <w:position w:val="0"/>
        </w:rPr>
        <w:t>1</w:t>
      </w:r>
      <w:bookmarkEnd w:id="1734"/>
      <w:r>
        <w:rPr>
          <w:color w:val="000000"/>
          <w:spacing w:val="0"/>
          <w:w w:val="100"/>
          <w:position w:val="0"/>
        </w:rPr>
        <w:t>、</w:t>
        <w:tab/>
        <w:t>本企业的母公司情况</w:t>
      </w:r>
    </w:p>
    <w:p>
      <w:pPr>
        <w:pStyle w:val="Style2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本企业最终控制方是刘天文。</w:t>
      </w:r>
    </w:p>
    <w:p>
      <w:pPr>
        <w:pStyle w:val="Style61"/>
        <w:keepNext w:val="0"/>
        <w:keepLines w:val="0"/>
        <w:widowControl w:val="0"/>
        <w:shd w:val="clear" w:color="auto" w:fill="auto"/>
        <w:tabs>
          <w:tab w:pos="378" w:val="left"/>
        </w:tabs>
        <w:bidi w:val="0"/>
        <w:spacing w:before="0" w:after="260" w:line="240" w:lineRule="auto"/>
        <w:ind w:left="0" w:right="0" w:firstLine="0"/>
        <w:jc w:val="both"/>
      </w:pPr>
      <w:bookmarkStart w:id="1735" w:name="bookmark1735"/>
      <w:r>
        <w:rPr>
          <w:rFonts w:ascii="Times New Roman" w:eastAsia="Times New Roman" w:hAnsi="Times New Roman" w:cs="Times New Roman"/>
          <w:color w:val="000000"/>
          <w:spacing w:val="0"/>
          <w:w w:val="100"/>
          <w:position w:val="0"/>
        </w:rPr>
        <w:t>2</w:t>
      </w:r>
      <w:bookmarkEnd w:id="1735"/>
      <w:r>
        <w:rPr>
          <w:color w:val="000000"/>
          <w:spacing w:val="0"/>
          <w:w w:val="100"/>
          <w:position w:val="0"/>
        </w:rPr>
        <w:t>、</w:t>
        <w:tab/>
        <w:t>本企业的子公司情况</w:t>
      </w:r>
    </w:p>
    <w:p>
      <w:pPr>
        <w:pStyle w:val="Style2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61"/>
        <w:keepNext w:val="0"/>
        <w:keepLines w:val="0"/>
        <w:widowControl w:val="0"/>
        <w:shd w:val="clear" w:color="auto" w:fill="auto"/>
        <w:tabs>
          <w:tab w:pos="378" w:val="left"/>
        </w:tabs>
        <w:bidi w:val="0"/>
        <w:spacing w:before="0" w:after="260" w:line="240" w:lineRule="auto"/>
        <w:ind w:left="0" w:right="0" w:firstLine="0"/>
        <w:jc w:val="both"/>
      </w:pPr>
      <w:bookmarkStart w:id="1736" w:name="bookmark1736"/>
      <w:r>
        <w:rPr>
          <w:rFonts w:ascii="Times New Roman" w:eastAsia="Times New Roman" w:hAnsi="Times New Roman" w:cs="Times New Roman"/>
          <w:color w:val="000000"/>
          <w:spacing w:val="0"/>
          <w:w w:val="100"/>
          <w:position w:val="0"/>
        </w:rPr>
        <w:t>3</w:t>
      </w:r>
      <w:bookmarkEnd w:id="1736"/>
      <w:r>
        <w:rPr>
          <w:color w:val="000000"/>
          <w:spacing w:val="0"/>
          <w:w w:val="100"/>
          <w:position w:val="0"/>
        </w:rPr>
        <w:t>、</w:t>
        <w:tab/>
        <w:t>本企业合营和联营企业情况</w:t>
      </w:r>
    </w:p>
    <w:p>
      <w:pPr>
        <w:pStyle w:val="Style22"/>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22"/>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广东物联软通信息技术有限公司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 Data Innovation Corporation</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无锡软通物联网创新应用技术有限公司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以前年度参股公司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无锡市埃卡内基培训学校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参股公司之子公司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贝尔特物联技术无锡有限公司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年度已转让无锡软通物联网创新应用技术有限公司股权。</w:t>
      </w:r>
      <w:r>
        <w:br w:type="page"/>
      </w:r>
    </w:p>
    <w:p>
      <w:pPr>
        <w:pStyle w:val="Style33"/>
        <w:keepNext/>
        <w:keepLines/>
        <w:widowControl w:val="0"/>
        <w:shd w:val="clear" w:color="auto" w:fill="auto"/>
        <w:bidi w:val="0"/>
        <w:spacing w:before="0" w:after="32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4</w:t>
      </w:r>
      <w:bookmarkEnd w:id="1739"/>
      <w:r>
        <w:rPr>
          <w:color w:val="000000"/>
          <w:spacing w:val="0"/>
          <w:w w:val="100"/>
          <w:position w:val="0"/>
        </w:rPr>
        <w:t>、其他关联方情况</w:t>
      </w:r>
      <w:bookmarkEnd w:id="1737"/>
      <w:bookmarkEnd w:id="1738"/>
      <w:bookmarkEnd w:id="174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北京软通通云科技有限公司及其子公司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受同一最终控制人控制</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武汉通力互联技术服务有限公司及其子公司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以前年度同一控制下公司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软通控股有限公司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受同一最终控制人控制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广州安望信息科技有限公司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实际控制人之参股公司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Zhu Han hui</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实际控制人之配偶</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tabs>
          <w:tab w:pos="334" w:val="left"/>
        </w:tabs>
        <w:bidi w:val="0"/>
        <w:spacing w:before="0" w:after="100" w:line="240" w:lineRule="auto"/>
        <w:ind w:left="0" w:right="0" w:firstLine="0"/>
        <w:jc w:val="left"/>
      </w:pPr>
      <w:bookmarkStart w:id="1741" w:name="bookmark1741"/>
      <w:r>
        <w:rPr>
          <w:rFonts w:ascii="Times New Roman" w:eastAsia="Times New Roman" w:hAnsi="Times New Roman" w:cs="Times New Roman"/>
          <w:color w:val="000000"/>
          <w:spacing w:val="0"/>
          <w:w w:val="100"/>
          <w:position w:val="0"/>
          <w:sz w:val="18"/>
          <w:szCs w:val="18"/>
        </w:rPr>
        <w:t>1</w:t>
      </w:r>
      <w:bookmarkEnd w:id="174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日，本公司之实际控制人间接持有武汉通力互联技术服务有限公司</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的股权，变更为直接持有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的股权;</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日后，本公司之实际控制人不再持有其股权。</w:t>
      </w:r>
    </w:p>
    <w:p>
      <w:pPr>
        <w:pStyle w:val="Style22"/>
        <w:keepNext w:val="0"/>
        <w:keepLines w:val="0"/>
        <w:widowControl w:val="0"/>
        <w:shd w:val="clear" w:color="auto" w:fill="auto"/>
        <w:tabs>
          <w:tab w:pos="354" w:val="left"/>
        </w:tabs>
        <w:bidi w:val="0"/>
        <w:spacing w:before="0" w:after="380" w:line="240" w:lineRule="auto"/>
        <w:ind w:left="0" w:right="0" w:firstLine="0"/>
        <w:jc w:val="left"/>
      </w:pPr>
      <w:bookmarkStart w:id="1742" w:name="bookmark1742"/>
      <w:r>
        <w:rPr>
          <w:rFonts w:ascii="Times New Roman" w:eastAsia="Times New Roman" w:hAnsi="Times New Roman" w:cs="Times New Roman"/>
          <w:color w:val="000000"/>
          <w:spacing w:val="0"/>
          <w:w w:val="100"/>
          <w:position w:val="0"/>
          <w:sz w:val="18"/>
          <w:szCs w:val="18"/>
        </w:rPr>
        <w:t>2</w:t>
      </w:r>
      <w:bookmarkEnd w:id="174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年度本公司之实际控制人已转让广州安望信息科技有限公司股权。</w:t>
      </w:r>
    </w:p>
    <w:p>
      <w:pPr>
        <w:pStyle w:val="Style33"/>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color w:val="000000"/>
          <w:spacing w:val="0"/>
          <w:w w:val="100"/>
          <w:position w:val="0"/>
        </w:rPr>
        <w:t>、关联交易情况</w:t>
      </w:r>
      <w:bookmarkEnd w:id="1743"/>
      <w:bookmarkEnd w:id="1744"/>
      <w:bookmarkEnd w:id="1746"/>
    </w:p>
    <w:p>
      <w:pPr>
        <w:pStyle w:val="Style33"/>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43"/>
      <w:bookmarkEnd w:id="1744"/>
      <w:bookmarkEnd w:id="174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通力互联及其子公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59,921,416.10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44,179,965.81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通云科技及其子公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115,365.51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463,718.17</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 Data Innovation Corporation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586,155.83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806,298.15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60,622,937.44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60,700,000.00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45,449,982.13</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 Data Innovation Corporation</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7,818,910.04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17,206,255.19</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48"/>
      <w:bookmarkEnd w:id="1749"/>
      <w:bookmarkEnd w:id="1751"/>
    </w:p>
    <w:p>
      <w:pPr>
        <w:pStyle w:val="Style33"/>
        <w:keepNext/>
        <w:keepLines/>
        <w:widowControl w:val="0"/>
        <w:shd w:val="clear" w:color="auto" w:fill="auto"/>
        <w:tabs>
          <w:tab w:pos="493" w:val="left"/>
        </w:tabs>
        <w:bidi w:val="0"/>
        <w:spacing w:before="0" w:after="380" w:line="240" w:lineRule="auto"/>
        <w:ind w:left="0" w:right="0" w:firstLine="0"/>
        <w:jc w:val="left"/>
      </w:pPr>
      <w:bookmarkStart w:id="1748" w:name="bookmark1748"/>
      <w:bookmarkStart w:id="1749" w:name="bookmark1749"/>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748"/>
      <w:bookmarkEnd w:id="1749"/>
      <w:bookmarkEnd w:id="175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2"/>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通云科技及其子公司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1,317,965.64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16,116,463.52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通力互联及其子公司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1,101,252.96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1,317,965.64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17,217,716.48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通云科技及其子公司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1,199,271.01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3,897,094.72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2,407,133.67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2,624,672.36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3,606,404.68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6,521,767.08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54"/>
      <w:bookmarkEnd w:id="1755"/>
      <w:bookmarkEnd w:id="1757"/>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刘天文、</w:t>
            </w:r>
            <w:r>
              <w:rPr>
                <w:rFonts w:ascii="Times New Roman" w:eastAsia="Times New Roman" w:hAnsi="Times New Roman" w:cs="Times New Roman"/>
                <w:color w:val="000000"/>
                <w:spacing w:val="0"/>
                <w:w w:val="100"/>
                <w:position w:val="0"/>
                <w:sz w:val="18"/>
                <w:szCs w:val="18"/>
              </w:rPr>
              <w:t>Zhu Han hui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担保期限为所担保借款合同的借款期限。</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rPr>
        <w:t>（</w:t>
      </w:r>
      <w:bookmarkEnd w:id="1760"/>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758"/>
      <w:bookmarkEnd w:id="1759"/>
      <w:bookmarkEnd w:id="1761"/>
    </w:p>
    <w:p>
      <w:pPr>
        <w:pStyle w:val="Style33"/>
        <w:keepNext/>
        <w:keepLines/>
        <w:widowControl w:val="0"/>
        <w:shd w:val="clear" w:color="auto" w:fill="auto"/>
        <w:tabs>
          <w:tab w:pos="493" w:val="left"/>
        </w:tabs>
        <w:bidi w:val="0"/>
        <w:spacing w:before="0" w:after="380" w:line="240" w:lineRule="auto"/>
        <w:ind w:left="0" w:right="0" w:firstLine="0"/>
        <w:jc w:val="left"/>
      </w:pPr>
      <w:bookmarkStart w:id="1758" w:name="bookmark1758"/>
      <w:bookmarkStart w:id="1759" w:name="bookmark1759"/>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758"/>
      <w:bookmarkEnd w:id="1759"/>
      <w:bookmarkEnd w:id="1763"/>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广州安望信息科技有限公司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16,500,000.00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 Data Innovation Corporation</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业务转让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21,802,369.05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764"/>
      <w:bookmarkEnd w:id="1765"/>
      <w:bookmarkEnd w:id="176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关键管理人员人数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在本公司领取报酬人数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报酬总额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11,092,784.22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20,206,873.20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68"/>
      <w:bookmarkEnd w:id="1769"/>
      <w:bookmarkEnd w:id="1771"/>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6</w:t>
      </w:r>
      <w:bookmarkEnd w:id="1774"/>
      <w:r>
        <w:rPr>
          <w:color w:val="000000"/>
          <w:spacing w:val="0"/>
          <w:w w:val="100"/>
          <w:position w:val="0"/>
        </w:rPr>
        <w:t>、关联方应收应付款项</w:t>
      </w:r>
      <w:bookmarkEnd w:id="1772"/>
      <w:bookmarkEnd w:id="1773"/>
      <w:bookmarkEnd w:id="1775"/>
    </w:p>
    <w:p>
      <w:pPr>
        <w:pStyle w:val="Style33"/>
        <w:keepNext/>
        <w:keepLines/>
        <w:widowControl w:val="0"/>
        <w:shd w:val="clear" w:color="auto" w:fill="auto"/>
        <w:bidi w:val="0"/>
        <w:spacing w:before="0" w:after="380" w:line="240" w:lineRule="auto"/>
        <w:ind w:left="0" w:right="0" w:firstLine="0"/>
        <w:jc w:val="both"/>
      </w:pPr>
      <w:bookmarkStart w:id="1772" w:name="bookmark1772"/>
      <w:bookmarkStart w:id="1773" w:name="bookmark1773"/>
      <w:bookmarkStart w:id="1776" w:name="bookmark17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72"/>
      <w:bookmarkEnd w:id="1773"/>
      <w:bookmarkEnd w:id="177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通力互联及其子公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297,045.00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3,960.60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 Data Innovation Corporation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8,534,089.59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565,213.40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4,066,423.41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无锡软通物联网创 新应用技术有限公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326,690.03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326,690.03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326,690.03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326,690.03</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无锡市埃卡内基培 训学校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通力互联及其子公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5,016,557.31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2,787,474.00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 Data Innovation Corporation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35,399,213.73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1,415,968.55</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贝尔特物联技术无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175,500.00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77" w:name="bookmark1777"/>
      <w:bookmarkStart w:id="1778" w:name="bookmark1778"/>
      <w:bookmarkStart w:id="1779" w:name="bookmark17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77"/>
      <w:bookmarkEnd w:id="1778"/>
      <w:bookmarkEnd w:id="1779"/>
    </w:p>
    <w:p>
      <w:pPr>
        <w:pStyle w:val="Style22"/>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通力互联及其子公司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1,275,518.35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330,921.73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 Data Innovation Corporation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382,992.45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通力互联及其子公司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627,799.00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广州安望信息科技有限公司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7,726,950.00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 Data Innovation Corporation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4,577,948.98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20,075,727.63</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广东物联软通信息技术有限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2,745.14</w:t>
            </w:r>
          </w:p>
        </w:tc>
      </w:tr>
    </w:tbl>
    <w:p>
      <w:pPr>
        <w:widowControl w:val="0"/>
        <w:spacing w:after="359" w:line="1" w:lineRule="exact"/>
      </w:pPr>
    </w:p>
    <w:p>
      <w:pPr>
        <w:pStyle w:val="Style33"/>
        <w:keepNext/>
        <w:keepLines/>
        <w:widowControl w:val="0"/>
        <w:shd w:val="clear" w:color="auto" w:fill="auto"/>
        <w:tabs>
          <w:tab w:pos="373" w:val="left"/>
        </w:tabs>
        <w:bidi w:val="0"/>
        <w:spacing w:before="0" w:after="36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7</w:t>
      </w:r>
      <w:bookmarkEnd w:id="1782"/>
      <w:r>
        <w:rPr>
          <w:color w:val="000000"/>
          <w:spacing w:val="0"/>
          <w:w w:val="100"/>
          <w:position w:val="0"/>
        </w:rPr>
        <w:t>、</w:t>
        <w:tab/>
        <w:t>关联方承诺</w:t>
      </w:r>
      <w:bookmarkEnd w:id="1780"/>
      <w:bookmarkEnd w:id="1781"/>
      <w:bookmarkEnd w:id="1783"/>
    </w:p>
    <w:p>
      <w:pPr>
        <w:pStyle w:val="Style33"/>
        <w:keepNext/>
        <w:keepLines/>
        <w:widowControl w:val="0"/>
        <w:shd w:val="clear" w:color="auto" w:fill="auto"/>
        <w:tabs>
          <w:tab w:pos="378" w:val="left"/>
        </w:tabs>
        <w:bidi w:val="0"/>
        <w:spacing w:before="0" w:after="360" w:line="240" w:lineRule="auto"/>
        <w:ind w:left="0" w:right="0" w:firstLine="0"/>
        <w:jc w:val="left"/>
      </w:pPr>
      <w:bookmarkStart w:id="1780" w:name="bookmark1780"/>
      <w:bookmarkStart w:id="1781" w:name="bookmark1781"/>
      <w:bookmarkStart w:id="1784" w:name="bookmark1784"/>
      <w:bookmarkStart w:id="1785" w:name="bookmark1785"/>
      <w:r>
        <w:rPr>
          <w:rFonts w:ascii="Times New Roman" w:eastAsia="Times New Roman" w:hAnsi="Times New Roman" w:cs="Times New Roman"/>
          <w:color w:val="000000"/>
          <w:spacing w:val="0"/>
          <w:w w:val="100"/>
          <w:position w:val="0"/>
        </w:rPr>
        <w:t>8</w:t>
      </w:r>
      <w:bookmarkEnd w:id="1784"/>
      <w:r>
        <w:rPr>
          <w:color w:val="000000"/>
          <w:spacing w:val="0"/>
          <w:w w:val="100"/>
          <w:position w:val="0"/>
        </w:rPr>
        <w:t>、</w:t>
        <w:tab/>
        <w:t>其他</w:t>
      </w:r>
      <w:bookmarkEnd w:id="1780"/>
      <w:bookmarkEnd w:id="1781"/>
      <w:bookmarkEnd w:id="1785"/>
    </w:p>
    <w:p>
      <w:pPr>
        <w:pStyle w:val="Style27"/>
        <w:keepNext/>
        <w:keepLines/>
        <w:widowControl w:val="0"/>
        <w:shd w:val="clear" w:color="auto" w:fill="auto"/>
        <w:bidi w:val="0"/>
        <w:spacing w:before="0" w:after="360" w:line="240" w:lineRule="auto"/>
        <w:ind w:left="0" w:right="0" w:firstLine="0"/>
        <w:jc w:val="left"/>
      </w:pPr>
      <w:bookmarkStart w:id="1786" w:name="bookmark1786"/>
      <w:bookmarkStart w:id="1787" w:name="bookmark1787"/>
      <w:bookmarkStart w:id="1788" w:name="bookmark1788"/>
      <w:r>
        <w:rPr>
          <w:color w:val="000000"/>
          <w:spacing w:val="0"/>
          <w:w w:val="100"/>
          <w:position w:val="0"/>
          <w:sz w:val="24"/>
          <w:szCs w:val="24"/>
        </w:rPr>
        <w:t>十三、股份支付</w:t>
      </w:r>
      <w:bookmarkEnd w:id="1786"/>
      <w:bookmarkEnd w:id="1787"/>
      <w:bookmarkEnd w:id="1788"/>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789" w:name="bookmark1789"/>
      <w:bookmarkStart w:id="1790" w:name="bookmark1790"/>
      <w:bookmarkStart w:id="1791" w:name="bookmark1791"/>
      <w:r>
        <w:rPr>
          <w:color w:val="000000"/>
          <w:spacing w:val="0"/>
          <w:w w:val="100"/>
          <w:position w:val="0"/>
          <w:sz w:val="24"/>
          <w:szCs w:val="24"/>
        </w:rPr>
        <w:t>十四、承诺及或有事项</w:t>
      </w:r>
      <w:bookmarkEnd w:id="1789"/>
      <w:bookmarkEnd w:id="1790"/>
      <w:bookmarkEnd w:id="1791"/>
    </w:p>
    <w:p>
      <w:pPr>
        <w:pStyle w:val="Style33"/>
        <w:keepNext/>
        <w:keepLines/>
        <w:widowControl w:val="0"/>
        <w:shd w:val="clear" w:color="auto" w:fill="auto"/>
        <w:bidi w:val="0"/>
        <w:spacing w:before="0" w:after="360" w:line="240" w:lineRule="auto"/>
        <w:ind w:left="0" w:right="0" w:firstLine="0"/>
        <w:jc w:val="left"/>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92"/>
      <w:bookmarkEnd w:id="1793"/>
      <w:bookmarkEnd w:id="1794"/>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61"/>
        <w:keepNext w:val="0"/>
        <w:keepLines w:val="0"/>
        <w:widowControl w:val="0"/>
        <w:shd w:val="clear" w:color="auto" w:fill="auto"/>
        <w:bidi w:val="0"/>
        <w:spacing w:before="0" w:after="40" w:line="240" w:lineRule="auto"/>
        <w:ind w:left="0" w:right="0" w:firstLine="440"/>
        <w:jc w:val="left"/>
      </w:pPr>
      <w:r>
        <w:rPr>
          <w:rFonts w:ascii="Times New Roman" w:eastAsia="Times New Roman" w:hAnsi="Times New Roman" w:cs="Times New Roman"/>
          <w:b w:val="0"/>
          <w:bCs w:val="0"/>
          <w:color w:val="000000"/>
          <w:spacing w:val="0"/>
          <w:w w:val="100"/>
          <w:position w:val="0"/>
        </w:rPr>
        <w:t xml:space="preserve">1 </w:t>
      </w:r>
      <w:r>
        <w:rPr>
          <w:b w:val="0"/>
          <w:bCs w:val="0"/>
          <w:color w:val="000000"/>
          <w:spacing w:val="0"/>
          <w:w w:val="100"/>
          <w:position w:val="0"/>
        </w:rPr>
        <w:t>.已签订的正在或准备履行的租赁合同及财务影响</w:t>
      </w:r>
    </w:p>
    <w:p>
      <w:pPr>
        <w:pStyle w:val="Style61"/>
        <w:keepNext w:val="0"/>
        <w:keepLines w:val="0"/>
        <w:widowControl w:val="0"/>
        <w:shd w:val="clear" w:color="auto" w:fill="auto"/>
        <w:bidi w:val="0"/>
        <w:spacing w:before="0" w:after="40" w:line="240" w:lineRule="auto"/>
        <w:ind w:left="0" w:right="0" w:firstLine="440"/>
        <w:jc w:val="left"/>
      </w:pPr>
      <w:r>
        <w:rPr>
          <w:b w:val="0"/>
          <w:bCs w:val="0"/>
          <w:color w:val="000000"/>
          <w:spacing w:val="0"/>
          <w:w w:val="100"/>
          <w:position w:val="0"/>
        </w:rPr>
        <w:t>截至</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日，本公司作为承租人已承诺但尚未开始的租赁的未来潜在现金流出情况如下:</w:t>
      </w:r>
    </w:p>
    <w:tbl>
      <w:tblPr>
        <w:tblOverlap w:val="never"/>
        <w:jc w:val="center"/>
        <w:tblLayout w:type="fixed"/>
      </w:tblPr>
      <w:tblGrid>
        <w:gridCol w:w="5011"/>
        <w:gridCol w:w="4666"/>
      </w:tblGrid>
      <w:tr>
        <w:trPr>
          <w:trHeight w:val="3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177,393,604.95</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130,389,213.45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资产负债表日后第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64,037,293.62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以后年度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17,253,282.53</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389,073,394.55</w:t>
            </w:r>
          </w:p>
        </w:tc>
      </w:tr>
    </w:tbl>
    <w:p>
      <w:pPr>
        <w:widowControl w:val="0"/>
        <w:spacing w:after="39" w:line="1" w:lineRule="exact"/>
      </w:pPr>
    </w:p>
    <w:p>
      <w:pPr>
        <w:widowControl w:val="0"/>
        <w:spacing w:line="1" w:lineRule="exact"/>
      </w:pPr>
    </w:p>
    <w:tbl>
      <w:tblPr>
        <w:tblOverlap w:val="never"/>
        <w:jc w:val="center"/>
        <w:tblLayout w:type="fixed"/>
      </w:tblPr>
      <w:tblGrid>
        <w:gridCol w:w="912"/>
        <w:gridCol w:w="3038"/>
        <w:gridCol w:w="1272"/>
        <w:gridCol w:w="1483"/>
        <w:gridCol w:w="1253"/>
        <w:gridCol w:w="1718"/>
      </w:tblGrid>
      <w:tr>
        <w:trPr>
          <w:trHeight w:val="283"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尚</w:t>
            </w:r>
            <w:r>
              <w:rPr>
                <w:rFonts w:ascii="Times New Roman" w:eastAsia="Times New Roman" w:hAnsi="Times New Roman" w:cs="Times New Roman"/>
                <w:color w:val="000000"/>
                <w:spacing w:val="0"/>
                <w:w w:val="100"/>
                <w:position w:val="0"/>
                <w:sz w:val="20"/>
                <w:szCs w:val="20"/>
              </w:rPr>
              <w:t>5</w:t>
            </w:r>
          </w:p>
        </w:tc>
        <w:tc>
          <w:tcPr>
            <w:gridSpan w:val="5"/>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艮履行完毕的出资义务：</w:t>
            </w:r>
          </w:p>
        </w:tc>
      </w:tr>
      <w:tr>
        <w:trPr>
          <w:trHeight w:val="3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认缴出资额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实缴出资额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尚未履行完的出资额</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北京软通动力投资控股有限公司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西安软通动力大数据科技有限公司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西安软通动力云计算科技服务有限公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重庆两江新区软通动力科技有限公司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怀来百通智驾科技有限公司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贵安新区软通动力技术服务有限公司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秦皇岛软动信息技术服务有限公司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line="1" w:lineRule="exact"/>
      </w:pPr>
      <w:r>
        <w:br w:type="page"/>
      </w:r>
    </w:p>
    <w:tbl>
      <w:tblPr>
        <w:tblOverlap w:val="never"/>
        <w:jc w:val="center"/>
        <w:tblLayout w:type="fixed"/>
      </w:tblPr>
      <w:tblGrid>
        <w:gridCol w:w="912"/>
        <w:gridCol w:w="3038"/>
        <w:gridCol w:w="1272"/>
        <w:gridCol w:w="1483"/>
        <w:gridCol w:w="1253"/>
        <w:gridCol w:w="1718"/>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郑州软通动力互联网服务有限公司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软通信息技术（大连）有限公司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万美元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万美元</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怀来软通动力通讯工程有限公司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南京软通动力信息系统服务有限公司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34,500,000.00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四川灵动信息技术有限公司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上饶市软通数字科技有限公司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293,000,000.00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徐州丰县软通数字科技有限公司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万年县软通数字科技有限公司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盐城射阳软通数字科技有限公司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杭州旭天云科技有限公司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47,600,000.00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德清软通信息技术服务有限公司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北京软通动力教育科技有限公司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软通智服（武汉）科技有限公司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127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1776"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w:t>
              <w:tab/>
              <w:t>TECHNOLOGY</w:t>
            </w:r>
          </w:p>
          <w:p>
            <w:pPr>
              <w:pStyle w:val="Style24"/>
              <w:keepNext w:val="0"/>
              <w:keepLines w:val="0"/>
              <w:widowControl w:val="0"/>
              <w:shd w:val="clear" w:color="auto" w:fill="auto"/>
              <w:tabs>
                <w:tab w:pos="1094" w:val="left"/>
                <w:tab w:pos="1805" w:val="left"/>
                <w:tab w:pos="2870"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POLAND</w:t>
              <w:tab/>
              <w:t>LLC</w:t>
              <w:tab/>
              <w:t>SPOLKA</w:t>
              <w:tab/>
              <w:t>Z</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OGRANICZONA</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ODPOWIEDZIALNOSCIA</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兹罗提</w:t>
            </w: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兹罗提</w:t>
            </w:r>
            <w:r>
              <w:rPr>
                <w:rFonts w:ascii="Times New Roman" w:eastAsia="Times New Roman" w:hAnsi="Times New Roman" w:cs="Times New Roman"/>
                <w:color w:val="000000"/>
                <w:spacing w:val="0"/>
                <w:w w:val="100"/>
                <w:position w:val="0"/>
                <w:sz w:val="18"/>
                <w:szCs w:val="18"/>
              </w:rPr>
              <w:t>6,000.00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西藏软通动力科技有限公司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西藏软通动力信息技术服务有限公司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盐城软通动力信息技术有限公司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 TECHNOLOGY INDIA</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PRIVATE LIMITED</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卢比</w:t>
            </w:r>
          </w:p>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卢比</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镇江软通数字科技有限公司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成都软通动力信息技术服务有限公司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西安软通动力数字运营科技有限公司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徐州软通网络科技有限公司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京山软通动力技术服务有限公司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镇江市软通极客信息技术有限责任公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667"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北京创新信标应用信息技术合伙企业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bl>
    <w:p>
      <w:pPr>
        <w:widowControl w:val="0"/>
        <w:spacing w:after="639" w:line="1" w:lineRule="exact"/>
      </w:pPr>
    </w:p>
    <w:p>
      <w:pPr>
        <w:pStyle w:val="Style33"/>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95"/>
      <w:bookmarkEnd w:id="1796"/>
      <w:bookmarkEnd w:id="1797"/>
    </w:p>
    <w:p>
      <w:pPr>
        <w:pStyle w:val="Style33"/>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8" w:name="bookmark17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95"/>
      <w:bookmarkEnd w:id="1796"/>
      <w:bookmarkEnd w:id="1798"/>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为其他单位提供债务担保形成的或有负债及其财务影响</w:t>
      </w:r>
    </w:p>
    <w:p>
      <w:pPr>
        <w:pStyle w:val="Style22"/>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本公司无为合并范围以外关联方提供担保情况。</w:t>
      </w:r>
      <w:r>
        <w:br w:type="page"/>
      </w:r>
    </w:p>
    <w:p>
      <w:pPr>
        <w:pStyle w:val="Style2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本公司无为非关联方提供的担保事项。</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本公司合并范围内公司之间的担保情况</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日，本公司合并范围内公司之间的保证担保情况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单位：万元</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778"/>
        <w:gridCol w:w="2659"/>
        <w:gridCol w:w="1450"/>
        <w:gridCol w:w="1584"/>
        <w:gridCol w:w="1320"/>
        <w:gridCol w:w="1152"/>
        <w:gridCol w:w="734"/>
      </w:tblGrid>
      <w:tr>
        <w:trPr>
          <w:trHeight w:val="34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贷款金融机构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担保借款余额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9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软通动力信息技 术（集团）股份有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江苏银行股份有限 公司北京分行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2022/8/23</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软通动力技术服务有限公司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软通动力信息技 术（集团）股份有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广发银行股份有限 公司北京上地支行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2022/7/13</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软通动力信息技术（集团）股份有 限公司、软通动力技术服务有限公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 公司深圳福田支行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2022/5/10</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软通动力信息技术（集团）股份有 限公司、软通动力技术服务有限公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 公司深圳福田支行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2022/4/13</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软通动力信息技术（集团）股份有 限公司、软通动力技术服务有限公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 公司深圳福田支行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2022/7/13</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软通动力信息技术（集团）股份有 限公司、软通动力技术服务有限公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中国工商银行股份 有限公司深圳华为 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2022/6/7</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软通动力信息技术（集团）股份有 限公司、软通动力技术服务有限公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中国工商银行股份 有限公司深圳华为 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2022/6/10</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软通动力信息技术（集团）股份有 限公司、软通动力技术服务有限公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中国工商银行股份 有限公司深圳华为 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2022/7/8</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软通动力信息技术（集团）股份有 限公司、软通动力技术服务有限公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深圳软通动力信 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中国工商银行股份 有限公司深圳华为 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2022/7/12</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软通动力信息技术（集团）股份有 限公司、软通动力技术服务有限公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20" w:line="240" w:lineRule="auto"/>
              <w:ind w:left="0" w:right="0" w:firstLine="0"/>
              <w:jc w:val="both"/>
            </w:pPr>
            <w:r>
              <w:rPr>
                <w:color w:val="000000"/>
                <w:spacing w:val="0"/>
                <w:w w:val="100"/>
                <w:position w:val="0"/>
              </w:rPr>
              <w:t>西安软通动力网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络技术有限公司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交通银行股份有限 公司陕西省分行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2022/7/12</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软通动力信息技术（集团）股份有 限公司、软通动力技术服务有限公 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20" w:line="240" w:lineRule="auto"/>
              <w:ind w:left="0" w:right="0" w:firstLine="0"/>
              <w:jc w:val="both"/>
            </w:pPr>
            <w:r>
              <w:rPr>
                <w:color w:val="000000"/>
                <w:spacing w:val="0"/>
                <w:w w:val="100"/>
                <w:position w:val="0"/>
              </w:rPr>
              <w:t>西安软通动力网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络技术有限公司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交通银行股份有限 公司陕西省分行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2022/8/11</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软通动力信息技术（集团）股份有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软通动力技术服 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交通银行股份有限 公司湖北自贸试验 区武汉片区分行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2022/3/11</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软通动力信息技术（集团）股份有 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软通动力技术服 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交通银行股份有限 公司湖北自贸试验 区武汉片区分行</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78"/>
        <w:gridCol w:w="2659"/>
        <w:gridCol w:w="1450"/>
        <w:gridCol w:w="1584"/>
        <w:gridCol w:w="1320"/>
        <w:gridCol w:w="1152"/>
        <w:gridCol w:w="734"/>
      </w:tblGrid>
      <w:tr>
        <w:trPr>
          <w:trHeight w:val="974"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软通动力信息技术（集团）股份有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软通动力技术服 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华夏银行股份有限 公司武汉光谷金融 港科技支行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2022/7/30</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软通动力信息技术（集团）股份有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南京软通动力信 息技术服务有限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 公司南京江宁支行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2022/3/8</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软通动力信息技术（集团）股份有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南京软通动力信 息技术服务有限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 公司南京江宁支行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2022/4/6</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软通动力信息技术（集团）股份有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南京软通动力信 息技术服务有限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南京银行股份有限 公司洪武支行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2022/5/6</w:t>
            </w:r>
          </w:p>
        </w:tc>
        <w:tc>
          <w:tcPr>
            <w:tcBorders>
              <w:top w:val="single" w:sz="4"/>
              <w:left w:val="single" w:sz="4"/>
              <w:right w:val="single" w:sz="4"/>
            </w:tcBorders>
            <w:shd w:val="clear" w:color="auto" w:fill="FFFFFF"/>
            <w:vAlign w:val="top"/>
          </w:tcPr>
          <w:p>
            <w:pPr>
              <w:widowControl w:val="0"/>
              <w:rPr>
                <w:sz w:val="10"/>
                <w:szCs w:val="10"/>
              </w:rPr>
            </w:pPr>
          </w:p>
        </w:tc>
      </w:tr>
      <w:tr>
        <w:trPr>
          <w:trHeight w:val="96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软通动力信息技术（集团）股份有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南京软通动力信 息技术服务有限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南京银行股份有限 公司洪武支行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2022/6/7</w:t>
            </w:r>
          </w:p>
        </w:tc>
        <w:tc>
          <w:tcPr>
            <w:tcBorders>
              <w:top w:val="single" w:sz="4"/>
              <w:left w:val="single" w:sz="4"/>
              <w:right w:val="single" w:sz="4"/>
            </w:tcBorders>
            <w:shd w:val="clear" w:color="auto" w:fill="FFFFFF"/>
            <w:vAlign w:val="top"/>
          </w:tcPr>
          <w:p>
            <w:pPr>
              <w:widowControl w:val="0"/>
              <w:rPr>
                <w:sz w:val="10"/>
                <w:szCs w:val="10"/>
              </w:rPr>
            </w:pP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软通动力信息技术（集团）股份有 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软通动力技术服 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交通银行股份有限 公司湖北自贸试验 区武汉片区分行</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2022/8/31</w:t>
            </w: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软通动力信息技术（集团）股份有 限公司、软通动力技术服务有限公 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深圳软通动力信 息技术有限公司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中国银行股份有限 公司深圳福田支行</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2022/11/12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18"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日，本公司合并范围内公司之间的财产抵押担保情况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单位：万元</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451"/>
        <w:gridCol w:w="1056"/>
        <w:gridCol w:w="1190"/>
        <w:gridCol w:w="1195"/>
        <w:gridCol w:w="1483"/>
        <w:gridCol w:w="1051"/>
        <w:gridCol w:w="1042"/>
        <w:gridCol w:w="1109"/>
        <w:gridCol w:w="1099"/>
      </w:tblGrid>
      <w:tr>
        <w:trPr>
          <w:trHeight w:val="6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抵押权人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抵押标的物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抵押物</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抵押物 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担保借款余额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借款到期日</w:t>
            </w:r>
          </w:p>
        </w:tc>
      </w:tr>
      <w:tr>
        <w:trPr>
          <w:trHeight w:val="9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软通动力信 息系统服务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软通动力信息 技术（集团）股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江苏银行股份 有限公司北京 分行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无锡市不 动产权第</w:t>
            </w:r>
            <w:r>
              <w:rPr>
                <w:rFonts w:ascii="Times New Roman" w:eastAsia="Times New Roman" w:hAnsi="Times New Roman" w:cs="Times New Roman"/>
                <w:color w:val="000000"/>
                <w:spacing w:val="0"/>
                <w:w w:val="100"/>
                <w:position w:val="0"/>
                <w:sz w:val="18"/>
                <w:szCs w:val="18"/>
              </w:rPr>
              <w:t xml:space="preserve">0068958 </w:t>
            </w:r>
            <w:r>
              <w:rPr>
                <w:color w:val="000000"/>
                <w:spacing w:val="0"/>
                <w:w w:val="100"/>
                <w:position w:val="0"/>
              </w:rPr>
              <w:t>号</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23,028.85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17,813.74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2022/8/23</w:t>
            </w:r>
          </w:p>
        </w:tc>
      </w:tr>
      <w:tr>
        <w:trPr>
          <w:trHeight w:val="128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北京软通旭</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天科技发展</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软通动力信息 技术（集团）股 份有限公司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西藏信托有限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X</w:t>
            </w:r>
            <w:r>
              <w:rPr>
                <w:color w:val="000000"/>
                <w:spacing w:val="0"/>
                <w:w w:val="100"/>
                <w:position w:val="0"/>
              </w:rPr>
              <w:t xml:space="preserve">京房权证海字第 </w:t>
            </w:r>
            <w:r>
              <w:rPr>
                <w:rFonts w:ascii="Times New Roman" w:eastAsia="Times New Roman" w:hAnsi="Times New Roman" w:cs="Times New Roman"/>
                <w:color w:val="000000"/>
                <w:spacing w:val="0"/>
                <w:w w:val="100"/>
                <w:position w:val="0"/>
                <w:sz w:val="18"/>
                <w:szCs w:val="18"/>
              </w:rPr>
              <w:t>344046</w:t>
            </w:r>
            <w:r>
              <w:rPr>
                <w:color w:val="000000"/>
                <w:spacing w:val="0"/>
                <w:w w:val="100"/>
                <w:position w:val="0"/>
              </w:rPr>
              <w:t>号；京海国 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出</w:t>
            </w:r>
            <w:r>
              <w:rPr>
                <w:color w:val="000000"/>
                <w:spacing w:val="0"/>
                <w:w w:val="100"/>
                <w:position w:val="0"/>
                <w:sz w:val="18"/>
                <w:szCs w:val="18"/>
              </w:rPr>
              <w:t>）</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00108</w:t>
            </w:r>
            <w:r>
              <w:rPr>
                <w:color w:val="000000"/>
                <w:spacing w:val="0"/>
                <w:w w:val="100"/>
                <w:position w:val="0"/>
              </w:rPr>
              <w:t>号</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53,556.75</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43,979.76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2022/4/26</w:t>
            </w:r>
          </w:p>
        </w:tc>
      </w:tr>
    </w:tbl>
    <w:p>
      <w:pPr>
        <w:widowControl w:val="0"/>
        <w:spacing w:line="1" w:lineRule="exact"/>
      </w:pPr>
    </w:p>
    <w:p>
      <w:pPr>
        <w:pStyle w:val="Style29"/>
        <w:keepNext w:val="0"/>
        <w:keepLines w:val="0"/>
        <w:widowControl w:val="0"/>
        <w:shd w:val="clear" w:color="auto" w:fill="auto"/>
        <w:bidi w:val="0"/>
        <w:spacing w:before="0" w:after="0" w:line="240" w:lineRule="auto"/>
        <w:ind w:left="422"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日，本公司合并范围内公司之间的财产质押担保情况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单位：万元</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1910"/>
        <w:gridCol w:w="1584"/>
        <w:gridCol w:w="1814"/>
        <w:gridCol w:w="1051"/>
        <w:gridCol w:w="1070"/>
        <w:gridCol w:w="1128"/>
        <w:gridCol w:w="1118"/>
      </w:tblGrid>
      <w:tr>
        <w:trPr>
          <w:trHeight w:val="66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出质人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质权人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质押标的物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质押物 账面原值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质押物 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担保借款余额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借款到期日</w:t>
            </w:r>
          </w:p>
        </w:tc>
      </w:tr>
      <w:tr>
        <w:trPr>
          <w:trHeight w:val="6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软通动力信息技术（集 团）股份有限公司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西藏信托有限公司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北京软通旭天科技发 展有限公司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32,498.66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32,498.66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2022/4/26</w:t>
            </w:r>
          </w:p>
        </w:tc>
      </w:tr>
    </w:tbl>
    <w:p>
      <w:pPr>
        <w:widowControl w:val="0"/>
        <w:spacing w:after="619" w:line="1" w:lineRule="exact"/>
      </w:pPr>
    </w:p>
    <w:p>
      <w:pPr>
        <w:pStyle w:val="Style33"/>
        <w:keepNext/>
        <w:keepLines/>
        <w:widowControl w:val="0"/>
        <w:shd w:val="clear" w:color="auto" w:fill="auto"/>
        <w:bidi w:val="0"/>
        <w:spacing w:before="0" w:after="400" w:line="240" w:lineRule="auto"/>
        <w:ind w:left="0" w:right="0" w:firstLine="0"/>
        <w:jc w:val="left"/>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799"/>
      <w:bookmarkEnd w:id="1800"/>
      <w:bookmarkEnd w:id="1801"/>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61"/>
        <w:keepNext w:val="0"/>
        <w:keepLines w:val="0"/>
        <w:widowControl w:val="0"/>
        <w:shd w:val="clear" w:color="auto" w:fill="auto"/>
        <w:bidi w:val="0"/>
        <w:spacing w:before="0" w:line="317" w:lineRule="exact"/>
        <w:ind w:left="0" w:right="0" w:firstLine="0"/>
        <w:jc w:val="left"/>
      </w:pPr>
      <w:bookmarkStart w:id="1802" w:name="bookmark1802"/>
      <w:r>
        <w:rPr>
          <w:rFonts w:ascii="Times New Roman" w:eastAsia="Times New Roman" w:hAnsi="Times New Roman" w:cs="Times New Roman"/>
          <w:color w:val="000000"/>
          <w:spacing w:val="0"/>
          <w:w w:val="100"/>
          <w:position w:val="0"/>
        </w:rPr>
        <w:t>3</w:t>
      </w:r>
      <w:bookmarkEnd w:id="1802"/>
      <w:r>
        <w:rPr>
          <w:color w:val="000000"/>
          <w:spacing w:val="0"/>
          <w:w w:val="100"/>
          <w:position w:val="0"/>
        </w:rPr>
        <w:t>、其他</w:t>
      </w:r>
    </w:p>
    <w:p>
      <w:pPr>
        <w:pStyle w:val="Style27"/>
        <w:keepNext/>
        <w:keepLines/>
        <w:widowControl w:val="0"/>
        <w:shd w:val="clear" w:color="auto" w:fill="auto"/>
        <w:bidi w:val="0"/>
        <w:spacing w:before="0" w:after="280" w:line="240" w:lineRule="auto"/>
        <w:ind w:left="0" w:right="0" w:firstLine="0"/>
        <w:jc w:val="left"/>
      </w:pPr>
      <w:bookmarkStart w:id="1803" w:name="bookmark1803"/>
      <w:bookmarkStart w:id="1804" w:name="bookmark1804"/>
      <w:bookmarkStart w:id="1805" w:name="bookmark1805"/>
      <w:r>
        <w:rPr>
          <w:color w:val="000000"/>
          <w:spacing w:val="0"/>
          <w:w w:val="100"/>
          <w:position w:val="0"/>
          <w:sz w:val="24"/>
          <w:szCs w:val="24"/>
        </w:rPr>
        <w:t>十五、资产负债表日后事项</w:t>
      </w:r>
      <w:bookmarkEnd w:id="1803"/>
      <w:bookmarkEnd w:id="1804"/>
      <w:bookmarkEnd w:id="1805"/>
    </w:p>
    <w:p>
      <w:pPr>
        <w:pStyle w:val="Style61"/>
        <w:keepNext w:val="0"/>
        <w:keepLines w:val="0"/>
        <w:widowControl w:val="0"/>
        <w:shd w:val="clear" w:color="auto" w:fill="auto"/>
        <w:tabs>
          <w:tab w:pos="368" w:val="left"/>
        </w:tabs>
        <w:bidi w:val="0"/>
        <w:spacing w:before="0" w:after="280" w:line="317" w:lineRule="exact"/>
        <w:ind w:left="0" w:right="0" w:firstLine="0"/>
        <w:jc w:val="left"/>
      </w:pPr>
      <w:bookmarkStart w:id="1806" w:name="bookmark1806"/>
      <w:r>
        <w:rPr>
          <w:rFonts w:ascii="Times New Roman" w:eastAsia="Times New Roman" w:hAnsi="Times New Roman" w:cs="Times New Roman"/>
          <w:color w:val="000000"/>
          <w:spacing w:val="0"/>
          <w:w w:val="100"/>
          <w:position w:val="0"/>
        </w:rPr>
        <w:t>1</w:t>
      </w:r>
      <w:bookmarkEnd w:id="1806"/>
      <w:r>
        <w:rPr>
          <w:color w:val="000000"/>
          <w:spacing w:val="0"/>
          <w:w w:val="100"/>
          <w:position w:val="0"/>
        </w:rPr>
        <w:t>、</w:t>
        <w:tab/>
        <w:t>重要的非调整事项</w:t>
      </w:r>
    </w:p>
    <w:p>
      <w:pPr>
        <w:pStyle w:val="Style61"/>
        <w:keepNext w:val="0"/>
        <w:keepLines w:val="0"/>
        <w:widowControl w:val="0"/>
        <w:shd w:val="clear" w:color="auto" w:fill="auto"/>
        <w:tabs>
          <w:tab w:pos="378" w:val="left"/>
        </w:tabs>
        <w:bidi w:val="0"/>
        <w:spacing w:before="0" w:after="280" w:line="317" w:lineRule="exact"/>
        <w:ind w:left="0" w:right="0" w:firstLine="0"/>
        <w:jc w:val="left"/>
      </w:pPr>
      <w:bookmarkStart w:id="1807" w:name="bookmark1807"/>
      <w:r>
        <w:rPr>
          <w:rFonts w:ascii="Times New Roman" w:eastAsia="Times New Roman" w:hAnsi="Times New Roman" w:cs="Times New Roman"/>
          <w:color w:val="000000"/>
          <w:spacing w:val="0"/>
          <w:w w:val="100"/>
          <w:position w:val="0"/>
        </w:rPr>
        <w:t>2</w:t>
      </w:r>
      <w:bookmarkEnd w:id="1807"/>
      <w:r>
        <w:rPr>
          <w:color w:val="000000"/>
          <w:spacing w:val="0"/>
          <w:w w:val="100"/>
          <w:position w:val="0"/>
        </w:rPr>
        <w:t>、</w:t>
        <w:tab/>
        <w:t>利润分配情况</w:t>
      </w:r>
    </w:p>
    <w:p>
      <w:pPr>
        <w:pStyle w:val="Style61"/>
        <w:keepNext w:val="0"/>
        <w:keepLines w:val="0"/>
        <w:widowControl w:val="0"/>
        <w:shd w:val="clear" w:color="auto" w:fill="auto"/>
        <w:tabs>
          <w:tab w:pos="378" w:val="left"/>
        </w:tabs>
        <w:bidi w:val="0"/>
        <w:spacing w:before="0" w:after="280" w:line="317" w:lineRule="exact"/>
        <w:ind w:left="0" w:right="0" w:firstLine="0"/>
        <w:jc w:val="left"/>
      </w:pPr>
      <w:bookmarkStart w:id="1808" w:name="bookmark1808"/>
      <w:r>
        <w:rPr>
          <w:rFonts w:ascii="Times New Roman" w:eastAsia="Times New Roman" w:hAnsi="Times New Roman" w:cs="Times New Roman"/>
          <w:color w:val="000000"/>
          <w:spacing w:val="0"/>
          <w:w w:val="100"/>
          <w:position w:val="0"/>
        </w:rPr>
        <w:t>3</w:t>
      </w:r>
      <w:bookmarkEnd w:id="1808"/>
      <w:r>
        <w:rPr>
          <w:color w:val="000000"/>
          <w:spacing w:val="0"/>
          <w:w w:val="100"/>
          <w:position w:val="0"/>
        </w:rPr>
        <w:t>、</w:t>
        <w:tab/>
        <w:t>销售退回</w:t>
      </w:r>
    </w:p>
    <w:p>
      <w:pPr>
        <w:pStyle w:val="Style61"/>
        <w:keepNext w:val="0"/>
        <w:keepLines w:val="0"/>
        <w:widowControl w:val="0"/>
        <w:shd w:val="clear" w:color="auto" w:fill="auto"/>
        <w:tabs>
          <w:tab w:pos="378" w:val="left"/>
        </w:tabs>
        <w:bidi w:val="0"/>
        <w:spacing w:before="0" w:after="280" w:line="317" w:lineRule="exact"/>
        <w:ind w:left="0" w:right="0" w:firstLine="0"/>
        <w:jc w:val="left"/>
      </w:pPr>
      <w:bookmarkStart w:id="1809" w:name="bookmark1809"/>
      <w:r>
        <w:rPr>
          <w:rFonts w:ascii="Times New Roman" w:eastAsia="Times New Roman" w:hAnsi="Times New Roman" w:cs="Times New Roman"/>
          <w:color w:val="000000"/>
          <w:spacing w:val="0"/>
          <w:w w:val="100"/>
          <w:position w:val="0"/>
        </w:rPr>
        <w:t>4</w:t>
      </w:r>
      <w:bookmarkEnd w:id="1809"/>
      <w:r>
        <w:rPr>
          <w:color w:val="000000"/>
          <w:spacing w:val="0"/>
          <w:w w:val="100"/>
          <w:position w:val="0"/>
        </w:rPr>
        <w:t>、</w:t>
        <w:tab/>
        <w:t>其他资产负债表日后事项说明</w:t>
      </w:r>
    </w:p>
    <w:p>
      <w:pPr>
        <w:pStyle w:val="Style6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新设子公司</w:t>
      </w:r>
    </w:p>
    <w:p>
      <w:pPr>
        <w:pStyle w:val="Style61"/>
        <w:keepNext w:val="0"/>
        <w:keepLines w:val="0"/>
        <w:widowControl w:val="0"/>
        <w:shd w:val="clear" w:color="auto" w:fill="auto"/>
        <w:bidi w:val="0"/>
        <w:spacing w:before="0" w:line="317" w:lineRule="exact"/>
        <w:ind w:left="0" w:right="0" w:firstLine="440"/>
        <w:jc w:val="both"/>
      </w:pPr>
      <w:r>
        <w:rPr>
          <w:rFonts w:ascii="Times New Roman" w:eastAsia="Times New Roman" w:hAnsi="Times New Roman" w:cs="Times New Roman"/>
          <w:b w:val="0"/>
          <w:bCs w:val="0"/>
          <w:color w:val="000000"/>
          <w:spacing w:val="0"/>
          <w:w w:val="100"/>
          <w:position w:val="0"/>
        </w:rPr>
        <w:t>2022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月，本公司出资设立鸿湖万联(江苏)科技发展有限公司。该公司于</w:t>
      </w:r>
      <w:r>
        <w:rPr>
          <w:rFonts w:ascii="Times New Roman" w:eastAsia="Times New Roman" w:hAnsi="Times New Roman" w:cs="Times New Roman"/>
          <w:b w:val="0"/>
          <w:bCs w:val="0"/>
          <w:color w:val="000000"/>
          <w:spacing w:val="0"/>
          <w:w w:val="100"/>
          <w:position w:val="0"/>
        </w:rPr>
        <w:t>2022</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3</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日完成设立 登记，注册资本</w:t>
      </w:r>
      <w:r>
        <w:rPr>
          <w:rFonts w:ascii="Times New Roman" w:eastAsia="Times New Roman" w:hAnsi="Times New Roman" w:cs="Times New Roman"/>
          <w:b w:val="0"/>
          <w:bCs w:val="0"/>
          <w:color w:val="000000"/>
          <w:spacing w:val="0"/>
          <w:w w:val="100"/>
          <w:position w:val="0"/>
        </w:rPr>
        <w:t>10,000.00</w:t>
      </w:r>
      <w:r>
        <w:rPr>
          <w:b w:val="0"/>
          <w:bCs w:val="0"/>
          <w:color w:val="000000"/>
          <w:spacing w:val="0"/>
          <w:w w:val="100"/>
          <w:position w:val="0"/>
        </w:rPr>
        <w:t>万元人民币，其中本公司认缴出资</w:t>
      </w:r>
      <w:r>
        <w:rPr>
          <w:rFonts w:ascii="Times New Roman" w:eastAsia="Times New Roman" w:hAnsi="Times New Roman" w:cs="Times New Roman"/>
          <w:b w:val="0"/>
          <w:bCs w:val="0"/>
          <w:color w:val="000000"/>
          <w:spacing w:val="0"/>
          <w:w w:val="100"/>
          <w:position w:val="0"/>
        </w:rPr>
        <w:t>10,000.00</w:t>
      </w:r>
      <w:r>
        <w:rPr>
          <w:b w:val="0"/>
          <w:bCs w:val="0"/>
          <w:color w:val="000000"/>
          <w:spacing w:val="0"/>
          <w:w w:val="100"/>
          <w:position w:val="0"/>
        </w:rPr>
        <w:t>万元人民币，占其注册资本的</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w:t>
      </w:r>
    </w:p>
    <w:p>
      <w:pPr>
        <w:pStyle w:val="Style27"/>
        <w:keepNext/>
        <w:keepLines/>
        <w:widowControl w:val="0"/>
        <w:shd w:val="clear" w:color="auto" w:fill="auto"/>
        <w:bidi w:val="0"/>
        <w:spacing w:before="0" w:after="280" w:line="240" w:lineRule="auto"/>
        <w:ind w:left="0" w:right="0" w:firstLine="0"/>
        <w:jc w:val="left"/>
      </w:pPr>
      <w:bookmarkStart w:id="1810" w:name="bookmark1810"/>
      <w:bookmarkStart w:id="1811" w:name="bookmark1811"/>
      <w:bookmarkStart w:id="1812" w:name="bookmark1812"/>
      <w:r>
        <w:rPr>
          <w:color w:val="000000"/>
          <w:spacing w:val="0"/>
          <w:w w:val="100"/>
          <w:position w:val="0"/>
          <w:sz w:val="24"/>
          <w:szCs w:val="24"/>
        </w:rPr>
        <w:t>十六、其他重要事项</w:t>
      </w:r>
      <w:bookmarkEnd w:id="1810"/>
      <w:bookmarkEnd w:id="1811"/>
      <w:bookmarkEnd w:id="1812"/>
    </w:p>
    <w:p>
      <w:pPr>
        <w:pStyle w:val="Style61"/>
        <w:keepNext w:val="0"/>
        <w:keepLines w:val="0"/>
        <w:widowControl w:val="0"/>
        <w:shd w:val="clear" w:color="auto" w:fill="auto"/>
        <w:bidi w:val="0"/>
        <w:spacing w:before="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报告期公司无重要前期差错更正事项。</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813" w:name="bookmark1813"/>
      <w:r>
        <w:rPr>
          <w:rFonts w:ascii="Times New Roman" w:eastAsia="Times New Roman" w:hAnsi="Times New Roman" w:cs="Times New Roman"/>
          <w:color w:val="000000"/>
          <w:spacing w:val="0"/>
          <w:w w:val="100"/>
          <w:position w:val="0"/>
        </w:rPr>
        <w:t>2</w:t>
      </w:r>
      <w:bookmarkEnd w:id="1813"/>
      <w:r>
        <w:rPr>
          <w:color w:val="000000"/>
          <w:spacing w:val="0"/>
          <w:w w:val="100"/>
          <w:position w:val="0"/>
        </w:rPr>
        <w:t>、</w:t>
        <w:tab/>
        <w:t>债务重组</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814" w:name="bookmark1814"/>
      <w:r>
        <w:rPr>
          <w:rFonts w:ascii="Times New Roman" w:eastAsia="Times New Roman" w:hAnsi="Times New Roman" w:cs="Times New Roman"/>
          <w:color w:val="000000"/>
          <w:spacing w:val="0"/>
          <w:w w:val="100"/>
          <w:position w:val="0"/>
        </w:rPr>
        <w:t>3</w:t>
      </w:r>
      <w:bookmarkEnd w:id="1814"/>
      <w:r>
        <w:rPr>
          <w:color w:val="000000"/>
          <w:spacing w:val="0"/>
          <w:w w:val="100"/>
          <w:position w:val="0"/>
        </w:rPr>
        <w:t>、</w:t>
        <w:tab/>
        <w:t>资产置换</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815" w:name="bookmark1815"/>
      <w:r>
        <w:rPr>
          <w:rFonts w:ascii="Times New Roman" w:eastAsia="Times New Roman" w:hAnsi="Times New Roman" w:cs="Times New Roman"/>
          <w:color w:val="000000"/>
          <w:spacing w:val="0"/>
          <w:w w:val="100"/>
          <w:position w:val="0"/>
        </w:rPr>
        <w:t>4</w:t>
      </w:r>
      <w:bookmarkEnd w:id="1815"/>
      <w:r>
        <w:rPr>
          <w:color w:val="000000"/>
          <w:spacing w:val="0"/>
          <w:w w:val="100"/>
          <w:position w:val="0"/>
        </w:rPr>
        <w:t>、</w:t>
        <w:tab/>
        <w:t>年金计划</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816" w:name="bookmark1816"/>
      <w:r>
        <w:rPr>
          <w:rFonts w:ascii="Times New Roman" w:eastAsia="Times New Roman" w:hAnsi="Times New Roman" w:cs="Times New Roman"/>
          <w:color w:val="000000"/>
          <w:spacing w:val="0"/>
          <w:w w:val="100"/>
          <w:position w:val="0"/>
        </w:rPr>
        <w:t>5</w:t>
      </w:r>
      <w:bookmarkEnd w:id="1816"/>
      <w:r>
        <w:rPr>
          <w:color w:val="000000"/>
          <w:spacing w:val="0"/>
          <w:w w:val="100"/>
          <w:position w:val="0"/>
        </w:rPr>
        <w:t>、</w:t>
        <w:tab/>
        <w:t>终止经营</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817" w:name="bookmark1817"/>
      <w:r>
        <w:rPr>
          <w:rFonts w:ascii="Times New Roman" w:eastAsia="Times New Roman" w:hAnsi="Times New Roman" w:cs="Times New Roman"/>
          <w:color w:val="000000"/>
          <w:spacing w:val="0"/>
          <w:w w:val="100"/>
          <w:position w:val="0"/>
        </w:rPr>
        <w:t>6</w:t>
      </w:r>
      <w:bookmarkEnd w:id="1817"/>
      <w:r>
        <w:rPr>
          <w:color w:val="000000"/>
          <w:spacing w:val="0"/>
          <w:w w:val="100"/>
          <w:position w:val="0"/>
        </w:rPr>
        <w:t>、</w:t>
        <w:tab/>
        <w:t>分部信息</w:t>
      </w:r>
    </w:p>
    <w:p>
      <w:pPr>
        <w:pStyle w:val="Style61"/>
        <w:keepNext w:val="0"/>
        <w:keepLines w:val="0"/>
        <w:widowControl w:val="0"/>
        <w:shd w:val="clear" w:color="auto" w:fill="auto"/>
        <w:tabs>
          <w:tab w:pos="373" w:val="left"/>
        </w:tabs>
        <w:bidi w:val="0"/>
        <w:spacing w:before="0" w:line="240" w:lineRule="auto"/>
        <w:ind w:left="0" w:right="0" w:firstLine="0"/>
        <w:jc w:val="left"/>
      </w:pPr>
      <w:bookmarkStart w:id="1818" w:name="bookmark1818"/>
      <w:r>
        <w:rPr>
          <w:rFonts w:ascii="Times New Roman" w:eastAsia="Times New Roman" w:hAnsi="Times New Roman" w:cs="Times New Roman"/>
          <w:color w:val="000000"/>
          <w:spacing w:val="0"/>
          <w:w w:val="100"/>
          <w:position w:val="0"/>
        </w:rPr>
        <w:t>7</w:t>
      </w:r>
      <w:bookmarkEnd w:id="1818"/>
      <w:r>
        <w:rPr>
          <w:color w:val="000000"/>
          <w:spacing w:val="0"/>
          <w:w w:val="100"/>
          <w:position w:val="0"/>
        </w:rPr>
        <w:t>、</w:t>
        <w:tab/>
        <w:t>其他对投资者决策有影响的重要交易和事项</w:t>
      </w:r>
    </w:p>
    <w:p>
      <w:pPr>
        <w:pStyle w:val="Style61"/>
        <w:keepNext w:val="0"/>
        <w:keepLines w:val="0"/>
        <w:widowControl w:val="0"/>
        <w:shd w:val="clear" w:color="auto" w:fill="auto"/>
        <w:tabs>
          <w:tab w:pos="378" w:val="left"/>
        </w:tabs>
        <w:bidi w:val="0"/>
        <w:spacing w:before="0" w:line="240" w:lineRule="auto"/>
        <w:ind w:left="0" w:right="0" w:firstLine="0"/>
        <w:jc w:val="left"/>
      </w:pPr>
      <w:bookmarkStart w:id="1819" w:name="bookmark1819"/>
      <w:r>
        <w:rPr>
          <w:rFonts w:ascii="Times New Roman" w:eastAsia="Times New Roman" w:hAnsi="Times New Roman" w:cs="Times New Roman"/>
          <w:color w:val="000000"/>
          <w:spacing w:val="0"/>
          <w:w w:val="100"/>
          <w:position w:val="0"/>
        </w:rPr>
        <w:t>8</w:t>
      </w:r>
      <w:bookmarkEnd w:id="1819"/>
      <w:r>
        <w:rPr>
          <w:color w:val="000000"/>
          <w:spacing w:val="0"/>
          <w:w w:val="100"/>
          <w:position w:val="0"/>
        </w:rPr>
        <w:t>、</w:t>
        <w:tab/>
        <w:t>其他</w:t>
      </w:r>
    </w:p>
    <w:p>
      <w:pPr>
        <w:pStyle w:val="Style29"/>
        <w:keepNext w:val="0"/>
        <w:keepLines w:val="0"/>
        <w:widowControl w:val="0"/>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rPr>
        <w:t>(一)租赁</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 xml:space="preserve">1 </w:t>
      </w:r>
      <w:r>
        <w:rPr>
          <w:color w:val="000000"/>
          <w:spacing w:val="0"/>
          <w:w w:val="100"/>
          <w:position w:val="0"/>
        </w:rPr>
        <w:t>.作为承租人</w:t>
      </w:r>
    </w:p>
    <w:p>
      <w:pPr>
        <w:pStyle w:val="Style29"/>
        <w:keepNext w:val="0"/>
        <w:keepLines w:val="0"/>
        <w:widowControl w:val="0"/>
        <w:numPr>
          <w:ilvl w:val="0"/>
          <w:numId w:val="115"/>
        </w:numPr>
        <w:shd w:val="clear" w:color="auto" w:fill="auto"/>
        <w:tabs>
          <w:tab w:pos="800" w:val="left"/>
        </w:tabs>
        <w:bidi w:val="0"/>
        <w:spacing w:before="0" w:after="80" w:line="240" w:lineRule="auto"/>
        <w:ind w:left="0" w:right="0" w:firstLine="0"/>
        <w:jc w:val="left"/>
      </w:pPr>
      <w:r>
        <w:rPr>
          <w:color w:val="000000"/>
          <w:spacing w:val="0"/>
          <w:w w:val="100"/>
          <w:position w:val="0"/>
        </w:rPr>
        <w:t>各类使用权资产的账面原值、累计折旧以及减值准备等详见本节附注七</w:t>
      </w:r>
      <w:r>
        <w:rPr>
          <w:color w:val="000000"/>
          <w:spacing w:val="0"/>
          <w:w w:val="100"/>
          <w:position w:val="0"/>
          <w:sz w:val="18"/>
          <w:szCs w:val="18"/>
        </w:rPr>
        <w:t xml:space="preserve">(25) </w:t>
      </w:r>
      <w:r>
        <w:rPr>
          <w:color w:val="000000"/>
          <w:spacing w:val="0"/>
          <w:w w:val="100"/>
          <w:position w:val="0"/>
        </w:rPr>
        <w:t>“使用权资产”之说明。</w:t>
      </w:r>
    </w:p>
    <w:p>
      <w:pPr>
        <w:pStyle w:val="Style29"/>
        <w:keepNext w:val="0"/>
        <w:keepLines w:val="0"/>
        <w:widowControl w:val="0"/>
        <w:numPr>
          <w:ilvl w:val="0"/>
          <w:numId w:val="115"/>
        </w:numPr>
        <w:shd w:val="clear" w:color="auto" w:fill="auto"/>
        <w:tabs>
          <w:tab w:pos="795" w:val="left"/>
        </w:tabs>
        <w:bidi w:val="0"/>
        <w:spacing w:before="0" w:after="80" w:line="240" w:lineRule="auto"/>
        <w:ind w:left="0" w:right="0" w:firstLine="0"/>
        <w:jc w:val="left"/>
      </w:pPr>
      <w:r>
        <w:rPr>
          <w:color w:val="000000"/>
          <w:spacing w:val="0"/>
          <w:w w:val="100"/>
          <w:position w:val="0"/>
        </w:rPr>
        <w:t>租赁负债的利息费用</w:t>
      </w:r>
    </w:p>
    <w:tbl>
      <w:tblPr>
        <w:tblOverlap w:val="never"/>
        <w:jc w:val="center"/>
        <w:tblLayout w:type="fixed"/>
      </w:tblPr>
      <w:tblGrid>
        <w:gridCol w:w="5938"/>
        <w:gridCol w:w="3739"/>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计入财务费用的租赁负债利息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14,186, </w:t>
            </w:r>
            <w:r>
              <w:rPr>
                <w:color w:val="000000"/>
                <w:spacing w:val="0"/>
                <w:w w:val="100"/>
                <w:position w:val="0"/>
                <w:sz w:val="18"/>
                <w:szCs w:val="18"/>
              </w:rPr>
              <w:t xml:space="preserve">741. </w:t>
            </w:r>
            <w:r>
              <w:rPr>
                <w:color w:val="000000"/>
                <w:spacing w:val="0"/>
                <w:w w:val="100"/>
                <w:position w:val="0"/>
                <w:sz w:val="18"/>
                <w:szCs w:val="18"/>
              </w:rPr>
              <w:t>50</w:t>
            </w:r>
          </w:p>
        </w:tc>
      </w:tr>
    </w:tbl>
    <w:p>
      <w:pPr>
        <w:pStyle w:val="Style29"/>
        <w:keepNext w:val="0"/>
        <w:keepLines w:val="0"/>
        <w:widowControl w:val="0"/>
        <w:shd w:val="clear" w:color="auto" w:fill="auto"/>
        <w:bidi w:val="0"/>
        <w:spacing w:before="0" w:after="120" w:line="240" w:lineRule="auto"/>
        <w:ind w:left="432" w:right="0" w:firstLine="0"/>
        <w:jc w:val="left"/>
      </w:pPr>
      <w:r>
        <w:rPr>
          <w:color w:val="000000"/>
          <w:spacing w:val="0"/>
          <w:w w:val="100"/>
          <w:position w:val="0"/>
          <w:sz w:val="18"/>
          <w:szCs w:val="18"/>
        </w:rPr>
        <w:t>(3)</w:t>
      </w:r>
      <w:r>
        <w:rPr>
          <w:color w:val="000000"/>
          <w:spacing w:val="0"/>
          <w:w w:val="100"/>
          <w:position w:val="0"/>
        </w:rPr>
        <w:t>租赁的简化处理</w:t>
      </w:r>
    </w:p>
    <w:p>
      <w:pPr>
        <w:pStyle w:val="Style29"/>
        <w:keepNext w:val="0"/>
        <w:keepLines w:val="0"/>
        <w:widowControl w:val="0"/>
        <w:shd w:val="clear" w:color="auto" w:fill="auto"/>
        <w:bidi w:val="0"/>
        <w:spacing w:before="0" w:after="0" w:line="240" w:lineRule="auto"/>
        <w:ind w:left="432" w:right="0" w:firstLine="0"/>
        <w:jc w:val="left"/>
      </w:pPr>
      <w:r>
        <w:rPr>
          <w:color w:val="000000"/>
          <w:spacing w:val="0"/>
          <w:w w:val="100"/>
          <w:position w:val="0"/>
        </w:rPr>
        <w:t>公司对短期租赁和低价值资产租赁采用简化方法进行会计处理，本期计入当期损益的租赁费用情况如下:</w:t>
      </w:r>
    </w:p>
    <w:p>
      <w:pPr>
        <w:widowControl w:val="0"/>
        <w:spacing w:after="99" w:line="1" w:lineRule="exact"/>
      </w:pPr>
    </w:p>
    <w:p>
      <w:pPr>
        <w:pStyle w:val="Style22"/>
        <w:keepNext w:val="0"/>
        <w:keepLines w:val="0"/>
        <w:widowControl w:val="0"/>
        <w:pBdr>
          <w:top w:val="single" w:sz="4" w:space="4" w:color="D9D9D9"/>
          <w:left w:val="single" w:sz="4" w:space="0" w:color="D9D9D9"/>
          <w:bottom w:val="single" w:sz="4" w:space="2" w:color="D9D9D9"/>
          <w:right w:val="single" w:sz="4" w:space="0" w:color="D9D9D9"/>
        </w:pBdr>
        <w:shd w:val="clear" w:color="auto" w:fill="D9D9D9"/>
        <w:tabs>
          <w:tab w:pos="4776" w:val="left"/>
        </w:tabs>
        <w:bidi w:val="0"/>
        <w:spacing w:before="0" w:after="318" w:line="240" w:lineRule="auto"/>
        <w:ind w:left="0" w:right="0" w:firstLine="0"/>
        <w:jc w:val="center"/>
      </w:pPr>
      <w:r>
        <w:rPr>
          <w:color w:val="000000"/>
          <w:spacing w:val="0"/>
          <w:w w:val="100"/>
          <w:position w:val="0"/>
        </w:rPr>
        <w:t>项目</w:t>
        <w:tab/>
        <w:t>本期数</w:t>
      </w:r>
      <w:r>
        <w:br w:type="page"/>
      </w:r>
    </w:p>
    <w:tbl>
      <w:tblPr>
        <w:tblOverlap w:val="never"/>
        <w:jc w:val="center"/>
        <w:tblLayout w:type="fixed"/>
      </w:tblPr>
      <w:tblGrid>
        <w:gridCol w:w="5938"/>
        <w:gridCol w:w="3739"/>
      </w:tblGrid>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88, 340, </w:t>
            </w:r>
            <w:r>
              <w:rPr>
                <w:color w:val="000000"/>
                <w:spacing w:val="0"/>
                <w:w w:val="100"/>
                <w:position w:val="0"/>
                <w:sz w:val="18"/>
                <w:szCs w:val="18"/>
              </w:rPr>
              <w:t xml:space="preserve">226. </w:t>
            </w:r>
            <w:r>
              <w:rPr>
                <w:color w:val="000000"/>
                <w:spacing w:val="0"/>
                <w:w w:val="100"/>
                <w:position w:val="0"/>
                <w:sz w:val="18"/>
                <w:szCs w:val="18"/>
              </w:rPr>
              <w:t>90</w:t>
            </w:r>
          </w:p>
        </w:tc>
      </w:tr>
    </w:tbl>
    <w:p>
      <w:pPr>
        <w:pStyle w:val="Style29"/>
        <w:keepNext w:val="0"/>
        <w:keepLines w:val="0"/>
        <w:widowControl w:val="0"/>
        <w:shd w:val="clear" w:color="auto" w:fill="auto"/>
        <w:bidi w:val="0"/>
        <w:spacing w:before="0" w:after="0" w:line="240" w:lineRule="auto"/>
        <w:ind w:left="446" w:right="0" w:firstLine="0"/>
        <w:jc w:val="left"/>
      </w:pPr>
      <w:r>
        <w:rPr>
          <w:color w:val="000000"/>
          <w:spacing w:val="0"/>
          <w:w w:val="100"/>
          <w:position w:val="0"/>
          <w:sz w:val="18"/>
          <w:szCs w:val="18"/>
        </w:rPr>
        <w:t>（4）</w:t>
      </w:r>
      <w:r>
        <w:rPr>
          <w:color w:val="000000"/>
          <w:spacing w:val="0"/>
          <w:w w:val="100"/>
          <w:position w:val="0"/>
        </w:rPr>
        <w:t>与租赁相关的总现金流出</w:t>
      </w:r>
    </w:p>
    <w:p>
      <w:pPr>
        <w:widowControl w:val="0"/>
        <w:spacing w:line="1" w:lineRule="exact"/>
      </w:pPr>
    </w:p>
    <w:tbl>
      <w:tblPr>
        <w:tblOverlap w:val="never"/>
        <w:jc w:val="center"/>
        <w:tblLayout w:type="fixed"/>
      </w:tblPr>
      <w:tblGrid>
        <w:gridCol w:w="5914"/>
        <w:gridCol w:w="3763"/>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8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偿还租赁负债本金和利息所支付的现金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 xml:space="preserve">122, 575, </w:t>
            </w:r>
            <w:r>
              <w:rPr>
                <w:color w:val="000000"/>
                <w:spacing w:val="0"/>
                <w:w w:val="100"/>
                <w:position w:val="0"/>
                <w:sz w:val="18"/>
                <w:szCs w:val="18"/>
              </w:rPr>
              <w:t>241.94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支付的按简化处理的短期租赁付款额和低价值资产租赁付款额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93, 677, </w:t>
            </w:r>
            <w:r>
              <w:rPr>
                <w:color w:val="000000"/>
                <w:spacing w:val="0"/>
                <w:w w:val="100"/>
                <w:position w:val="0"/>
                <w:sz w:val="18"/>
                <w:szCs w:val="18"/>
              </w:rPr>
              <w:t xml:space="preserve">632. </w:t>
            </w:r>
            <w:r>
              <w:rPr>
                <w:color w:val="000000"/>
                <w:spacing w:val="0"/>
                <w:w w:val="100"/>
                <w:position w:val="0"/>
                <w:sz w:val="18"/>
                <w:szCs w:val="18"/>
              </w:rPr>
              <w:t>48</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rPr>
                <w:sz w:val="18"/>
                <w:szCs w:val="18"/>
              </w:rPr>
            </w:pPr>
            <w:r>
              <w:rPr>
                <w:color w:val="000000"/>
                <w:spacing w:val="0"/>
                <w:w w:val="100"/>
                <w:position w:val="0"/>
                <w:sz w:val="18"/>
                <w:szCs w:val="18"/>
              </w:rPr>
              <w:t xml:space="preserve">216, 252, </w:t>
            </w:r>
            <w:r>
              <w:rPr>
                <w:color w:val="000000"/>
                <w:spacing w:val="0"/>
                <w:w w:val="100"/>
                <w:position w:val="0"/>
                <w:sz w:val="18"/>
                <w:szCs w:val="18"/>
              </w:rPr>
              <w:t xml:space="preserve">874. </w:t>
            </w:r>
            <w:r>
              <w:rPr>
                <w:color w:val="000000"/>
                <w:spacing w:val="0"/>
                <w:w w:val="100"/>
                <w:position w:val="0"/>
                <w:sz w:val="18"/>
                <w:szCs w:val="18"/>
              </w:rPr>
              <w:t>42</w:t>
            </w:r>
          </w:p>
        </w:tc>
      </w:tr>
    </w:tbl>
    <w:p>
      <w:pPr>
        <w:pStyle w:val="Style29"/>
        <w:keepNext w:val="0"/>
        <w:keepLines w:val="0"/>
        <w:widowControl w:val="0"/>
        <w:shd w:val="clear" w:color="auto" w:fill="auto"/>
        <w:tabs>
          <w:tab w:pos="802" w:val="left"/>
        </w:tabs>
        <w:bidi w:val="0"/>
        <w:spacing w:before="0" w:after="100" w:line="240" w:lineRule="auto"/>
        <w:ind w:left="446" w:right="0" w:firstLine="0"/>
        <w:jc w:val="left"/>
      </w:pPr>
      <w:r>
        <w:rPr>
          <w:color w:val="000000"/>
          <w:spacing w:val="0"/>
          <w:w w:val="100"/>
          <w:position w:val="0"/>
          <w:sz w:val="18"/>
          <w:szCs w:val="18"/>
        </w:rPr>
        <w:t>（5）</w:t>
        <w:tab/>
      </w:r>
      <w:r>
        <w:rPr>
          <w:color w:val="000000"/>
          <w:spacing w:val="0"/>
          <w:w w:val="100"/>
          <w:position w:val="0"/>
        </w:rPr>
        <w:t>租赁负债的到期期限分析、对相关流动性风险的管理等详见本节附注十（三）“流动风险”之说明。</w:t>
      </w:r>
    </w:p>
    <w:p>
      <w:pPr>
        <w:pStyle w:val="Style29"/>
        <w:keepNext w:val="0"/>
        <w:keepLines w:val="0"/>
        <w:widowControl w:val="0"/>
        <w:shd w:val="clear" w:color="auto" w:fill="auto"/>
        <w:tabs>
          <w:tab w:pos="802" w:val="left"/>
        </w:tabs>
        <w:bidi w:val="0"/>
        <w:spacing w:before="0" w:after="0" w:line="240" w:lineRule="auto"/>
        <w:ind w:left="446" w:right="0" w:firstLine="0"/>
        <w:jc w:val="left"/>
      </w:pPr>
      <w:r>
        <w:rPr>
          <w:color w:val="000000"/>
          <w:spacing w:val="0"/>
          <w:w w:val="100"/>
          <w:position w:val="0"/>
          <w:sz w:val="18"/>
          <w:szCs w:val="18"/>
        </w:rPr>
        <w:t>（6）</w:t>
        <w:tab/>
      </w:r>
      <w:r>
        <w:rPr>
          <w:color w:val="000000"/>
          <w:spacing w:val="0"/>
          <w:w w:val="100"/>
          <w:position w:val="0"/>
        </w:rPr>
        <w:t>本公司作为承租人在资产负债表日已承诺但尚未开始的租赁情况详见本节附注十四</w:t>
      </w:r>
      <w:r>
        <w:rPr>
          <w:color w:val="000000"/>
          <w:spacing w:val="0"/>
          <w:w w:val="100"/>
          <w:position w:val="0"/>
          <w:sz w:val="18"/>
          <w:szCs w:val="18"/>
        </w:rPr>
        <w:t xml:space="preserve">（1） </w:t>
      </w:r>
      <w:r>
        <w:rPr>
          <w:color w:val="000000"/>
          <w:spacing w:val="0"/>
          <w:w w:val="100"/>
          <w:position w:val="0"/>
        </w:rPr>
        <w:t>“承租人已承诺但尚未开</w:t>
      </w:r>
    </w:p>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始的租赁及财务影响”之说明。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w:t>
      </w:r>
      <w:r>
        <w:rPr>
          <w:color w:val="000000"/>
          <w:spacing w:val="0"/>
          <w:w w:val="100"/>
          <w:position w:val="0"/>
        </w:rPr>
        <w:t>.作为出租人</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w:t>
      </w:r>
      <w:r>
        <w:rPr>
          <w:color w:val="000000"/>
          <w:spacing w:val="0"/>
          <w:w w:val="100"/>
          <w:position w:val="0"/>
        </w:rPr>
        <w:t>经营租赁</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w:t>
      </w:r>
      <w:r>
        <w:rPr>
          <w:color w:val="000000"/>
          <w:spacing w:val="0"/>
          <w:w w:val="100"/>
          <w:position w:val="0"/>
        </w:rPr>
        <w:t>租赁收入</w:t>
      </w:r>
    </w:p>
    <w:tbl>
      <w:tblPr>
        <w:tblOverlap w:val="never"/>
        <w:jc w:val="center"/>
        <w:tblLayout w:type="fixed"/>
      </w:tblPr>
      <w:tblGrid>
        <w:gridCol w:w="5914"/>
        <w:gridCol w:w="3763"/>
      </w:tblGrid>
      <w:tr>
        <w:trPr>
          <w:trHeight w:val="32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8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3,964,117.01</w:t>
            </w:r>
          </w:p>
        </w:tc>
      </w:tr>
    </w:tbl>
    <w:p>
      <w:pPr>
        <w:pStyle w:val="Style61"/>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经营租出固定资产的期末账面原值、累计折旧额等详见本节附注七</w:t>
      </w:r>
      <w:r>
        <w:rPr>
          <w:rFonts w:ascii="Times New Roman" w:eastAsia="Times New Roman" w:hAnsi="Times New Roman" w:cs="Times New Roman"/>
          <w:b w:val="0"/>
          <w:bCs w:val="0"/>
          <w:color w:val="000000"/>
          <w:spacing w:val="0"/>
          <w:w w:val="100"/>
          <w:position w:val="0"/>
        </w:rPr>
        <w:t>（20）“</w:t>
      </w:r>
      <w:r>
        <w:rPr>
          <w:b w:val="0"/>
          <w:bCs w:val="0"/>
          <w:color w:val="000000"/>
          <w:spacing w:val="0"/>
          <w:w w:val="100"/>
          <w:position w:val="0"/>
        </w:rPr>
        <w:t>投资性房地产</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w:t>
      </w:r>
    </w:p>
    <w:p>
      <w:pPr>
        <w:pStyle w:val="Style33"/>
        <w:keepNext/>
        <w:keepLines/>
        <w:widowControl w:val="0"/>
        <w:shd w:val="clear" w:color="auto" w:fill="auto"/>
        <w:bidi w:val="0"/>
        <w:spacing w:before="0" w:after="0" w:line="240" w:lineRule="auto"/>
        <w:ind w:left="0" w:right="0" w:firstLine="0"/>
        <w:jc w:val="both"/>
      </w:pPr>
      <w:bookmarkStart w:id="1820" w:name="bookmark1820"/>
      <w:bookmarkStart w:id="1821" w:name="bookmark1821"/>
      <w:bookmarkStart w:id="1822" w:name="bookmark1822"/>
      <w:r>
        <w:rPr>
          <w:color w:val="000000"/>
          <w:spacing w:val="0"/>
          <w:w w:val="100"/>
          <w:position w:val="0"/>
        </w:rPr>
        <w:t>（二）公开发行股票</w:t>
      </w:r>
      <w:bookmarkEnd w:id="1820"/>
      <w:bookmarkEnd w:id="1821"/>
      <w:bookmarkEnd w:id="1822"/>
    </w:p>
    <w:p>
      <w:pPr>
        <w:pStyle w:val="Style22"/>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经中国证券监督管理委员会《关于同意软通动力信息技术（集团）股份有限公司首次公开发行股票注册的批复》（证监 许可</w:t>
      </w:r>
      <w:r>
        <w:rPr>
          <w:color w:val="000000"/>
          <w:spacing w:val="0"/>
          <w:w w:val="100"/>
          <w:position w:val="0"/>
          <w:sz w:val="18"/>
          <w:szCs w:val="18"/>
        </w:rPr>
        <w:t>[2022]123</w:t>
      </w:r>
      <w:r>
        <w:rPr>
          <w:color w:val="000000"/>
          <w:spacing w:val="0"/>
          <w:w w:val="100"/>
          <w:position w:val="0"/>
        </w:rPr>
        <w:t>号）核准，公司向社会公开发行人民币普通股</w:t>
      </w:r>
      <w:r>
        <w:rPr>
          <w:color w:val="000000"/>
          <w:spacing w:val="0"/>
          <w:w w:val="100"/>
          <w:position w:val="0"/>
          <w:sz w:val="18"/>
          <w:szCs w:val="18"/>
        </w:rPr>
        <w:t>63,529,412</w:t>
      </w:r>
      <w:r>
        <w:rPr>
          <w:color w:val="000000"/>
          <w:spacing w:val="0"/>
          <w:w w:val="100"/>
          <w:position w:val="0"/>
        </w:rPr>
        <w:t>股，每股面值人民币</w:t>
      </w:r>
      <w:r>
        <w:rPr>
          <w:color w:val="000000"/>
          <w:spacing w:val="0"/>
          <w:w w:val="100"/>
          <w:position w:val="0"/>
          <w:sz w:val="18"/>
          <w:szCs w:val="18"/>
        </w:rPr>
        <w:t>1</w:t>
      </w:r>
      <w:r>
        <w:rPr>
          <w:color w:val="000000"/>
          <w:spacing w:val="0"/>
          <w:w w:val="100"/>
          <w:position w:val="0"/>
        </w:rPr>
        <w:t>元，发行价为每股人民币</w:t>
      </w:r>
      <w:r>
        <w:rPr>
          <w:color w:val="000000"/>
          <w:spacing w:val="0"/>
          <w:w w:val="100"/>
          <w:position w:val="0"/>
          <w:sz w:val="18"/>
          <w:szCs w:val="18"/>
        </w:rPr>
        <w:t xml:space="preserve">72.88 </w:t>
      </w:r>
      <w:r>
        <w:rPr>
          <w:color w:val="000000"/>
          <w:spacing w:val="0"/>
          <w:w w:val="100"/>
          <w:position w:val="0"/>
        </w:rPr>
        <w:t>元，募集资金总额为人民币</w:t>
      </w:r>
      <w:r>
        <w:rPr>
          <w:color w:val="000000"/>
          <w:spacing w:val="0"/>
          <w:w w:val="100"/>
          <w:position w:val="0"/>
          <w:sz w:val="18"/>
          <w:szCs w:val="18"/>
        </w:rPr>
        <w:t xml:space="preserve">4, 630, 023, </w:t>
      </w:r>
      <w:r>
        <w:rPr>
          <w:color w:val="000000"/>
          <w:spacing w:val="0"/>
          <w:w w:val="100"/>
          <w:position w:val="0"/>
          <w:sz w:val="18"/>
          <w:szCs w:val="18"/>
        </w:rPr>
        <w:t xml:space="preserve">546. </w:t>
      </w:r>
      <w:r>
        <w:rPr>
          <w:color w:val="000000"/>
          <w:spacing w:val="0"/>
          <w:w w:val="100"/>
          <w:position w:val="0"/>
          <w:sz w:val="18"/>
          <w:szCs w:val="18"/>
        </w:rPr>
        <w:t>56</w:t>
      </w:r>
      <w:r>
        <w:rPr>
          <w:color w:val="000000"/>
          <w:spacing w:val="0"/>
          <w:w w:val="100"/>
          <w:position w:val="0"/>
        </w:rPr>
        <w:t>元，减除发行费用人民币</w:t>
      </w:r>
      <w:r>
        <w:rPr>
          <w:color w:val="000000"/>
          <w:spacing w:val="0"/>
          <w:w w:val="100"/>
          <w:position w:val="0"/>
          <w:sz w:val="18"/>
          <w:szCs w:val="18"/>
        </w:rPr>
        <w:t>287,705,673.77</w:t>
      </w:r>
      <w:r>
        <w:rPr>
          <w:color w:val="000000"/>
          <w:spacing w:val="0"/>
          <w:w w:val="100"/>
          <w:position w:val="0"/>
        </w:rPr>
        <w:t xml:space="preserve">元，实际募集资金净额为人民币 </w:t>
      </w:r>
      <w:r>
        <w:rPr>
          <w:color w:val="000000"/>
          <w:spacing w:val="0"/>
          <w:w w:val="100"/>
          <w:position w:val="0"/>
          <w:sz w:val="18"/>
          <w:szCs w:val="18"/>
        </w:rPr>
        <w:t xml:space="preserve">4, 342,317, </w:t>
      </w:r>
      <w:r>
        <w:rPr>
          <w:color w:val="000000"/>
          <w:spacing w:val="0"/>
          <w:w w:val="100"/>
          <w:position w:val="0"/>
          <w:sz w:val="18"/>
          <w:szCs w:val="18"/>
        </w:rPr>
        <w:t>872.79</w:t>
      </w:r>
      <w:r>
        <w:rPr>
          <w:color w:val="000000"/>
          <w:spacing w:val="0"/>
          <w:w w:val="100"/>
          <w:position w:val="0"/>
        </w:rPr>
        <w:t>元，其中</w:t>
      </w:r>
      <w:r>
        <w:rPr>
          <w:color w:val="000000"/>
          <w:spacing w:val="0"/>
          <w:w w:val="100"/>
          <w:position w:val="0"/>
          <w:sz w:val="18"/>
          <w:szCs w:val="18"/>
        </w:rPr>
        <w:t xml:space="preserve">63, 529, </w:t>
      </w:r>
      <w:r>
        <w:rPr>
          <w:color w:val="000000"/>
          <w:spacing w:val="0"/>
          <w:w w:val="100"/>
          <w:position w:val="0"/>
          <w:sz w:val="18"/>
          <w:szCs w:val="18"/>
        </w:rPr>
        <w:t>412.0</w:t>
      </w:r>
      <w:r>
        <w:rPr>
          <w:color w:val="000000"/>
          <w:spacing w:val="0"/>
          <w:w w:val="100"/>
          <w:position w:val="0"/>
          <w:sz w:val="18"/>
          <w:szCs w:val="18"/>
        </w:rPr>
        <w:t>0</w:t>
      </w:r>
      <w:r>
        <w:rPr>
          <w:color w:val="000000"/>
          <w:spacing w:val="0"/>
          <w:w w:val="100"/>
          <w:position w:val="0"/>
        </w:rPr>
        <w:t>元计入股本，剩余</w:t>
      </w:r>
      <w:r>
        <w:rPr>
          <w:color w:val="000000"/>
          <w:spacing w:val="0"/>
          <w:w w:val="100"/>
          <w:position w:val="0"/>
          <w:sz w:val="18"/>
          <w:szCs w:val="18"/>
        </w:rPr>
        <w:t xml:space="preserve">4, 278, </w:t>
      </w:r>
      <w:r>
        <w:rPr>
          <w:color w:val="000000"/>
          <w:spacing w:val="0"/>
          <w:w w:val="100"/>
          <w:position w:val="0"/>
          <w:sz w:val="18"/>
          <w:szCs w:val="18"/>
        </w:rPr>
        <w:t>788,460.79</w:t>
      </w:r>
      <w:r>
        <w:rPr>
          <w:color w:val="000000"/>
          <w:spacing w:val="0"/>
          <w:w w:val="100"/>
          <w:position w:val="0"/>
        </w:rPr>
        <w:t>元计入资本公积，上述公开发行新增股本业 经中汇会计师事务所（特殊普通合伙）审验，并出具中汇会验</w:t>
      </w:r>
      <w:r>
        <w:rPr>
          <w:color w:val="000000"/>
          <w:spacing w:val="0"/>
          <w:w w:val="100"/>
          <w:position w:val="0"/>
          <w:sz w:val="18"/>
          <w:szCs w:val="18"/>
        </w:rPr>
        <w:t>[2022]0626</w:t>
      </w:r>
      <w:r>
        <w:rPr>
          <w:color w:val="000000"/>
          <w:spacing w:val="0"/>
          <w:w w:val="100"/>
          <w:position w:val="0"/>
        </w:rPr>
        <w:t>号验资报告。</w:t>
      </w:r>
    </w:p>
    <w:p>
      <w:pPr>
        <w:pStyle w:val="Style27"/>
        <w:keepNext/>
        <w:keepLines/>
        <w:widowControl w:val="0"/>
        <w:shd w:val="clear" w:color="auto" w:fill="auto"/>
        <w:bidi w:val="0"/>
        <w:spacing w:before="0" w:after="380" w:line="240" w:lineRule="auto"/>
        <w:ind w:left="0" w:right="0" w:firstLine="0"/>
        <w:jc w:val="left"/>
      </w:pPr>
      <w:bookmarkStart w:id="1823" w:name="bookmark1823"/>
      <w:bookmarkStart w:id="1824" w:name="bookmark1824"/>
      <w:bookmarkStart w:id="1825" w:name="bookmark1825"/>
      <w:r>
        <w:rPr>
          <w:color w:val="000000"/>
          <w:spacing w:val="0"/>
          <w:w w:val="100"/>
          <w:position w:val="0"/>
          <w:sz w:val="24"/>
          <w:szCs w:val="24"/>
        </w:rPr>
        <w:t>十七、母公司财务报表主要项目注释</w:t>
      </w:r>
      <w:bookmarkEnd w:id="1823"/>
      <w:bookmarkEnd w:id="1824"/>
      <w:bookmarkEnd w:id="1825"/>
    </w:p>
    <w:p>
      <w:pPr>
        <w:pStyle w:val="Style33"/>
        <w:keepNext/>
        <w:keepLines/>
        <w:widowControl w:val="0"/>
        <w:shd w:val="clear" w:color="auto" w:fill="auto"/>
        <w:bidi w:val="0"/>
        <w:spacing w:before="0" w:after="380" w:line="240" w:lineRule="auto"/>
        <w:ind w:left="0" w:right="0" w:firstLine="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26"/>
      <w:bookmarkEnd w:id="1827"/>
      <w:bookmarkEnd w:id="1828"/>
    </w:p>
    <w:p>
      <w:pPr>
        <w:pStyle w:val="Style33"/>
        <w:keepNext/>
        <w:keepLines/>
        <w:widowControl w:val="0"/>
        <w:shd w:val="clear" w:color="auto" w:fill="auto"/>
        <w:bidi w:val="0"/>
        <w:spacing w:before="0" w:after="380" w:line="240" w:lineRule="auto"/>
        <w:ind w:left="0" w:right="0" w:firstLine="0"/>
        <w:jc w:val="left"/>
      </w:pPr>
      <w:bookmarkStart w:id="1826" w:name="bookmark1826"/>
      <w:bookmarkStart w:id="1827" w:name="bookmark1827"/>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26"/>
      <w:bookmarkEnd w:id="1827"/>
      <w:bookmarkEnd w:id="182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15,083,3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15,083,3</w:t>
            </w:r>
          </w:p>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5,141,624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5,141,624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2,286,21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35,678,4</w:t>
            </w:r>
          </w:p>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2,250,534</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36,110,48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1,587,785,0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2,301,29</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5,905.90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50,761,8</w:t>
            </w:r>
          </w:p>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01.27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2,250,534</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41,252,11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1,587,785,0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w:t>
            </w:r>
          </w:p>
        </w:tc>
      </w:tr>
    </w:tbl>
    <w:p>
      <w:pPr>
        <w:spacing w:lineRule="exact" w:line="1"/>
        <w:rPr>
          <w:sz w:val="2"/>
          <w:szCs w:val="2"/>
        </w:rPr>
      </w:pPr>
      <w:r>
        <w:br w:type="page"/>
      </w:r>
    </w:p>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15,083,388.57</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深圳前海花样年数据管</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3,640,200.00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固安九通新盛园区建设 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3,437,863.00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3,437,863.00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北京鲲鹏金科控股有限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1,505,600.00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大厂回族自治县鼎鸿投 资开发有限公司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1,410,000.01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北京梦想工场网络科技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975,744.00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975,744.00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泰禾集团股份有限公司 北京分公司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922,680.59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922,680.59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华夏幸福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运营管</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802,640.00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802,640.00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东方网力科技股份有限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639,610.44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639,610.44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众融通（北京）网络科 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555,190.50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555,190.50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上海红御房地产开发有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542,799.02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542,799.02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大厂华夏幸福基业房地</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329,434.99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329,434.99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华夏幸福基业股份有限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170,186.01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170,186.01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廊坊市幸福基业房地产 经纪有限公司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151,440.01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151,440.01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预期无法收回</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15,083,388.57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15,083,388.57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35,678,412.70</w:t>
      </w:r>
    </w:p>
    <w:p>
      <w:pPr>
        <w:widowControl w:val="0"/>
        <w:spacing w:after="119" w:line="1" w:lineRule="exact"/>
      </w:pP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307,722,082.42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1,978,490,434.91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35,678,412.70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2,286,212,517.33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35,678,412.70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按账龄划分的具有类似信用风险特征的应收账款。</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2,108,038,508.93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95,300,130.45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46,939,784.80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51,017,481.72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18,792,198.58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31,863,309.03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361,974.11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2,301,295,905.90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30"/>
      <w:bookmarkEnd w:id="1831"/>
      <w:bookmarkEnd w:id="1832"/>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5,141,624.55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9,941,764.02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15,083,388.57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36,110,488.00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35,678,412.70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41,252,112.55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9,509,688.72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50,761,801.27</w:t>
            </w:r>
          </w:p>
        </w:tc>
      </w:tr>
    </w:tbl>
    <w:p>
      <w:pPr>
        <w:widowControl w:val="0"/>
        <w:spacing w:after="319" w:line="1" w:lineRule="exact"/>
      </w:pPr>
    </w:p>
    <w:p>
      <w:pPr>
        <w:pStyle w:val="Style33"/>
        <w:keepNext/>
        <w:keepLines/>
        <w:widowControl w:val="0"/>
        <w:shd w:val="clear" w:color="auto" w:fill="auto"/>
        <w:tabs>
          <w:tab w:pos="493" w:val="left"/>
        </w:tabs>
        <w:bidi w:val="0"/>
        <w:spacing w:before="0" w:after="38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833"/>
      <w:bookmarkEnd w:id="1834"/>
      <w:bookmarkEnd w:id="1836"/>
    </w:p>
    <w:p>
      <w:pPr>
        <w:pStyle w:val="Style33"/>
        <w:keepNext/>
        <w:keepLines/>
        <w:widowControl w:val="0"/>
        <w:shd w:val="clear" w:color="auto" w:fill="auto"/>
        <w:tabs>
          <w:tab w:pos="493" w:val="left"/>
        </w:tabs>
        <w:bidi w:val="0"/>
        <w:spacing w:before="0" w:after="380" w:line="240" w:lineRule="auto"/>
        <w:ind w:left="0" w:right="0" w:firstLine="0"/>
        <w:jc w:val="left"/>
      </w:pPr>
      <w:bookmarkStart w:id="1833" w:name="bookmark1833"/>
      <w:bookmarkStart w:id="1834" w:name="bookmark1834"/>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833"/>
      <w:bookmarkEnd w:id="1834"/>
      <w:bookmarkEnd w:id="1838"/>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239,020,370.39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1,307,269.07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219,701,420.43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21,869,336.48</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112,823,510.54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102,583,199.26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91,081.28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95,082,487.51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53,703.08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769,210,988.13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61"/>
        <w:keepNext w:val="0"/>
        <w:keepLines w:val="0"/>
        <w:widowControl w:val="0"/>
        <w:shd w:val="clear" w:color="auto" w:fill="auto"/>
        <w:tabs>
          <w:tab w:pos="493" w:val="left"/>
        </w:tabs>
        <w:bidi w:val="0"/>
        <w:spacing w:before="0" w:line="240" w:lineRule="auto"/>
        <w:ind w:left="0" w:right="0" w:firstLine="0"/>
        <w:jc w:val="left"/>
      </w:pPr>
      <w:bookmarkStart w:id="1839" w:name="bookmark1839"/>
      <w:r>
        <w:rPr>
          <w:color w:val="000000"/>
          <w:spacing w:val="0"/>
          <w:w w:val="100"/>
          <w:position w:val="0"/>
        </w:rPr>
        <w:t>（</w:t>
      </w:r>
      <w:bookmarkEnd w:id="183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840" w:name="bookmark1840"/>
      <w:r>
        <w:rPr>
          <w:color w:val="000000"/>
          <w:spacing w:val="0"/>
          <w:w w:val="100"/>
          <w:position w:val="0"/>
        </w:rPr>
        <w:t>（</w:t>
      </w:r>
      <w:bookmarkEnd w:id="184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p>
    <w:p>
      <w:pPr>
        <w:pStyle w:val="Style6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、其他应收款</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1,366,505,635.79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1,344,158,710.83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1,366,505,635.79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1,344,158,710.83</w:t>
            </w:r>
          </w:p>
        </w:tc>
      </w:tr>
    </w:tbl>
    <w:p>
      <w:pPr>
        <w:widowControl w:val="0"/>
        <w:spacing w:after="359" w:line="1" w:lineRule="exact"/>
      </w:pPr>
    </w:p>
    <w:p>
      <w:pPr>
        <w:pStyle w:val="Style61"/>
        <w:keepNext w:val="0"/>
        <w:keepLines w:val="0"/>
        <w:widowControl w:val="0"/>
        <w:shd w:val="clear" w:color="auto" w:fill="auto"/>
        <w:tabs>
          <w:tab w:pos="493" w:val="left"/>
        </w:tabs>
        <w:bidi w:val="0"/>
        <w:spacing w:before="0" w:line="240" w:lineRule="auto"/>
        <w:ind w:left="0" w:right="0" w:firstLine="0"/>
        <w:jc w:val="left"/>
      </w:pPr>
      <w:bookmarkStart w:id="1841" w:name="bookmark1841"/>
      <w:r>
        <w:rPr>
          <w:color w:val="000000"/>
          <w:spacing w:val="0"/>
          <w:w w:val="100"/>
          <w:position w:val="0"/>
        </w:rPr>
        <w:t>（</w:t>
      </w:r>
      <w:bookmarkEnd w:id="1841"/>
      <w:r>
        <w:rPr>
          <w:rFonts w:ascii="Times New Roman" w:eastAsia="Times New Roman" w:hAnsi="Times New Roman" w:cs="Times New Roman"/>
          <w:color w:val="000000"/>
          <w:spacing w:val="0"/>
          <w:w w:val="100"/>
          <w:position w:val="0"/>
        </w:rPr>
        <w:t>1</w:t>
      </w:r>
      <w:r>
        <w:rPr>
          <w:color w:val="000000"/>
          <w:spacing w:val="0"/>
          <w:w w:val="100"/>
          <w:position w:val="0"/>
        </w:rPr>
        <w:t>）</w:t>
        <w:tab/>
        <w:t>应收利息</w:t>
      </w:r>
    </w:p>
    <w:p>
      <w:pPr>
        <w:pStyle w:val="Style61"/>
        <w:keepNext w:val="0"/>
        <w:keepLines w:val="0"/>
        <w:widowControl w:val="0"/>
        <w:shd w:val="clear" w:color="auto" w:fill="auto"/>
        <w:tabs>
          <w:tab w:pos="493" w:val="left"/>
        </w:tabs>
        <w:bidi w:val="0"/>
        <w:spacing w:before="0" w:line="240" w:lineRule="auto"/>
        <w:ind w:left="0" w:right="0" w:firstLine="0"/>
        <w:jc w:val="left"/>
      </w:pPr>
      <w:bookmarkStart w:id="1842" w:name="bookmark1842"/>
      <w:r>
        <w:rPr>
          <w:color w:val="000000"/>
          <w:spacing w:val="0"/>
          <w:w w:val="100"/>
          <w:position w:val="0"/>
        </w:rPr>
        <w:t>（</w:t>
      </w:r>
      <w:bookmarkEnd w:id="184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p>
    <w:p>
      <w:pPr>
        <w:pStyle w:val="Style61"/>
        <w:keepNext w:val="0"/>
        <w:keepLines w:val="0"/>
        <w:widowControl w:val="0"/>
        <w:shd w:val="clear" w:color="auto" w:fill="auto"/>
        <w:tabs>
          <w:tab w:pos="493" w:val="left"/>
        </w:tabs>
        <w:bidi w:val="0"/>
        <w:spacing w:before="0" w:after="400" w:line="240" w:lineRule="auto"/>
        <w:ind w:left="0" w:right="0" w:firstLine="0"/>
        <w:jc w:val="left"/>
      </w:pPr>
      <w:bookmarkStart w:id="1843" w:name="bookmark1843"/>
      <w:r>
        <w:rPr>
          <w:color w:val="000000"/>
          <w:spacing w:val="0"/>
          <w:w w:val="100"/>
          <w:position w:val="0"/>
        </w:rPr>
        <w:t>（</w:t>
      </w:r>
      <w:bookmarkEnd w:id="1843"/>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p>
    <w:p>
      <w:pPr>
        <w:pStyle w:val="Style6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1,337,649,501.93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1,328,269,070.66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25,241,659.69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17,907,202.87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2,213,701.30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1,605,269.31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日常经营款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5,696,894.16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342,147.70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-4,296,121.29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-3,964,979.71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1,366,505,635.79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1,344,158,710.83</w:t>
            </w:r>
          </w:p>
        </w:tc>
      </w:tr>
    </w:tbl>
    <w:p>
      <w:pPr>
        <w:widowControl w:val="0"/>
        <w:spacing w:after="359" w:line="1" w:lineRule="exact"/>
      </w:pPr>
    </w:p>
    <w:p>
      <w:pPr>
        <w:pStyle w:val="Style6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3,964,979.71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3,964,979.71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325,742.53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325,742.53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4,296,121.29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4,296,121.29</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788,043,619.56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180,431,189.93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198,448,782.94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203,878,164.65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105,804,253.59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96,369,000.53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1,704,910.53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1,370,801,757.08</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3</w:t>
      </w:r>
      <w:bookmarkEnd w:id="1846"/>
      <w:r>
        <w:rPr>
          <w:color w:val="000000"/>
          <w:spacing w:val="0"/>
          <w:w w:val="100"/>
          <w:position w:val="0"/>
        </w:rPr>
        <w:t>）本期计提、收回或转回的坏账准备情况</w:t>
      </w:r>
      <w:bookmarkEnd w:id="1844"/>
      <w:bookmarkEnd w:id="1845"/>
      <w:bookmarkEnd w:id="184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40" w:right="0" w:firstLine="0"/>
        <w:jc w:val="left"/>
      </w:pPr>
      <w:r>
        <mc:AlternateContent>
          <mc:Choice Requires="wps">
            <w:drawing>
              <wp:anchor distT="0" distB="0" distL="114300" distR="114300" simplePos="0" relativeHeight="125829388" behindDoc="0" locked="0" layoutInCell="1" allowOverlap="1">
                <wp:simplePos x="0" y="0"/>
                <wp:positionH relativeFrom="page">
                  <wp:posOffset>669925</wp:posOffset>
                </wp:positionH>
                <wp:positionV relativeFrom="paragraph">
                  <wp:posOffset>190500</wp:posOffset>
                </wp:positionV>
                <wp:extent cx="6087110" cy="1264920"/>
                <wp:wrapTopAndBottom/>
                <wp:docPr id="12" name="Shape 12"/>
                <a:graphic xmlns:a="http://schemas.openxmlformats.org/drawingml/2006/main">
                  <a:graphicData uri="http://schemas.microsoft.com/office/word/2010/wordprocessingShape">
                    <wps:wsp>
                      <wps:cNvSpPr txBox="1"/>
                      <wps:spPr>
                        <a:xfrm>
                          <a:ext cx="6087110" cy="1264920"/>
                        </a:xfrm>
                        <a:prstGeom prst="rect"/>
                        <a:noFill/>
                      </wps:spPr>
                      <wps:txbx>
                        <w:txbxContent>
                          <w:tbl>
                            <w:tblPr>
                              <w:tblOverlap w:val="never"/>
                              <w:jc w:val="left"/>
                              <w:tblLayout w:type="fixed"/>
                            </w:tblPr>
                            <w:tblGrid>
                              <w:gridCol w:w="1589"/>
                              <w:gridCol w:w="1085"/>
                              <w:gridCol w:w="1334"/>
                              <w:gridCol w:w="1440"/>
                              <w:gridCol w:w="1210"/>
                              <w:gridCol w:w="1344"/>
                              <w:gridCol w:w="1584"/>
                            </w:tblGrid>
                            <w:tr>
                              <w:trPr>
                                <w:tblHeade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3,964,979.71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325,742.53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5,399.05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4,296,121.29</w:t>
                                  </w:r>
                                </w:p>
                              </w:tc>
                            </w:tr>
                            <w:tr>
                              <w:trPr>
                                <w:trHeight w:val="47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3,964,979.71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325,742.53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5,399.05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4,296,121.29</w:t>
                                  </w:r>
                                </w:p>
                              </w:tc>
                            </w:tr>
                          </w:tbl>
                          <w:p>
                            <w:pPr>
                              <w:widowControl w:val="0"/>
                              <w:spacing w:line="1" w:lineRule="exact"/>
                            </w:pPr>
                          </w:p>
                        </w:txbxContent>
                      </wps:txbx>
                      <wps:bodyPr lIns="0" tIns="0" rIns="0" bIns="0">
                        <a:noAutoFit/>
                      </wps:bodyPr>
                    </wps:wsp>
                  </a:graphicData>
                </a:graphic>
              </wp:anchor>
            </w:drawing>
          </mc:Choice>
          <mc:Fallback>
            <w:pict>
              <v:shape id="_x0000_s1038" type="#_x0000_t202" style="position:absolute;margin-left:52.75pt;margin-top:15.pt;width:479.30000000000001pt;height:99.600000000000009pt;z-index:-125829365;mso-wrap-distance-left:9.pt;mso-wrap-distance-right:9.pt;mso-position-horizontal-relative:page" filled="f" stroked="f">
                <v:textbox inset="0,0,0,0">
                  <w:txbxContent>
                    <w:tbl>
                      <w:tblPr>
                        <w:tblOverlap w:val="never"/>
                        <w:jc w:val="left"/>
                        <w:tblLayout w:type="fixed"/>
                      </w:tblPr>
                      <w:tblGrid>
                        <w:gridCol w:w="1589"/>
                        <w:gridCol w:w="1085"/>
                        <w:gridCol w:w="1334"/>
                        <w:gridCol w:w="1440"/>
                        <w:gridCol w:w="1210"/>
                        <w:gridCol w:w="1344"/>
                        <w:gridCol w:w="1584"/>
                      </w:tblGrid>
                      <w:tr>
                        <w:trPr>
                          <w:tblHeade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按组合计提坏账准 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3,964,979.71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325,742.53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5,399.05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4,296,121.29</w:t>
                            </w:r>
                          </w:p>
                        </w:tc>
                      </w:tr>
                      <w:tr>
                        <w:trPr>
                          <w:trHeight w:val="47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3,964,979.71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325,742.53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5,399.05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4,296,121.29</w:t>
                            </w:r>
                          </w:p>
                        </w:tc>
                      </w:tr>
                    </w:tbl>
                    <w:p>
                      <w:pPr>
                        <w:widowControl w:val="0"/>
                        <w:spacing w:line="1" w:lineRule="exact"/>
                      </w:pPr>
                    </w:p>
                  </w:txbxContent>
                </v:textbox>
                <w10:wrap type="topAndBottom" anchorx="page"/>
              </v:shape>
            </w:pict>
          </mc:Fallback>
        </mc:AlternateContent>
      </w:r>
      <w:r>
        <w:rPr>
          <w:color w:val="000000"/>
          <w:spacing w:val="0"/>
          <w:w w:val="100"/>
          <w:position w:val="0"/>
        </w:rPr>
        <w:t>单位：元</w:t>
      </w:r>
    </w:p>
    <w:p>
      <w:pPr>
        <w:pStyle w:val="Style61"/>
        <w:keepNext w:val="0"/>
        <w:keepLines w:val="0"/>
        <w:widowControl w:val="0"/>
        <w:shd w:val="clear" w:color="auto" w:fill="auto"/>
        <w:bidi w:val="0"/>
        <w:spacing w:before="0" w:after="380" w:line="307" w:lineRule="exact"/>
        <w:ind w:left="0" w:right="0" w:firstLine="0"/>
        <w:jc w:val="both"/>
      </w:pPr>
      <w:r>
        <w:rPr>
          <w:b w:val="0"/>
          <w:bCs w:val="0"/>
          <w:color w:val="000000"/>
          <w:spacing w:val="0"/>
          <w:w w:val="100"/>
          <w:position w:val="0"/>
        </w:rPr>
        <w:t>用以确定报告期坏账准备计提金额以及评估金融工具的信用风险自初始确认后是否已显著增加等事项所 采用的依据、输入值、假设等信息详见</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第十节、财务报告</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附注十、与金融工具相关的风险</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二</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信用风险</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w:t>
      </w:r>
    </w:p>
    <w:p>
      <w:pPr>
        <w:pStyle w:val="Style33"/>
        <w:keepNext/>
        <w:keepLines/>
        <w:widowControl w:val="0"/>
        <w:shd w:val="clear" w:color="auto" w:fill="auto"/>
        <w:tabs>
          <w:tab w:pos="397" w:val="left"/>
        </w:tabs>
        <w:bidi w:val="0"/>
        <w:spacing w:before="0" w:after="300" w:line="322" w:lineRule="auto"/>
        <w:ind w:left="0" w:right="0" w:firstLine="0"/>
        <w:jc w:val="both"/>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4</w:t>
      </w:r>
      <w:bookmarkEnd w:id="1850"/>
      <w:r>
        <w:rPr>
          <w:color w:val="000000"/>
          <w:spacing w:val="0"/>
          <w:w w:val="100"/>
          <w:position w:val="0"/>
        </w:rPr>
        <w:t>）</w:t>
        <w:tab/>
        <w:t>本期实际核销的其他应收款情况</w:t>
      </w:r>
      <w:bookmarkEnd w:id="1848"/>
      <w:bookmarkEnd w:id="1849"/>
      <w:bookmarkEnd w:id="1851"/>
    </w:p>
    <w:p>
      <w:pPr>
        <w:pStyle w:val="Style33"/>
        <w:keepNext/>
        <w:keepLines/>
        <w:widowControl w:val="0"/>
        <w:shd w:val="clear" w:color="auto" w:fill="auto"/>
        <w:tabs>
          <w:tab w:pos="397" w:val="left"/>
        </w:tabs>
        <w:bidi w:val="0"/>
        <w:spacing w:before="0" w:after="300" w:line="322" w:lineRule="auto"/>
        <w:ind w:left="0" w:right="0" w:firstLine="0"/>
        <w:jc w:val="both"/>
      </w:pPr>
      <w:bookmarkStart w:id="1848" w:name="bookmark1848"/>
      <w:bookmarkStart w:id="1849" w:name="bookmark1849"/>
      <w:bookmarkStart w:id="1852" w:name="bookmark1852"/>
      <w:bookmarkStart w:id="1853" w:name="bookmark1853"/>
      <w:r>
        <w:rPr>
          <w:rFonts w:ascii="Times New Roman" w:eastAsia="Times New Roman" w:hAnsi="Times New Roman" w:cs="Times New Roman"/>
          <w:color w:val="000000"/>
          <w:spacing w:val="0"/>
          <w:w w:val="100"/>
          <w:position w:val="0"/>
        </w:rPr>
        <w:t>5</w:t>
      </w:r>
      <w:bookmarkEnd w:id="1852"/>
      <w:r>
        <w:rPr>
          <w:color w:val="000000"/>
          <w:spacing w:val="0"/>
          <w:w w:val="100"/>
          <w:position w:val="0"/>
        </w:rPr>
        <w:t>）</w:t>
        <w:tab/>
        <w:t>按欠款方归集的期末余额前五名的其他应收款情况</w:t>
      </w:r>
      <w:bookmarkEnd w:id="1848"/>
      <w:bookmarkEnd w:id="1849"/>
      <w:bookmarkEnd w:id="185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占其他应收款期末</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694"/>
        <w:gridCol w:w="1550"/>
        <w:gridCol w:w="1550"/>
        <w:gridCol w:w="1550"/>
        <w:gridCol w:w="1618"/>
        <w:gridCol w:w="162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250,079,511.04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245,956,726.33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176,710,449.24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141,567,077.14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102,160,770.35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916,474,534.10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61"/>
        <w:keepNext w:val="0"/>
        <w:keepLines w:val="0"/>
        <w:widowControl w:val="0"/>
        <w:shd w:val="clear" w:color="auto" w:fill="auto"/>
        <w:tabs>
          <w:tab w:pos="397" w:val="left"/>
        </w:tabs>
        <w:bidi w:val="0"/>
        <w:spacing w:before="0" w:line="240" w:lineRule="auto"/>
        <w:ind w:left="0" w:right="0" w:firstLine="0"/>
        <w:jc w:val="left"/>
      </w:pPr>
      <w:bookmarkStart w:id="1854" w:name="bookmark1854"/>
      <w:r>
        <w:rPr>
          <w:rFonts w:ascii="Times New Roman" w:eastAsia="Times New Roman" w:hAnsi="Times New Roman" w:cs="Times New Roman"/>
          <w:color w:val="000000"/>
          <w:spacing w:val="0"/>
          <w:w w:val="100"/>
          <w:position w:val="0"/>
        </w:rPr>
        <w:t>6</w:t>
      </w:r>
      <w:bookmarkEnd w:id="1854"/>
      <w:r>
        <w:rPr>
          <w:color w:val="000000"/>
          <w:spacing w:val="0"/>
          <w:w w:val="100"/>
          <w:position w:val="0"/>
        </w:rPr>
        <w:t>）</w:t>
        <w:tab/>
        <w:t>涉及政府补助的应收款项</w:t>
      </w:r>
    </w:p>
    <w:p>
      <w:pPr>
        <w:pStyle w:val="Style61"/>
        <w:keepNext w:val="0"/>
        <w:keepLines w:val="0"/>
        <w:widowControl w:val="0"/>
        <w:shd w:val="clear" w:color="auto" w:fill="auto"/>
        <w:tabs>
          <w:tab w:pos="392" w:val="left"/>
        </w:tabs>
        <w:bidi w:val="0"/>
        <w:spacing w:before="0" w:line="240" w:lineRule="auto"/>
        <w:ind w:left="0" w:right="0" w:firstLine="0"/>
        <w:jc w:val="left"/>
      </w:pPr>
      <w:bookmarkStart w:id="1855" w:name="bookmark1855"/>
      <w:r>
        <w:rPr>
          <w:rFonts w:ascii="Times New Roman" w:eastAsia="Times New Roman" w:hAnsi="Times New Roman" w:cs="Times New Roman"/>
          <w:color w:val="000000"/>
          <w:spacing w:val="0"/>
          <w:w w:val="100"/>
          <w:position w:val="0"/>
        </w:rPr>
        <w:t>7</w:t>
      </w:r>
      <w:bookmarkEnd w:id="1855"/>
      <w:r>
        <w:rPr>
          <w:color w:val="000000"/>
          <w:spacing w:val="0"/>
          <w:w w:val="100"/>
          <w:position w:val="0"/>
        </w:rPr>
        <w:t>）</w:t>
        <w:tab/>
        <w:t>因金融资产转移而终止确认的其他应收款</w:t>
      </w:r>
    </w:p>
    <w:p>
      <w:pPr>
        <w:pStyle w:val="Style61"/>
        <w:keepNext w:val="0"/>
        <w:keepLines w:val="0"/>
        <w:widowControl w:val="0"/>
        <w:shd w:val="clear" w:color="auto" w:fill="auto"/>
        <w:tabs>
          <w:tab w:pos="397" w:val="left"/>
        </w:tabs>
        <w:bidi w:val="0"/>
        <w:spacing w:before="0" w:line="240" w:lineRule="auto"/>
        <w:ind w:left="0" w:right="0" w:firstLine="0"/>
        <w:jc w:val="left"/>
      </w:pPr>
      <w:bookmarkStart w:id="1856" w:name="bookmark1856"/>
      <w:r>
        <w:rPr>
          <w:rFonts w:ascii="Times New Roman" w:eastAsia="Times New Roman" w:hAnsi="Times New Roman" w:cs="Times New Roman"/>
          <w:color w:val="000000"/>
          <w:spacing w:val="0"/>
          <w:w w:val="100"/>
          <w:position w:val="0"/>
        </w:rPr>
        <w:t>8</w:t>
      </w:r>
      <w:bookmarkEnd w:id="1856"/>
      <w:r>
        <w:rPr>
          <w:color w:val="000000"/>
          <w:spacing w:val="0"/>
          <w:w w:val="100"/>
          <w:position w:val="0"/>
        </w:rPr>
        <w:t>）</w:t>
        <w:tab/>
        <w:t>转移其他应收款且继续涉入形成的资产、负债金额</w:t>
      </w:r>
    </w:p>
    <w:p>
      <w:pPr>
        <w:pStyle w:val="Style61"/>
        <w:keepNext w:val="0"/>
        <w:keepLines w:val="0"/>
        <w:widowControl w:val="0"/>
        <w:shd w:val="clear" w:color="auto" w:fill="auto"/>
        <w:bidi w:val="0"/>
        <w:spacing w:before="0" w:line="240" w:lineRule="auto"/>
        <w:ind w:left="0" w:right="0" w:firstLine="0"/>
        <w:jc w:val="both"/>
      </w:pPr>
      <w:bookmarkStart w:id="1857" w:name="bookmark1857"/>
      <w:r>
        <w:rPr>
          <w:rFonts w:ascii="Times New Roman" w:eastAsia="Times New Roman" w:hAnsi="Times New Roman" w:cs="Times New Roman"/>
          <w:color w:val="000000"/>
          <w:spacing w:val="0"/>
          <w:w w:val="100"/>
          <w:position w:val="0"/>
        </w:rPr>
        <w:t>3</w:t>
      </w:r>
      <w:bookmarkEnd w:id="1857"/>
      <w:r>
        <w:rPr>
          <w:color w:val="000000"/>
          <w:spacing w:val="0"/>
          <w:w w:val="100"/>
          <w:position w:val="0"/>
        </w:rPr>
        <w:t>、长期股权投资</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2,472,027,593.29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2,389,027,593.29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2,373,236,217.35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2,290,236,217.35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200,492,703.00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200,492,703.00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200,162,348.56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200,162,348.56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2,672,520,296.29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2,589,520,296.29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2,573,398,565.91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2,490,398,565.91</w:t>
            </w:r>
          </w:p>
        </w:tc>
      </w:tr>
    </w:tbl>
    <w:p>
      <w:pPr>
        <w:widowControl w:val="0"/>
        <w:spacing w:after="359" w:line="1" w:lineRule="exact"/>
      </w:pPr>
    </w:p>
    <w:p>
      <w:pPr>
        <w:pStyle w:val="Style61"/>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1416"/>
        <w:gridCol w:w="1277"/>
        <w:gridCol w:w="710"/>
        <w:gridCol w:w="989"/>
        <w:gridCol w:w="566"/>
        <w:gridCol w:w="1560"/>
        <w:gridCol w:w="139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减值准备期末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减少</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软通动力技术服务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531,930,000.00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531,930,000.00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北京软通旭天科技 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324,986,588.71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324,986,588.71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iSoftStonelnformati onTechnologyHong KongLimited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292,698,000.00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292,698,000.00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75"/>
        <w:gridCol w:w="1416"/>
        <w:gridCol w:w="1277"/>
        <w:gridCol w:w="710"/>
        <w:gridCol w:w="989"/>
        <w:gridCol w:w="566"/>
        <w:gridCol w:w="1560"/>
        <w:gridCol w:w="1392"/>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西安软通动力网络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iSoftStoneNetwork</w:t>
            </w:r>
          </w:p>
          <w:p>
            <w:pPr>
              <w:pStyle w:val="Style24"/>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TechnologyHongK ongLimited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129,349,620.00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129,349,620.00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杭州软通信息技术 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上饶市软通数字科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宁波软通动力数据 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软通动力信息系统 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66,957,007.64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66,957,007.64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软通动力信息技术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灵动信息技术有限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32,500,000.00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iSoftStoneSoftware</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HongKongLimited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31,815,000.00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31,815,000.00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软通动力（广州）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软通动力信息技术 集团（武汉）有限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凯盈资讯科技有限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2,791,375.94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2,791,375.94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10,500,000.00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软通动力信息技术 集团（大连）有限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软通动力信息技术 集团成都科技有限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怀来软通动力信息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成都软通动力科创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佛山市软通动力科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75"/>
        <w:gridCol w:w="1416"/>
        <w:gridCol w:w="1277"/>
        <w:gridCol w:w="710"/>
        <w:gridCol w:w="989"/>
        <w:gridCol w:w="566"/>
        <w:gridCol w:w="1560"/>
        <w:gridCol w:w="1392"/>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安顺软通动力信息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软通动力（上海） 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北京软通云建技术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北京软通动力投资 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西安软通动力大数 据科技有限公司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西安软通动力云计 算科技服务有限公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重庆两江新区软通 动力科技有限公司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怀来百通智驾科技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软通智服（武汉）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贵安新区软通动力 技术服务有限公司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秦皇岛软动信息技 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郑州软通动力互联 网服务有限公司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南昌软通动力信息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浙江软通动力信息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2,290,236,217.3</w:t>
            </w:r>
          </w:p>
          <w:p>
            <w:pPr>
              <w:pStyle w:val="Style2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98,791,375.94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2,389,027,593.29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83,000,000.00</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858" w:name="bookmark1858"/>
      <w:bookmarkStart w:id="1859" w:name="bookmark1859"/>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58"/>
      <w:bookmarkEnd w:id="1859"/>
      <w:bookmarkEnd w:id="18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确认的投</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宣告发放 现金股利</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上饶市数</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通教育科</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技有限公</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200,162,3</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330,354.4</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200,492,7</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200,162,3</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330,354.4</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200,492,7</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200,162,3</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330,354.4</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200,492,7</w:t>
            </w:r>
          </w:p>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numPr>
          <w:ilvl w:val="0"/>
          <w:numId w:val="117"/>
        </w:numPr>
        <w:shd w:val="clear" w:color="auto" w:fill="auto"/>
        <w:bidi w:val="0"/>
        <w:spacing w:before="0" w:after="380" w:line="240" w:lineRule="auto"/>
        <w:ind w:left="0" w:right="0" w:firstLine="0"/>
        <w:jc w:val="left"/>
      </w:pPr>
      <w:bookmarkStart w:id="1861" w:name="bookmark1861"/>
      <w:bookmarkStart w:id="1862" w:name="bookmark1862"/>
      <w:bookmarkStart w:id="1863" w:name="bookmark1863"/>
      <w:bookmarkStart w:id="1864" w:name="bookmark1864"/>
      <w:bookmarkEnd w:id="1863"/>
      <w:r>
        <w:rPr>
          <w:color w:val="000000"/>
          <w:spacing w:val="0"/>
          <w:w w:val="100"/>
          <w:position w:val="0"/>
        </w:rPr>
        <w:t>其他说明</w:t>
      </w:r>
      <w:bookmarkEnd w:id="1861"/>
      <w:bookmarkEnd w:id="1862"/>
      <w:bookmarkEnd w:id="1864"/>
    </w:p>
    <w:p>
      <w:pPr>
        <w:pStyle w:val="Style33"/>
        <w:keepNext/>
        <w:keepLines/>
        <w:widowControl w:val="0"/>
        <w:shd w:val="clear" w:color="auto" w:fill="auto"/>
        <w:bidi w:val="0"/>
        <w:spacing w:before="0" w:after="380" w:line="240" w:lineRule="auto"/>
        <w:ind w:left="0" w:right="0" w:firstLine="0"/>
        <w:jc w:val="left"/>
      </w:pPr>
      <w:bookmarkStart w:id="1861" w:name="bookmark1861"/>
      <w:bookmarkStart w:id="1862" w:name="bookmark1862"/>
      <w:bookmarkStart w:id="1865" w:name="bookmark1865"/>
      <w:bookmarkStart w:id="1866" w:name="bookmark1866"/>
      <w:r>
        <w:rPr>
          <w:rFonts w:ascii="Times New Roman" w:eastAsia="Times New Roman" w:hAnsi="Times New Roman" w:cs="Times New Roman"/>
          <w:color w:val="000000"/>
          <w:spacing w:val="0"/>
          <w:w w:val="100"/>
          <w:position w:val="0"/>
        </w:rPr>
        <w:t>4</w:t>
      </w:r>
      <w:bookmarkEnd w:id="1865"/>
      <w:r>
        <w:rPr>
          <w:color w:val="000000"/>
          <w:spacing w:val="0"/>
          <w:w w:val="100"/>
          <w:position w:val="0"/>
        </w:rPr>
        <w:t>、营业收入和营业成本</w:t>
      </w:r>
      <w:bookmarkEnd w:id="1861"/>
      <w:bookmarkEnd w:id="1862"/>
      <w:bookmarkEnd w:id="186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5,563,813,984.79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4,680,683,730.90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3,690,844,320.85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3,001,825,432.08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5,563,813,984.79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4,680,683,730.90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3,690,844,320.85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3,001,825,432.08</w:t>
            </w: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收入相关信息：</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公司主要履约义务通常：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该项履约义务是原预计合同期限不超过一年的合同中的一部分，或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公司有权对该履约义务下 已转让的商品向客户发出账单，且账单金额能够代表公司累计至今已履约部分转移给客户的价值。公司按照合同约定向客户 提供软件技术服务并确认收入。</w:t>
      </w:r>
    </w:p>
    <w:p>
      <w:pPr>
        <w:pStyle w:val="Style33"/>
        <w:keepNext/>
        <w:keepLines/>
        <w:widowControl w:val="0"/>
        <w:shd w:val="clear" w:color="auto" w:fill="auto"/>
        <w:bidi w:val="0"/>
        <w:spacing w:before="0" w:after="380" w:line="240" w:lineRule="auto"/>
        <w:ind w:left="0" w:right="0" w:firstLine="0"/>
        <w:jc w:val="both"/>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5</w:t>
      </w:r>
      <w:bookmarkEnd w:id="1869"/>
      <w:r>
        <w:rPr>
          <w:color w:val="000000"/>
          <w:spacing w:val="0"/>
          <w:w w:val="100"/>
          <w:position w:val="0"/>
        </w:rPr>
        <w:t>、投资收益</w:t>
      </w:r>
      <w:bookmarkEnd w:id="1867"/>
      <w:bookmarkEnd w:id="1868"/>
      <w:bookmarkEnd w:id="187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330,354.44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162,348.56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330,354.44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518,159,603.42</w:t>
            </w:r>
          </w:p>
        </w:tc>
      </w:tr>
    </w:tbl>
    <w:p>
      <w:pPr>
        <w:pStyle w:val="Style33"/>
        <w:keepNext/>
        <w:keepLines/>
        <w:widowControl w:val="0"/>
        <w:shd w:val="clear" w:color="auto" w:fill="auto"/>
        <w:bidi w:val="0"/>
        <w:spacing w:before="0" w:after="340" w:line="240" w:lineRule="auto"/>
        <w:ind w:left="0" w:right="0" w:firstLine="0"/>
        <w:jc w:val="both"/>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6</w:t>
      </w:r>
      <w:bookmarkEnd w:id="1873"/>
      <w:r>
        <w:rPr>
          <w:color w:val="000000"/>
          <w:spacing w:val="0"/>
          <w:w w:val="100"/>
          <w:position w:val="0"/>
        </w:rPr>
        <w:t>、其他</w:t>
      </w:r>
      <w:bookmarkEnd w:id="1871"/>
      <w:bookmarkEnd w:id="1872"/>
      <w:bookmarkEnd w:id="1874"/>
    </w:p>
    <w:p>
      <w:pPr>
        <w:pStyle w:val="Style27"/>
        <w:keepNext/>
        <w:keepLines/>
        <w:widowControl w:val="0"/>
        <w:shd w:val="clear" w:color="auto" w:fill="auto"/>
        <w:bidi w:val="0"/>
        <w:spacing w:before="0" w:after="340" w:line="240" w:lineRule="auto"/>
        <w:ind w:left="0" w:right="0" w:firstLine="0"/>
        <w:jc w:val="both"/>
      </w:pPr>
      <w:bookmarkStart w:id="1875" w:name="bookmark1875"/>
      <w:bookmarkStart w:id="1876" w:name="bookmark1876"/>
      <w:bookmarkStart w:id="1877" w:name="bookmark1877"/>
      <w:r>
        <w:rPr>
          <w:color w:val="000000"/>
          <w:spacing w:val="0"/>
          <w:w w:val="100"/>
          <w:position w:val="0"/>
          <w:sz w:val="24"/>
          <w:szCs w:val="24"/>
        </w:rPr>
        <w:t>十八、补充资料</w:t>
      </w:r>
      <w:bookmarkEnd w:id="1875"/>
      <w:bookmarkEnd w:id="1876"/>
      <w:bookmarkEnd w:id="1877"/>
    </w:p>
    <w:p>
      <w:pPr>
        <w:pStyle w:val="Style33"/>
        <w:keepNext/>
        <w:keepLines/>
        <w:widowControl w:val="0"/>
        <w:shd w:val="clear" w:color="auto" w:fill="auto"/>
        <w:bidi w:val="0"/>
        <w:spacing w:before="0" w:after="340" w:line="240" w:lineRule="auto"/>
        <w:ind w:left="0" w:right="0" w:firstLine="0"/>
        <w:jc w:val="both"/>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78"/>
      <w:bookmarkEnd w:id="1879"/>
      <w:bookmarkEnd w:id="1880"/>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751,616.72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84,048,066.10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-395,881.64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8,557,950.81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-542,456.58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76,388,306.95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2"/>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81"/>
      <w:bookmarkEnd w:id="1882"/>
      <w:bookmarkEnd w:id="188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3</w:t>
      </w:r>
      <w:bookmarkEnd w:id="1886"/>
      <w:r>
        <w:rPr>
          <w:color w:val="000000"/>
          <w:spacing w:val="0"/>
          <w:w w:val="100"/>
          <w:position w:val="0"/>
        </w:rPr>
        <w:t>、境内外会计准则下会计数据差异</w:t>
      </w:r>
      <w:bookmarkEnd w:id="1884"/>
      <w:bookmarkEnd w:id="1885"/>
      <w:bookmarkEnd w:id="1887"/>
    </w:p>
    <w:p>
      <w:pPr>
        <w:pStyle w:val="Style33"/>
        <w:keepNext/>
        <w:keepLines/>
        <w:widowControl w:val="0"/>
        <w:shd w:val="clear" w:color="auto" w:fill="auto"/>
        <w:bidi w:val="0"/>
        <w:spacing w:before="0" w:after="340" w:line="240" w:lineRule="auto"/>
        <w:ind w:left="0" w:right="0" w:firstLine="0"/>
        <w:jc w:val="left"/>
      </w:pPr>
      <w:bookmarkStart w:id="1884" w:name="bookmark1884"/>
      <w:bookmarkStart w:id="1885" w:name="bookmark1885"/>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884"/>
      <w:bookmarkEnd w:id="1885"/>
      <w:bookmarkEnd w:id="1888"/>
    </w:p>
    <w:p>
      <w:pPr>
        <w:pStyle w:val="Style2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val="0"/>
        <w:keepLines w:val="0"/>
        <w:widowControl w:val="0"/>
        <w:shd w:val="clear" w:color="auto" w:fill="auto"/>
        <w:tabs>
          <w:tab w:pos="493" w:val="left"/>
        </w:tabs>
        <w:bidi w:val="0"/>
        <w:spacing w:before="0" w:after="380" w:line="326" w:lineRule="exact"/>
        <w:ind w:left="0" w:right="0" w:firstLine="0"/>
        <w:jc w:val="left"/>
      </w:pPr>
      <w:bookmarkStart w:id="1889" w:name="bookmark1889"/>
      <w:r>
        <w:rPr>
          <w:color w:val="000000"/>
          <w:spacing w:val="0"/>
          <w:w w:val="100"/>
          <w:position w:val="0"/>
        </w:rPr>
        <w:t>（</w:t>
      </w:r>
      <w:bookmarkEnd w:id="188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p>
    <w:p>
      <w:pPr>
        <w:pStyle w:val="Style2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61"/>
        <w:keepNext w:val="0"/>
        <w:keepLines w:val="0"/>
        <w:widowControl w:val="0"/>
        <w:shd w:val="clear" w:color="auto" w:fill="auto"/>
        <w:bidi w:val="0"/>
        <w:spacing w:before="0" w:after="280" w:line="326" w:lineRule="exact"/>
        <w:ind w:left="0" w:right="0" w:firstLine="0"/>
        <w:jc w:val="left"/>
      </w:pPr>
      <w:bookmarkStart w:id="1890" w:name="bookmark1890"/>
      <w:r>
        <w:rPr>
          <w:color w:val="000000"/>
          <w:spacing w:val="0"/>
          <w:w w:val="100"/>
          <w:position w:val="0"/>
        </w:rPr>
        <w:t>（</w:t>
      </w:r>
      <w:bookmarkEnd w:id="1890"/>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p>
    <w:p>
      <w:pPr>
        <w:pStyle w:val="Style61"/>
        <w:keepNext w:val="0"/>
        <w:keepLines w:val="0"/>
        <w:widowControl w:val="0"/>
        <w:shd w:val="clear" w:color="auto" w:fill="auto"/>
        <w:bidi w:val="0"/>
        <w:spacing w:before="0" w:after="340" w:line="326" w:lineRule="exact"/>
        <w:ind w:left="0" w:right="0" w:firstLine="0"/>
        <w:jc w:val="left"/>
      </w:pPr>
      <w:bookmarkStart w:id="1891" w:name="bookmark1891"/>
      <w:r>
        <w:rPr>
          <w:rFonts w:ascii="Times New Roman" w:eastAsia="Times New Roman" w:hAnsi="Times New Roman" w:cs="Times New Roman"/>
          <w:color w:val="000000"/>
          <w:spacing w:val="0"/>
          <w:w w:val="100"/>
          <w:position w:val="0"/>
        </w:rPr>
        <w:t>4</w:t>
      </w:r>
      <w:bookmarkEnd w:id="1891"/>
      <w:r>
        <w:rPr>
          <w:color w:val="000000"/>
          <w:spacing w:val="0"/>
          <w:w w:val="100"/>
          <w:position w:val="0"/>
        </w:rPr>
        <w:t>、其他</w:t>
      </w:r>
    </w:p>
    <w:sectPr>
      <w:footnotePr>
        <w:pos w:val="pageBottom"/>
        <w:numFmt w:val="decimal"/>
        <w:numRestart w:val="continuous"/>
      </w:footnotePr>
      <w:pgSz w:w="11900" w:h="16840"/>
      <w:pgMar w:top="1378" w:right="1030" w:bottom="1450" w:left="10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9"/>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FFFFFF"/>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0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Arial" w:eastAsia="Arial" w:hAnsi="Arial" w:cs="Arial"/>
      <w:b/>
      <w:bCs/>
      <w:i w:val="0"/>
      <w:iCs w:val="0"/>
      <w:smallCaps/>
      <w:strike w:val="0"/>
      <w:color w:val="343434"/>
      <w:sz w:val="74"/>
      <w:szCs w:val="74"/>
      <w:u w:val="none"/>
      <w:shd w:val="clear" w:color="auto" w:fill="auto"/>
    </w:rPr>
  </w:style>
  <w:style w:type="character" w:customStyle="1" w:styleId="CharStyle5">
    <w:name w:val="Body text (6)_"/>
    <w:basedOn w:val="DefaultParagraphFont"/>
    <w:link w:val="Style4"/>
    <w:rPr>
      <w:rFonts w:ascii="SimHei" w:eastAsia="SimHei" w:hAnsi="SimHei" w:cs="SimHei"/>
      <w:b w:val="0"/>
      <w:bCs w:val="0"/>
      <w:i w:val="0"/>
      <w:iCs w:val="0"/>
      <w:smallCaps w:val="0"/>
      <w:strike w:val="0"/>
      <w:color w:val="343434"/>
      <w:sz w:val="28"/>
      <w:szCs w:val="28"/>
      <w:u w:val="none"/>
      <w:shd w:val="clear" w:color="auto" w:fill="auto"/>
    </w:rPr>
  </w:style>
  <w:style w:type="character" w:customStyle="1" w:styleId="CharStyle7">
    <w:name w:val="Body text (3)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Heading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4)_"/>
    <w:basedOn w:val="DefaultParagraphFont"/>
    <w:link w:val="Style11"/>
    <w:rPr>
      <w:rFonts w:ascii="Times New Roman" w:eastAsia="Times New Roman" w:hAnsi="Times New Roman" w:cs="Times New Roman"/>
      <w:b/>
      <w:bCs/>
      <w:i w:val="0"/>
      <w:iCs w:val="0"/>
      <w:smallCaps w:val="0"/>
      <w:strike w:val="0"/>
      <w:u w:val="none"/>
      <w:shd w:val="clear" w:color="auto" w:fill="auto"/>
    </w:rPr>
  </w:style>
  <w:style w:type="character" w:customStyle="1" w:styleId="CharStyle14">
    <w:name w:val="Body text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Body text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Table of contents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Other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Heading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Heading #5_"/>
    <w:basedOn w:val="DefaultParagraphFont"/>
    <w:link w:val="Style37"/>
    <w:rPr>
      <w:rFonts w:ascii="SimSun" w:eastAsia="SimSun" w:hAnsi="SimSun" w:cs="SimSun"/>
      <w:b/>
      <w:bCs/>
      <w:i w:val="0"/>
      <w:iCs w:val="0"/>
      <w:smallCaps w:val="0"/>
      <w:strike w:val="0"/>
      <w:sz w:val="17"/>
      <w:szCs w:val="17"/>
      <w:u w:val="none"/>
      <w:shd w:val="clear" w:color="auto" w:fill="auto"/>
    </w:rPr>
  </w:style>
  <w:style w:type="character" w:customStyle="1" w:styleId="CharStyle62">
    <w:name w:val="Body text (9)_"/>
    <w:basedOn w:val="DefaultParagraphFont"/>
    <w:link w:val="Style61"/>
    <w:rPr>
      <w:rFonts w:ascii="SimSun" w:eastAsia="SimSun" w:hAnsi="SimSun" w:cs="SimSun"/>
      <w:b/>
      <w:bCs/>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jc w:val="center"/>
      <w:outlineLvl w:val="0"/>
    </w:pPr>
    <w:rPr>
      <w:rFonts w:ascii="Arial" w:eastAsia="Arial" w:hAnsi="Arial" w:cs="Arial"/>
      <w:b/>
      <w:bCs/>
      <w:i w:val="0"/>
      <w:iCs w:val="0"/>
      <w:smallCaps/>
      <w:strike w:val="0"/>
      <w:color w:val="343434"/>
      <w:sz w:val="74"/>
      <w:szCs w:val="74"/>
      <w:u w:val="none"/>
      <w:shd w:val="clear" w:color="auto" w:fill="auto"/>
    </w:rPr>
  </w:style>
  <w:style w:type="paragraph" w:customStyle="1" w:styleId="Style4">
    <w:name w:val="Body text (6)"/>
    <w:basedOn w:val="Normal"/>
    <w:link w:val="CharStyle5"/>
    <w:pPr>
      <w:widowControl w:val="0"/>
      <w:shd w:val="clear" w:color="auto" w:fill="auto"/>
      <w:spacing w:after="1480"/>
      <w:jc w:val="center"/>
    </w:pPr>
    <w:rPr>
      <w:rFonts w:ascii="SimHei" w:eastAsia="SimHei" w:hAnsi="SimHei" w:cs="SimHei"/>
      <w:b w:val="0"/>
      <w:bCs w:val="0"/>
      <w:i w:val="0"/>
      <w:iCs w:val="0"/>
      <w:smallCaps w:val="0"/>
      <w:strike w:val="0"/>
      <w:color w:val="343434"/>
      <w:sz w:val="28"/>
      <w:szCs w:val="28"/>
      <w:u w:val="none"/>
      <w:shd w:val="clear" w:color="auto" w:fill="auto"/>
    </w:rPr>
  </w:style>
  <w:style w:type="paragraph" w:customStyle="1" w:styleId="Style6">
    <w:name w:val="Body text (3)"/>
    <w:basedOn w:val="Normal"/>
    <w:link w:val="CharStyle7"/>
    <w:pPr>
      <w:widowControl w:val="0"/>
      <w:shd w:val="clear" w:color="auto" w:fill="auto"/>
      <w:spacing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Heading #2"/>
    <w:basedOn w:val="Normal"/>
    <w:link w:val="CharStyle9"/>
    <w:pPr>
      <w:widowControl w:val="0"/>
      <w:shd w:val="clear" w:color="auto" w:fill="auto"/>
      <w:spacing w:before="24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4)"/>
    <w:basedOn w:val="Normal"/>
    <w:link w:val="CharStyle12"/>
    <w:pPr>
      <w:widowControl w:val="0"/>
      <w:shd w:val="clear" w:color="auto" w:fill="auto"/>
      <w:spacing w:after="3980"/>
      <w:jc w:val="center"/>
    </w:pPr>
    <w:rPr>
      <w:rFonts w:ascii="Times New Roman" w:eastAsia="Times New Roman" w:hAnsi="Times New Roman" w:cs="Times New Roman"/>
      <w:b/>
      <w:bCs/>
      <w:i w:val="0"/>
      <w:iCs w:val="0"/>
      <w:smallCaps w:val="0"/>
      <w:strike w:val="0"/>
      <w:u w:val="none"/>
      <w:shd w:val="clear" w:color="auto" w:fill="auto"/>
    </w:rPr>
  </w:style>
  <w:style w:type="paragraph" w:customStyle="1" w:styleId="Style13">
    <w:name w:val="Body text (5)"/>
    <w:basedOn w:val="Normal"/>
    <w:link w:val="CharStyle14"/>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Body text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Table of contents"/>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styleId="Style22">
    <w:name w:val="Body text"/>
    <w:basedOn w:val="Normal"/>
    <w:link w:val="CharStyle23"/>
    <w:qFormat/>
    <w:pPr>
      <w:widowControl w:val="0"/>
      <w:shd w:val="clear" w:color="auto" w:fill="auto"/>
      <w:spacing w:after="40" w:line="384"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Other"/>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3"/>
    <w:basedOn w:val="Normal"/>
    <w:link w:val="CharStyle28"/>
    <w:pPr>
      <w:widowControl w:val="0"/>
      <w:shd w:val="clear" w:color="auto" w:fill="auto"/>
      <w:spacing w:after="300"/>
      <w:outlineLvl w:val="2"/>
    </w:pPr>
    <w:rPr>
      <w:rFonts w:ascii="SimSun" w:eastAsia="SimSun" w:hAnsi="SimSun" w:cs="SimSun"/>
      <w:b/>
      <w:bCs/>
      <w:i w:val="0"/>
      <w:iCs w:val="0"/>
      <w:smallCaps w:val="0"/>
      <w:strike w:val="0"/>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Heading #4"/>
    <w:basedOn w:val="Normal"/>
    <w:link w:val="CharStyle34"/>
    <w:pPr>
      <w:widowControl w:val="0"/>
      <w:shd w:val="clear" w:color="auto" w:fill="auto"/>
      <w:spacing w:after="37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Heading #5"/>
    <w:basedOn w:val="Normal"/>
    <w:link w:val="CharStyle38"/>
    <w:pPr>
      <w:widowControl w:val="0"/>
      <w:shd w:val="clear" w:color="auto" w:fill="auto"/>
      <w:spacing w:after="20" w:line="312" w:lineRule="exact"/>
      <w:ind w:firstLine="380"/>
      <w:outlineLvl w:val="4"/>
    </w:pPr>
    <w:rPr>
      <w:rFonts w:ascii="SimSun" w:eastAsia="SimSun" w:hAnsi="SimSun" w:cs="SimSun"/>
      <w:b/>
      <w:bCs/>
      <w:i w:val="0"/>
      <w:iCs w:val="0"/>
      <w:smallCaps w:val="0"/>
      <w:strike w:val="0"/>
      <w:sz w:val="17"/>
      <w:szCs w:val="17"/>
      <w:u w:val="none"/>
      <w:shd w:val="clear" w:color="auto" w:fill="auto"/>
    </w:rPr>
  </w:style>
  <w:style w:type="paragraph" w:customStyle="1" w:styleId="Style61">
    <w:name w:val="Body text (9)"/>
    <w:basedOn w:val="Normal"/>
    <w:link w:val="CharStyle62"/>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软通动力信息技术（集团）股份有限公司2021年年度报告全文</dc:title>
  <dc:subject/>
  <dc:creator>软通动力信息技术（集团）股份有限公司</dc:creator>
  <cp:keywords/>
</cp:coreProperties>
</file>